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rPr>
          <w:rFonts w:ascii="Arial Unicode MS" w:hAnsi="Arial Unicode MS" w:eastAsia="Arial Unicode MS"/>
          <w:b/>
          <w:color w:val="000000"/>
          <w:sz w:val="50"/>
        </w:rPr>
        <w:t>FS12联邦学习论文课题与实验进度报告</w:t>
      </w:r>
    </w:p>
    <w:p>
      <w:pPr>
        <w:spacing w:before="160" w:after="560"/>
        <w:jc w:val="center"/>
      </w:pPr>
      <w:r>
        <w:rPr>
          <w:rFonts w:ascii="Arial Unicode MS" w:hAnsi="Arial Unicode MS" w:eastAsia="Arial Unicode MS"/>
          <w:color w:val="5A5A5A"/>
          <w:sz w:val="28"/>
        </w:rPr>
        <w:t>面向教授讨论的阶段性分析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84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21"/>
              </w:rPr>
              <w:t>研究任务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21"/>
              </w:rPr>
              <w:t>13个监测站的小时级 PM2.5 联邦预测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21"/>
              </w:rPr>
              <w:t>预测设置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21"/>
              </w:rPr>
              <w:t>回看 168 小时并预测未来 24 小时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21"/>
              </w:rPr>
              <w:t>比较对象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21"/>
              </w:rPr>
              <w:t>Transformer 与 Mamba 结合 FedAvg 与 FedProx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21"/>
              </w:rPr>
              <w:t>当前实验规模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21"/>
              </w:rPr>
              <w:t>4组实验 每组30轮通信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21"/>
              </w:rPr>
              <w:t>报告日期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21"/>
              </w:rPr>
              <w:t>2026年9月20日</w:t>
            </w:r>
          </w:p>
        </w:tc>
      </w:tr>
    </w:tbl>
    <w:p>
      <w:pPr>
        <w:spacing w:after="0"/>
      </w:pPr>
    </w:p>
    <w:p>
      <w:pPr>
        <w:spacing w:before="520" w:line="324" w:lineRule="auto"/>
        <w:ind w:left="360" w:right="360"/>
      </w:pPr>
      <w:r>
        <w:rPr>
          <w:rFonts w:ascii="Arial Unicode MS" w:hAnsi="Arial Unicode MS" w:eastAsia="Arial Unicode MS"/>
          <w:color w:val="202020"/>
          <w:sz w:val="24"/>
        </w:rPr>
        <w:t>当前结果显示，Mamba 与 FedAvg 的组合在预测精度上略优，同时将单轮训练时间缩短到 Transformer 的约五分之一。这一结果为论文形成了清晰的效率主线，但精度差异仍然很小，现阶段应把结论表述为初步证据，并优先补充多随机种子、验证集、统计检验和公平性审计。</w:t>
      </w:r>
    </w:p>
    <w:p>
      <w:pPr>
        <w:spacing w:before="720"/>
        <w:jc w:val="center"/>
      </w:pPr>
      <w:r>
        <w:rPr>
          <w:rFonts w:ascii="Arial Unicode MS" w:hAnsi="Arial Unicode MS" w:eastAsia="Arial Unicode MS"/>
          <w:color w:val="5A5A5A"/>
          <w:sz w:val="20"/>
        </w:rPr>
        <w:t>供课题讨论与下一阶段实验决策使用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2"/>
        </w:rPr>
        <w:t>执行摘要</w:t>
      </w:r>
    </w:p>
    <w:p>
      <w:pPr>
        <w:spacing w:after="120" w:line="324" w:lineRule="auto"/>
        <w:ind w:firstLine="440"/>
      </w:pPr>
      <w:r>
        <w:rPr>
          <w:rFonts w:ascii="Arial Unicode MS" w:hAnsi="Arial Unicode MS" w:eastAsia="Arial Unicode MS"/>
          <w:color w:val="202020"/>
          <w:sz w:val="22"/>
        </w:rPr>
        <w:t>当前四组实验已经完成了第一轮可比较的结果。就现有数据而言，Mamba 加 FedAvg 是最值得继续推进的主方案。其最终13站平均 MAE 为 1.9021，RMSE 为 4.3301，R² 为 0.2744；收敛曲线中的最低平均测试 MAE 为 1.8992。与 Transformer 加 FedAvg 相比，精度改善约为 0.15%，但每轮训练速度约快 4.82 倍，总实验时间约缩短 79%。</w:t>
      </w:r>
    </w:p>
    <w:p>
      <w:pPr>
        <w:spacing w:after="120" w:line="324" w:lineRule="auto"/>
        <w:ind w:firstLine="440"/>
      </w:pPr>
      <w:r>
        <w:rPr>
          <w:rFonts w:ascii="Arial Unicode MS" w:hAnsi="Arial Unicode MS" w:eastAsia="Arial Unicode MS"/>
          <w:color w:val="202020"/>
          <w:sz w:val="22"/>
        </w:rPr>
        <w:t>目前最有说服力的是计算效率，而不是精度优势。四种方法的 MAE 差距不超过 0.003，单次随机种子不足以证明差异稳定。FedProx 在当前设置下没有带来一致收益，说明简单的 FedAvg 已能处理当前程度的站点差异，或者 FedProx 的系数和本地训练轮数尚未进入适合它发挥作用的区间。</w:t>
      </w:r>
    </w:p>
    <w:p>
      <w:pPr>
        <w:spacing w:after="120" w:line="324" w:lineRule="auto"/>
        <w:ind w:firstLine="440"/>
      </w:pPr>
      <w:r>
        <w:rPr>
          <w:rFonts w:ascii="Arial Unicode MS" w:hAnsi="Arial Unicode MS" w:eastAsia="Arial Unicode MS"/>
          <w:color w:val="202020"/>
          <w:sz w:val="22"/>
        </w:rPr>
        <w:t>下一阶段不建议立即扩大模型数量。应先完成研究可信度所必需的实验：使用独立验证集进行早停和模型选择；至少运行三个随机种子；报告站点级差异和置信区间；核对参数量、训练深度、混合精度和硬件条件。完成这些工作后，再开展序列长度、预测范围和数据异质性实验，检验 Mamba 的效率优势是否随任务难度稳定存在。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建议向教授汇报的核心观点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color w:val="202020"/>
          <w:sz w:val="21"/>
        </w:rPr>
        <w:t>已经获得一个清晰的初步结果：Mamba 加 FedAvg 在当前任务中同时实现了略好的精度和显著更低的训练时间。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color w:val="202020"/>
          <w:sz w:val="21"/>
        </w:rPr>
        <w:t>现阶段可以主张明显的效率优势，但不能主张显著的精度提升，因为差值很小且尚未进行重复实验和统计检验。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color w:val="202020"/>
          <w:sz w:val="21"/>
        </w:rPr>
        <w:t>FedProx 没有明显优于 FedAvg。该结果本身有研究价值，但需要通过异质性指标和超参数实验解释原因。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color w:val="202020"/>
          <w:sz w:val="21"/>
        </w:rPr>
        <w:t>论文的下一步重点应从继续堆模型转向验证结果是否稳定、公平且可复现。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2"/>
        </w:rPr>
        <w:t>一 研究课题与当前实验设计</w:t>
      </w:r>
    </w:p>
    <w:p>
      <w:pPr>
        <w:spacing w:after="120" w:line="324" w:lineRule="auto"/>
        <w:ind w:firstLine="440"/>
      </w:pPr>
      <w:r>
        <w:rPr>
          <w:rFonts w:ascii="Arial Unicode MS" w:hAnsi="Arial Unicode MS" w:eastAsia="Arial Unicode MS"/>
          <w:color w:val="202020"/>
          <w:sz w:val="22"/>
        </w:rPr>
        <w:t>本课题研究多个空气质量监测站在不共享原始数据的条件下，如何共同训练 PM2.5 预测模型。每个监测站作为一个联邦客户端，模型在本地数据上更新参数，服务器只聚合模型参数。当前实验同时比较两类时序骨干网络和两类联邦聚合方法，以回答模型结构和聚合策略分别带来多大影响。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09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当前设置</w:t>
            </w:r>
          </w:p>
        </w:tc>
        <w:tc>
          <w:tcPr>
            <w:tcW w:type="dxa" w:w="496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研究含义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数据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13个小时级监测站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模拟跨站点且数据分布不同的联邦场景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输入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过去168小时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使用最近7天信息预测未来变化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输出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未来24小时 PM2.5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对应一天的短期空气质量预测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特征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FS12协变量与 PM2.5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同时使用污染物和气象信息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骨干网络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Transformer 与 Mamba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比较注意力模型和状态空间模型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聚合方法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FedAvg 与 FedProx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比较标准参数平均和近端约束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训练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30轮通信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每轮各客户端本地训练后聚合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指标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MAE RMSE R² 耗时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同时评价准确性与计算成本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当前论文问题</w:t>
      </w:r>
    </w:p>
    <w:p>
      <w:pPr>
        <w:spacing w:after="120" w:line="324" w:lineRule="auto"/>
        <w:ind w:firstLine="440"/>
      </w:pPr>
      <w:r>
        <w:rPr>
          <w:rFonts w:ascii="Arial Unicode MS" w:hAnsi="Arial Unicode MS" w:eastAsia="Arial Unicode MS"/>
          <w:color w:val="202020"/>
          <w:sz w:val="22"/>
        </w:rPr>
        <w:t>当前结果最适合支持的研究问题是：在多站点 PM2.5 联邦预测中，Mamba 能否在保持预测精度的同时降低训练时间；FedProx 是否能在站点数据分布不同的情况下进一步改善模型。如果后续实验确认这一趋势，论文可以围绕准确性与效率的权衡展开，而不是只比较哪个模型的单一误差最低。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2"/>
        </w:rPr>
        <w:t>二 当前实验结果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最终13站平均指标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/>
        </w:trPr>
        <w:tc>
          <w:tcPr>
            <w:tcW w:type="dxa" w:w="295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103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MAE</w:t>
            </w:r>
          </w:p>
        </w:tc>
        <w:tc>
          <w:tcPr>
            <w:tcW w:type="dxa" w:w="11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RMSE</w:t>
            </w:r>
          </w:p>
        </w:tc>
        <w:tc>
          <w:tcPr>
            <w:tcW w:type="dxa" w:w="103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R²</w:t>
            </w:r>
          </w:p>
        </w:tc>
        <w:tc>
          <w:tcPr>
            <w:tcW w:type="dxa" w:w="146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每轮耗时</w:t>
            </w:r>
          </w:p>
        </w:tc>
        <w:tc>
          <w:tcPr>
            <w:tcW w:type="dxa" w:w="1353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总时长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Transformer 加 FedAvg</w:t>
            </w:r>
          </w:p>
        </w:tc>
        <w:tc>
          <w:tcPr>
            <w:tcW w:type="dxa" w:w="10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1.9049</w:t>
            </w:r>
          </w:p>
        </w:tc>
        <w:tc>
          <w:tcPr>
            <w:tcW w:type="dxa" w:w="11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4.3368</w:t>
            </w:r>
          </w:p>
        </w:tc>
        <w:tc>
          <w:tcPr>
            <w:tcW w:type="dxa" w:w="10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0.2719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167.8秒</w:t>
            </w:r>
          </w:p>
        </w:tc>
        <w:tc>
          <w:tcPr>
            <w:tcW w:type="dxa" w:w="13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1.67小时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Transformer 加 FedProx</w:t>
            </w:r>
          </w:p>
        </w:tc>
        <w:tc>
          <w:tcPr>
            <w:tcW w:type="dxa" w:w="10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1.9039</w:t>
            </w:r>
          </w:p>
        </w:tc>
        <w:tc>
          <w:tcPr>
            <w:tcW w:type="dxa" w:w="11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4.3363</w:t>
            </w:r>
          </w:p>
        </w:tc>
        <w:tc>
          <w:tcPr>
            <w:tcW w:type="dxa" w:w="10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0.2720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178.3秒</w:t>
            </w:r>
          </w:p>
        </w:tc>
        <w:tc>
          <w:tcPr>
            <w:tcW w:type="dxa" w:w="13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1.76小时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Mamba 加 FedAvg</w:t>
            </w:r>
          </w:p>
        </w:tc>
        <w:tc>
          <w:tcPr>
            <w:tcW w:type="dxa" w:w="10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1.9021</w:t>
            </w:r>
          </w:p>
        </w:tc>
        <w:tc>
          <w:tcPr>
            <w:tcW w:type="dxa" w:w="11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4.3301</w:t>
            </w:r>
          </w:p>
        </w:tc>
        <w:tc>
          <w:tcPr>
            <w:tcW w:type="dxa" w:w="10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0.2744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34.8秒</w:t>
            </w:r>
          </w:p>
        </w:tc>
        <w:tc>
          <w:tcPr>
            <w:tcW w:type="dxa" w:w="13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0.35小时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Mamba 加 FedProx</w:t>
            </w:r>
          </w:p>
        </w:tc>
        <w:tc>
          <w:tcPr>
            <w:tcW w:type="dxa" w:w="10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1.9029</w:t>
            </w:r>
          </w:p>
        </w:tc>
        <w:tc>
          <w:tcPr>
            <w:tcW w:type="dxa" w:w="11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4.3392</w:t>
            </w:r>
          </w:p>
        </w:tc>
        <w:tc>
          <w:tcPr>
            <w:tcW w:type="dxa" w:w="10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0.2702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38.5秒</w:t>
            </w:r>
          </w:p>
        </w:tc>
        <w:tc>
          <w:tcPr>
            <w:tcW w:type="dxa" w:w="13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0.39小时</w:t>
            </w:r>
          </w:p>
        </w:tc>
      </w:tr>
    </w:tbl>
    <w:p>
      <w:pPr>
        <w:spacing w:after="0"/>
      </w:pP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color w:val="5A5A5A"/>
          <w:sz w:val="18"/>
        </w:rPr>
        <w:t>表1  四种方法在第30轮后的13站平均结果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收敛和速度指标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95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208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进入最优值1%区间</w:t>
            </w:r>
          </w:p>
        </w:tc>
        <w:tc>
          <w:tcPr>
            <w:tcW w:type="dxa" w:w="1699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曲线最低 MAE</w:t>
            </w:r>
          </w:p>
        </w:tc>
        <w:tc>
          <w:tcPr>
            <w:tcW w:type="dxa" w:w="28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相对同聚合 Transformer 的单轮速度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Transformer 加 FedAvg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第15轮</w:t>
            </w:r>
          </w:p>
        </w:tc>
        <w:tc>
          <w:tcPr>
            <w:tcW w:type="dxa" w:w="1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1.9049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基准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Transformer 加 FedProx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第15轮</w:t>
            </w:r>
          </w:p>
        </w:tc>
        <w:tc>
          <w:tcPr>
            <w:tcW w:type="dxa" w:w="1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1.9039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基准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Mamba 加 FedAvg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第10轮</w:t>
            </w:r>
          </w:p>
        </w:tc>
        <w:tc>
          <w:tcPr>
            <w:tcW w:type="dxa" w:w="1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1.8992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约4.82倍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Mamba 加 FedProx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第15轮</w:t>
            </w:r>
          </w:p>
        </w:tc>
        <w:tc>
          <w:tcPr>
            <w:tcW w:type="dxa" w:w="1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1.9024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约4.63倍</w:t>
            </w:r>
          </w:p>
        </w:tc>
      </w:tr>
    </w:tbl>
    <w:p>
      <w:pPr>
        <w:spacing w:after="0"/>
      </w:pP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color w:val="5A5A5A"/>
          <w:sz w:val="18"/>
        </w:rPr>
        <w:t>表2  收敛轮数表示首次进入全程最低 MAE 的1%范围 并不等同于损失已经稳定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678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efa13fd-9688-4199-abb7-c392b57b8f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6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color w:val="5A5A5A"/>
          <w:sz w:val="18"/>
        </w:rPr>
        <w:t>图1  四种方法在第5至30轮的13站平均测试 MAE</w:t>
      </w:r>
    </w:p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2"/>
        </w:rPr>
        <w:t>三 结果分析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Mamba 加 FedAvg 提供最佳综合表现</w:t>
      </w:r>
    </w:p>
    <w:p>
      <w:pPr>
        <w:spacing w:after="120" w:line="324" w:lineRule="auto"/>
        <w:ind w:firstLine="440"/>
      </w:pPr>
      <w:r>
        <w:rPr>
          <w:rFonts w:ascii="Arial Unicode MS" w:hAnsi="Arial Unicode MS" w:eastAsia="Arial Unicode MS"/>
          <w:color w:val="202020"/>
          <w:sz w:val="22"/>
        </w:rPr>
        <w:t>Mamba 加 FedAvg 在最终13站平均结果中取得最低 MAE 和 RMSE，同时得到最高 R²。相对 Transformer 加 FedAvg，其 MAE 下降 0.0028，约为 0.15%；RMSE 下降 0.0067，约为 0.15%；R² 提高 0.0025。这些变化方向一致，但幅度很小，因此目前应称为轻微改善，而不是显著提升。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训练效率是当前最清晰的结果</w:t>
      </w:r>
    </w:p>
    <w:p>
      <w:pPr>
        <w:spacing w:after="120" w:line="324" w:lineRule="auto"/>
        <w:ind w:firstLine="440"/>
      </w:pPr>
      <w:r>
        <w:rPr>
          <w:rFonts w:ascii="Arial Unicode MS" w:hAnsi="Arial Unicode MS" w:eastAsia="Arial Unicode MS"/>
          <w:color w:val="202020"/>
          <w:sz w:val="22"/>
        </w:rPr>
        <w:t>在相同聚合方法下，Mamba 的单轮训练速度分别约为 Transformer 的 4.82 倍和 4.63 倍。总时长分别从 1.67 小时降到 0.35 小时，以及从 1.76 小时降到 0.39 小时，缩短约 77% 至 79%。按照平均单轮耗时粗略估算，Mamba 加 FedAvg 进入最优值1%范围约需 5.8 分钟，而 Transformer 加 FedAvg 约需 42.0 分钟。这个时间估计未包含每次评估和初始化成本，但足以说明两者在实验吞吐量上的明显差别。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FedProx 暂未表现出稳定优势</w:t>
      </w:r>
    </w:p>
    <w:p>
      <w:pPr>
        <w:spacing w:after="120" w:line="324" w:lineRule="auto"/>
        <w:ind w:firstLine="440"/>
      </w:pPr>
      <w:r>
        <w:rPr>
          <w:rFonts w:ascii="Arial Unicode MS" w:hAnsi="Arial Unicode MS" w:eastAsia="Arial Unicode MS"/>
          <w:color w:val="202020"/>
          <w:sz w:val="22"/>
        </w:rPr>
        <w:t>Transformer 使用 FedProx 后，MAE 只改善 0.0010，其他指标几乎不变，但每轮耗时增加约 6.3%。Mamba 使用 FedProx 后，最终 MAE 比 FedAvg 高 0.0008，RMSE 高 0.0091，R² 低 0.0042，而且训练更慢。这说明在当前 μ 等于 0.01、本地训练1轮的条件下，近端约束没有提供足以抵消额外成本的收益。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Mamba 在后期出现轻微回升</w:t>
      </w:r>
    </w:p>
    <w:p>
      <w:pPr>
        <w:spacing w:after="120" w:line="324" w:lineRule="auto"/>
        <w:ind w:firstLine="440"/>
      </w:pPr>
      <w:r>
        <w:rPr>
          <w:rFonts w:ascii="Arial Unicode MS" w:hAnsi="Arial Unicode MS" w:eastAsia="Arial Unicode MS"/>
          <w:color w:val="202020"/>
          <w:sz w:val="22"/>
        </w:rPr>
        <w:t>Mamba 加 FedAvg 在第25轮达到最低测试 MAE 1.8992，第30轮回升到约 1.9021。回升幅度约为 0.15%，可能来自轻微过拟合、客户端更新波动或随机噪声。这一现象提示后续应使用验证集保存最佳轮次，而不应固定使用最后一轮，也不应根据测试集选择模型。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当前 R² 表明仍有较大提升空间</w:t>
      </w:r>
    </w:p>
    <w:p>
      <w:pPr>
        <w:spacing w:after="120" w:line="324" w:lineRule="auto"/>
        <w:ind w:firstLine="440"/>
      </w:pPr>
      <w:r>
        <w:rPr>
          <w:rFonts w:ascii="Arial Unicode MS" w:hAnsi="Arial Unicode MS" w:eastAsia="Arial Unicode MS"/>
          <w:color w:val="202020"/>
          <w:sz w:val="22"/>
        </w:rPr>
        <w:t>四种模型的平均 R² 约为 0.27，说明模型能够解释部分 PM2.5 波动，但大量短时变化仍未被现有输入捕捉。可能原因包括突发污染事件、火点和烟霾传输、交通与工业排放、风向的空间效应以及缺失值处理。在加入朴素基线和集中式上限之前，不能仅凭 R² 判断当前模型是否已经达到有实际意义的预测水平。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2"/>
        </w:rPr>
        <w:t>四 当前结论的可信范围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可以明确表达的结论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color w:val="202020"/>
          <w:sz w:val="21"/>
        </w:rPr>
        <w:t>在本次 RTX 4090 实验、当前数据划分和当前超参数下，Mamba 的训练时间显著短于 Transformer。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color w:val="202020"/>
          <w:sz w:val="21"/>
        </w:rPr>
        <w:t>四种方法的最终平均精度非常接近，Mamba 加 FedAvg 暂时排名第一。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color w:val="202020"/>
          <w:sz w:val="21"/>
        </w:rPr>
        <w:t>FedProx 在当前设置下没有稳定改善准确率，并增加了训练时间。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color w:val="202020"/>
          <w:sz w:val="21"/>
        </w:rPr>
        <w:t>Mamba 加 FedAvg 在第25轮取得最低曲线值，继续训练到第30轮没有进一步改善。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暂时不能表达的结论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color w:val="202020"/>
          <w:sz w:val="21"/>
        </w:rPr>
        <w:t>不能说 Mamba 的预测精度显著优于 Transformer，因为目前看起来只有一个随机种子，差距也小于 0.2%。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color w:val="202020"/>
          <w:sz w:val="21"/>
        </w:rPr>
        <w:t>不能说 FedProx 对空气质量联邦学习无效。当前只测试了一个 μ 和一个本地训练轮数。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color w:val="202020"/>
          <w:sz w:val="21"/>
        </w:rPr>
        <w:t>不能把第10轮或第15轮直接称为模型已经收敛。当前指标只是首次进入全程最佳值的1%范围。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color w:val="202020"/>
          <w:sz w:val="21"/>
        </w:rPr>
        <w:t>不能只凭13站平均值说明所有站点都得到改善。平均值可能掩盖少数站点的明显退化。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color w:val="202020"/>
          <w:sz w:val="21"/>
        </w:rPr>
        <w:t>不能在缺少参数量和实现审计时，把全部速度差异归因于 Mamba 架构本身。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需要优先处理的方法学问题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73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38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对论文的影响</w:t>
            </w:r>
          </w:p>
        </w:tc>
        <w:tc>
          <w:tcPr>
            <w:tcW w:type="dxa" w:w="381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建议处理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测试集被用于每5轮绘制曲线和寻找最低值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如果据此早停或选择模型 会形成测试信息泄漏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按时间建立独立验证集 只在最终锁定模型后评估测试集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只有单次随机种子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无法区分模型差异和初始化波动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至少运行2023 2024 2025三个种子并报告均值和标准差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收敛阈值为最低 MAE 的1%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阈值约0.019 大于模型间差距 因而偏宽松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改名为进入近最优区间 或使用验证集耐心值与更严格阈值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只报告13站平均值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无法判断改进是否普遍存在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报告每站结果 中位数 四分位数 胜出站点数和最差站点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模型复杂度尚未对齐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速度优势可能同时受到层数 参数量和内核实现影响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报告参数量 FLOPs 峰值显存 混合精度和实际执行代码版本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缺少朴素和训练方式基线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无法判断联邦学习是否真正增加价值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加入持续性 季节性朴素 本地独立和集中式训练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2"/>
        </w:rPr>
        <w:t>五 下一阶段实验计划</w:t>
      </w:r>
    </w:p>
    <w:p>
      <w:pPr>
        <w:spacing w:after="120" w:line="324" w:lineRule="auto"/>
        <w:ind w:firstLine="440"/>
      </w:pPr>
      <w:r>
        <w:rPr>
          <w:rFonts w:ascii="Arial Unicode MS" w:hAnsi="Arial Unicode MS" w:eastAsia="Arial Unicode MS"/>
          <w:color w:val="202020"/>
          <w:sz w:val="22"/>
        </w:rPr>
        <w:t>下一阶段应先提高结论可信度，再扩展研究问题。下面的顺序按对论文有效性的影响排序。第一阶段完成后，当前结果才适合用于论文主表；第二阶段用于解释机制和形成论文贡献；第三阶段用于完善工程与成本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93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80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工作</w:t>
            </w:r>
          </w:p>
        </w:tc>
        <w:tc>
          <w:tcPr>
            <w:tcW w:type="dxa" w:w="439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具体做法</w:t>
            </w:r>
          </w:p>
        </w:tc>
        <w:tc>
          <w:tcPr>
            <w:tcW w:type="dxa" w:w="280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预期输出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第一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建立验证方案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按时间划分训练 验证 测试并设置无重叠间隔 测试集只评估一次</w:t>
            </w:r>
          </w:p>
        </w:tc>
        <w:tc>
          <w:tcPr>
            <w:tcW w:type="dxa" w:w="28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可信的最佳轮次和最终测试结果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第一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完成多种子复现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四种方法至少运行3个相同种子 保持数据划分一致</w:t>
            </w:r>
          </w:p>
        </w:tc>
        <w:tc>
          <w:tcPr>
            <w:tcW w:type="dxa" w:w="28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均值 标准差 95%置信区间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第一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进行站点级统计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对13站做配对比较 报告胜出站点数并使用配对检验</w:t>
            </w:r>
          </w:p>
        </w:tc>
        <w:tc>
          <w:tcPr>
            <w:tcW w:type="dxa" w:w="28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差异是否稳定以及哪些站点受益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第一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核对公平性与复现性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冻结实际运行代码 环境和配置 记录参数量 显存 GPU利用率</w:t>
            </w:r>
          </w:p>
        </w:tc>
        <w:tc>
          <w:tcPr>
            <w:tcW w:type="dxa" w:w="28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可审计的实验配置表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第二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加入必要基线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持续性 季节性朴素 本地独立 集中式训练</w:t>
            </w:r>
          </w:p>
        </w:tc>
        <w:tc>
          <w:tcPr>
            <w:tcW w:type="dxa" w:w="28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证明预测模型和联邦训练的增量价值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第二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分析 FedProx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测试 μ 为0.001 0.01 0.1以及本地轮数1 3 5</w:t>
            </w:r>
          </w:p>
        </w:tc>
        <w:tc>
          <w:tcPr>
            <w:tcW w:type="dxa" w:w="28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解释 FedProx 在何种异质性下有效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第二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序列和预测范围消融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回看24 72 168 336小时 预测6 12 24 48小时</w:t>
            </w:r>
          </w:p>
        </w:tc>
        <w:tc>
          <w:tcPr>
            <w:tcW w:type="dxa" w:w="28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确认 Mamba 优势是否随序列变长扩大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第二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特征消融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比较仅 PM2.5 气象特征和完整 FS12</w:t>
            </w:r>
          </w:p>
        </w:tc>
        <w:tc>
          <w:tcPr>
            <w:tcW w:type="dxa" w:w="28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量化协变量对误差和 R² 的贡献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第三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效率和成本分析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记录吞吐量 峰值显存 功耗或租用成本</w:t>
            </w:r>
          </w:p>
        </w:tc>
        <w:tc>
          <w:tcPr>
            <w:tcW w:type="dxa" w:w="28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6"/>
              </w:rPr>
              <w:t>精度 时间 显存和成本的综合比较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建议的统计报告方式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color w:val="202020"/>
          <w:sz w:val="21"/>
        </w:rPr>
        <w:t>主表报告三个或更多随机种子的站点平均结果，格式为均值加减标准差。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color w:val="202020"/>
          <w:sz w:val="21"/>
        </w:rPr>
        <w:t>对同一站点和同一种子形成配对结果，使用配对 t 检验或 Wilcoxon 符号秩检验，并报告效应量与95%置信区间。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color w:val="202020"/>
          <w:sz w:val="21"/>
        </w:rPr>
        <w:t>同时报告宏平均和按测试样本数加权的微平均，避免站点规模不同造成解释偏差。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color w:val="202020"/>
          <w:sz w:val="21"/>
        </w:rPr>
        <w:t>使用验证集决定最佳轮次，最终测试集只产生一次 MAE RMSE 和 R²。</w:t>
      </w:r>
    </w:p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2"/>
        </w:rPr>
        <w:t>六 论文定位与可检验观点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推荐的论文主线</w:t>
      </w:r>
    </w:p>
    <w:p>
      <w:pPr>
        <w:spacing w:after="120" w:line="324" w:lineRule="auto"/>
        <w:ind w:firstLine="440"/>
      </w:pPr>
      <w:r>
        <w:rPr>
          <w:rFonts w:ascii="Arial Unicode MS" w:hAnsi="Arial Unicode MS" w:eastAsia="Arial Unicode MS"/>
          <w:color w:val="202020"/>
          <w:sz w:val="22"/>
        </w:rPr>
        <w:t>现阶段最稳妥的论文定位是高效的多站点联邦 PM2.5 预测。核心贡献可以表述为：在保持与 Transformer 相当或略好的预测精度时，Mamba 显著降低训练时间；同时分析不同聚合方法在站点异质性下的适用条件。如果后续多种子结果仍显示不到 0.2% 的精度差异，论文应强调效率与可扩展性，而不应把主要贡献写成精度提升。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建议形成的研究问题</w:t>
      </w:r>
    </w:p>
    <w:p>
      <w:pPr>
        <w:spacing w:after="100" w:line="300" w:lineRule="auto"/>
        <w:ind w:left="440" w:hanging="440"/>
      </w:pPr>
      <w:r>
        <w:rPr>
          <w:rFonts w:ascii="Arial Unicode MS" w:hAnsi="Arial Unicode MS" w:eastAsia="Arial Unicode MS"/>
          <w:color w:val="202020"/>
          <w:sz w:val="21"/>
        </w:rPr>
        <w:t>1.  在多站点小时级 PM2.5 联邦预测中，Mamba 能否达到与 Transformer 相当的预测精度并降低训练成本。</w:t>
      </w:r>
    </w:p>
    <w:p>
      <w:pPr>
        <w:spacing w:after="100" w:line="300" w:lineRule="auto"/>
        <w:ind w:left="440" w:hanging="440"/>
      </w:pPr>
      <w:r>
        <w:rPr>
          <w:rFonts w:ascii="Arial Unicode MS" w:hAnsi="Arial Unicode MS" w:eastAsia="Arial Unicode MS"/>
          <w:color w:val="202020"/>
          <w:sz w:val="21"/>
        </w:rPr>
        <w:t>2.  Mamba 的效率优势是否会随回看长度和预测范围增加而扩大。</w:t>
      </w:r>
    </w:p>
    <w:p>
      <w:pPr>
        <w:spacing w:after="100" w:line="300" w:lineRule="auto"/>
        <w:ind w:left="440" w:hanging="440"/>
      </w:pPr>
      <w:r>
        <w:rPr>
          <w:rFonts w:ascii="Arial Unicode MS" w:hAnsi="Arial Unicode MS" w:eastAsia="Arial Unicode MS"/>
          <w:color w:val="202020"/>
          <w:sz w:val="21"/>
        </w:rPr>
        <w:t>3.  当监测站之间的数据分布差异增强时，FedProx 是否比 FedAvg 更稳定。</w:t>
      </w:r>
    </w:p>
    <w:p>
      <w:pPr>
        <w:spacing w:after="100" w:line="300" w:lineRule="auto"/>
        <w:ind w:left="440" w:hanging="440"/>
      </w:pPr>
      <w:r>
        <w:rPr>
          <w:rFonts w:ascii="Arial Unicode MS" w:hAnsi="Arial Unicode MS" w:eastAsia="Arial Unicode MS"/>
          <w:color w:val="202020"/>
          <w:sz w:val="21"/>
        </w:rPr>
        <w:t>4.  不同监测站的样本量 缺失率 污染水平和周期性是否能解释模型收益差异。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可以直接检验的假设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52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假设</w:t>
            </w:r>
          </w:p>
        </w:tc>
        <w:tc>
          <w:tcPr>
            <w:tcW w:type="dxa" w:w="324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当前证据</w:t>
            </w:r>
          </w:p>
        </w:tc>
        <w:tc>
          <w:tcPr>
            <w:tcW w:type="dxa" w:w="324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需要的验证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Mamba 在相近精度下显著缩短训练时间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单轮快约4.6至4.8倍 总时长减少约77%至79%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多种子 同硬件 参数量与精度对齐后的速度比较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Mamba 加 FedAvg 是当前最佳组合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最终 MAE RMSE 和 R²均为四组最佳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站点级配对检验和独立验证集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FedProx 的收益取决于客户端异质性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当前设置下收益不稳定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μ 本地轮数和异质性分层实验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更长序列更有利于 Mamba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当前168小时已经显示速度优势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7"/>
              </w:rPr>
              <w:t>多个回看长度的误差 时间和显存曲线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论文创新性需要进一步加强的方向</w:t>
      </w:r>
    </w:p>
    <w:p>
      <w:pPr>
        <w:spacing w:after="120" w:line="324" w:lineRule="auto"/>
        <w:ind w:firstLine="440"/>
      </w:pPr>
      <w:r>
        <w:rPr>
          <w:rFonts w:ascii="Arial Unicode MS" w:hAnsi="Arial Unicode MS" w:eastAsia="Arial Unicode MS"/>
          <w:color w:val="202020"/>
          <w:sz w:val="22"/>
        </w:rPr>
        <w:t>仅将 Transformer 替换为 Mamba 并比较 FedAvg 与 FedProx，可能不足以形成强方法创新。更有潜力的方向是把空气质量的周期结构和站点差异纳入聚合机制，例如共享低频周期信息，同时保留站点特有的高频变化，或者对不同站点采用个性化预测头。这类设计能够把模型效率与空气质量问题的结构联系起来，比单纯增加模型数量更容易形成清晰贡献。</w:t>
      </w:r>
    </w:p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2"/>
        </w:rPr>
        <w:t>七 与教授沟通时的简明表述</w:t>
      </w:r>
    </w:p>
    <w:p>
      <w:pPr>
        <w:spacing w:after="120" w:line="324" w:lineRule="auto"/>
        <w:ind w:firstLine="440"/>
      </w:pPr>
      <w:r>
        <w:rPr>
          <w:rFonts w:ascii="Arial Unicode MS" w:hAnsi="Arial Unicode MS" w:eastAsia="Arial Unicode MS"/>
          <w:color w:val="202020"/>
          <w:sz w:val="22"/>
        </w:rPr>
        <w:t>目前我们完成了 Transformer 和 Mamba 分别结合 FedAvg 与 FedProx 的四组实验。在13个站点、回看168小时并预测24小时的设置下，四种方法的最终 MAE 都在 1.90 左右，精度差距很小。Mamba 加 FedAvg 的结果最好，最终 MAE 为 1.9021，曲线最低值为 1.8992。更明显的差别在训练效率：Mamba 每轮约35至39秒，Transformer 每轮约168至178秒，因此 Mamba 快约4.6至4.8倍。</w:t>
      </w:r>
    </w:p>
    <w:p>
      <w:pPr>
        <w:spacing w:after="120" w:line="324" w:lineRule="auto"/>
        <w:ind w:firstLine="440"/>
      </w:pPr>
      <w:r>
        <w:rPr>
          <w:rFonts w:ascii="Arial Unicode MS" w:hAnsi="Arial Unicode MS" w:eastAsia="Arial Unicode MS"/>
          <w:color w:val="202020"/>
          <w:sz w:val="22"/>
        </w:rPr>
        <w:t>我认为现在可以把 Mamba 作为主要方向，但论文结论还需要进一步验证。当前结果看起来只有一个随机种子，而且训练过程中使用测试集画收敛曲线。下一步我准备先建立独立验证集，完成至少三个随机种子，并做站点级统计检验。之后再补充集中式 本地独立和朴素预测基线，以及不同序列长度和 FedProx 参数实验。</w:t>
      </w:r>
    </w:p>
    <w:p>
      <w:pPr>
        <w:spacing w:after="120" w:line="324" w:lineRule="auto"/>
        <w:ind w:firstLine="440"/>
      </w:pPr>
      <w:r>
        <w:rPr>
          <w:rFonts w:ascii="Arial Unicode MS" w:hAnsi="Arial Unicode MS" w:eastAsia="Arial Unicode MS"/>
          <w:color w:val="202020"/>
          <w:sz w:val="22"/>
        </w:rPr>
        <w:t>我希望和您确认两点。第一，论文是否应以计算效率为主线，而不是强调很小的精度提升。第二，方法创新是否应继续发展为结合频率信息或站点个性化的聚合方法。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5"/>
        </w:rPr>
        <w:t>建议请教授决定的问题</w:t>
      </w:r>
    </w:p>
    <w:p>
      <w:pPr>
        <w:spacing w:after="100" w:line="300" w:lineRule="auto"/>
        <w:ind w:left="440" w:hanging="440"/>
      </w:pPr>
      <w:r>
        <w:rPr>
          <w:rFonts w:ascii="Arial Unicode MS" w:hAnsi="Arial Unicode MS" w:eastAsia="Arial Unicode MS"/>
          <w:color w:val="202020"/>
          <w:sz w:val="21"/>
        </w:rPr>
        <w:t>1.  论文主线是否确定为在相近精度下提高联邦时序预测效率。</w:t>
      </w:r>
    </w:p>
    <w:p>
      <w:pPr>
        <w:spacing w:after="100" w:line="300" w:lineRule="auto"/>
        <w:ind w:left="440" w:hanging="440"/>
      </w:pPr>
      <w:r>
        <w:rPr>
          <w:rFonts w:ascii="Arial Unicode MS" w:hAnsi="Arial Unicode MS" w:eastAsia="Arial Unicode MS"/>
          <w:color w:val="202020"/>
          <w:sz w:val="21"/>
        </w:rPr>
        <w:t>2.  是否需要在当前阶段加入新的聚合方法 还是先完成多种子和统计验证。</w:t>
      </w:r>
    </w:p>
    <w:p>
      <w:pPr>
        <w:spacing w:after="100" w:line="300" w:lineRule="auto"/>
        <w:ind w:left="440" w:hanging="440"/>
      </w:pPr>
      <w:r>
        <w:rPr>
          <w:rFonts w:ascii="Arial Unicode MS" w:hAnsi="Arial Unicode MS" w:eastAsia="Arial Unicode MS"/>
          <w:color w:val="202020"/>
          <w:sz w:val="21"/>
        </w:rPr>
        <w:t>3.  论文目标期刊或会议对方法创新和实验规模的要求是什么。</w:t>
      </w:r>
    </w:p>
    <w:p>
      <w:pPr>
        <w:spacing w:after="100" w:line="300" w:lineRule="auto"/>
        <w:ind w:left="440" w:hanging="440"/>
      </w:pPr>
      <w:r>
        <w:rPr>
          <w:rFonts w:ascii="Arial Unicode MS" w:hAnsi="Arial Unicode MS" w:eastAsia="Arial Unicode MS"/>
          <w:color w:val="202020"/>
          <w:sz w:val="21"/>
        </w:rPr>
        <w:t>4.  是否把频率感知聚合或个性化站点模型作为主要方法贡献。</w:t>
      </w:r>
    </w:p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2"/>
        </w:rPr>
        <w:t>八 阶段性结论</w:t>
      </w:r>
    </w:p>
    <w:p>
      <w:pPr>
        <w:spacing w:after="120" w:line="324" w:lineRule="auto"/>
        <w:ind w:firstLine="440"/>
      </w:pPr>
      <w:r>
        <w:rPr>
          <w:rFonts w:ascii="Arial Unicode MS" w:hAnsi="Arial Unicode MS" w:eastAsia="Arial Unicode MS"/>
          <w:color w:val="202020"/>
          <w:sz w:val="22"/>
        </w:rPr>
        <w:t>当前实验已经形成有价值的方向性证据。Mamba 加 FedAvg 在四组方案中具有最佳综合表现，尤其是训练时间优势非常明显。但现有精度差异不足以单独支撑强结论，且测试集使用方式 多种子复现 模型公平性和基线完整性仍需补充。下一阶段应优先完成验证集 多种子 站点级统计和复现审计。若这些结果继续成立，论文可以稳健地提出 Mamba 是多站点联邦 PM2.5 预测中更高效的骨干网络，并进一步研究针对空气质量周期性和站点差异的聚合方法。</w:t>
      </w:r>
    </w:p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2"/>
        </w:rPr>
        <w:t>附录 指标口径说明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95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983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本报告中的含义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最终13站平均 MAE</w:t>
            </w:r>
          </w:p>
        </w:tc>
        <w:tc>
          <w:tcPr>
            <w:tcW w:type="dxa" w:w="698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第30轮模型在13个站点测试集上的 MAE 算术平均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曲线最低 MAE</w:t>
            </w:r>
          </w:p>
        </w:tc>
        <w:tc>
          <w:tcPr>
            <w:tcW w:type="dxa" w:w="698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每5轮测试一次后 所有观测点中的最低13站平均测试 MAE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进入最优值1%区间</w:t>
            </w:r>
          </w:p>
        </w:tc>
        <w:tc>
          <w:tcPr>
            <w:tcW w:type="dxa" w:w="698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第一次达到不高于全程最低 MAE 乘以1.01的评估轮次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每轮耗时</w:t>
            </w:r>
          </w:p>
        </w:tc>
        <w:tc>
          <w:tcPr>
            <w:tcW w:type="dxa" w:w="698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shd w:fill="F5F9FC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客户端本地训练和参数聚合的平均时间 不完全包含评估与初始化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总时长</w:t>
            </w:r>
          </w:p>
        </w:tc>
        <w:tc>
          <w:tcPr>
            <w:tcW w:type="dxa" w:w="698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02020"/>
                <w:sz w:val="18"/>
              </w:rPr>
              <w:t>从构建客户端到完成最终评估的整体墙钟时间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5A5A5A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 Unicode MS" w:hAnsi="Arial Unicode MS" w:eastAsia="Arial Unicode MS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