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pPr>
      <w:r>
        <w:t xml:space="preserve">SIMKERMA</w:t>
      </w:r>
    </w:p>
    <w:p>
      <w:pPr>
        <w:jc w:val="center"/>
      </w:pPr>
      <w:r>
        <w:rPr>
          <w:b/>
          <w:sz w:val="28"/>
          <w:color w:val="6366F1"/>
        </w:rPr>
        <w:t xml:space="preserve">Sistem Monitoring Masa Berlaku Kerja Sama</w:t>
      </w:r>
    </w:p>
    <w:p>
      <w:pPr>
        <w:jc w:val="center"/>
      </w:pPr>
      <w:r>
        <w:rPr>
          <w:i/>
        </w:rPr>
        <w:t xml:space="preserve">Politeknik Kesehatan Kemenkes Palembang</w:t>
      </w:r>
    </w:p>
    <w:p/>
    <w:p>
      <w:pPr>
        <w:jc w:val="center"/>
      </w:pPr>
      <w:r>
        <w:rPr>
          <w:sz w:val="22"/>
        </w:rPr>
        <w:t xml:space="preserve">Dokumen Gambaran &amp; Rancangan Aplikasi</w:t>
      </w:r>
    </w:p>
    <w:p>
      <w:pPr>
        <w:jc w:val="center"/>
      </w:pPr>
      <w:r>
        <w:rPr>
          <w:i/>
          <w:sz w:val="20"/>
          <w:color w:val="666666"/>
        </w:rPr>
        <w:t xml:space="preserve">Disusun: Juni 2026</w:t>
      </w:r>
    </w:p>
    <w:p/>
    <w:p>
      <w:pPr>
        <w:pStyle w:val="Heading1"/>
      </w:pPr>
      <w:r>
        <w:t xml:space="preserve">1. Kenapa Aplikasi Ini Dibuat</w:t>
      </w:r>
    </w:p>
    <w:p>
      <w:r>
        <w:t xml:space="preserve">Di kampus kami banyak sekali kerja sama dengan pihak luar, seperti rumah sakit, puskesmas, dinas kesehatan, sekolah, sampai instansi pemerintah. Setiap kerja sama ini punya surat resmi (orang menyebutnya MoU, MoA, atau PKS) yang ada masa berlakunya, misalnya berlaku 3 tahun atau 5 tahun.</w:t>
      </w:r>
    </w:p>
    <w:p>
      <w:r>
        <w:t xml:space="preserve">Masalahnya selama ini sederhana tapi sering terjadi: kami lupa kapan sebuah kerja sama akan habis. Akibatnya, surat sudah kedaluwarsa baru ketahuan, dan harus repot mengurus perpanjangan dari awal. Data lama juga tercatat di file Excel yang panjang dan berantakan, sehingga susah dicari dan susah dipantau.</w:t>
      </w:r>
    </w:p>
    <w:p>
      <w:pPr>
        <w:spacing w:after="60"/>
      </w:pPr>
      <w:r>
        <w:t xml:space="preserve">Karena itu kami ingin punya satu aplikasi sederhana yang tujuannya cuma satu:</w:t>
      </w:r>
    </w:p>
    <w:p>
      <w:pPr>
        <w:jc w:val="center"/>
      </w:pPr>
      <w:r>
        <w:rPr>
          <w:b/>
          <w:i/>
          <w:color w:val="6366F1"/>
        </w:rPr>
        <w:t xml:space="preserve">“Jangan sampai ada lagi kerja sama yang lupa atau terlewat diperpanjang.”</w:t>
      </w:r>
    </w:p>
    <w:p/>
    <w:p>
      <w:pPr>
        <w:pStyle w:val="Heading1"/>
      </w:pPr>
      <w:r>
        <w:t xml:space="preserve">2. Apa Itu SIMKERMA (Penjelasan Sederhana)</w:t>
      </w:r>
    </w:p>
    <w:p>
      <w:r>
        <w:t xml:space="preserve">SIMKERMA adalah aplikasi pencatat dan pengingat kerja sama. Bayangkan seperti buku catatan pintar: setiap kali ada kerja sama baru atau perpanjangan, kami catat di sini. Lalu aplikasi akan otomatis mengingatkan lewat email (dan bisa juga WhatsApp) jauh-jauh hari sebelum kerja sama itu habis, sehingga ada cukup waktu untuk mengurus perpanjangan.</w:t>
      </w:r>
    </w:p>
    <w:p>
      <w:r>
        <w:t xml:space="preserve">Selain mengingatkan, aplikasi juga menampilkan ringkasan yang mudah dibaca: berapa banyak kerja sama yang masih aktif, mana yang sebentar lagi habis, mitra mana yang paling lama bekerja sama, dan sebagainya. Jadi pimpinan bisa langsung melihat gambaran besarnya tanpa harus membuka file Excel yang panjang.</w:t>
      </w:r>
    </w:p>
    <w:p/>
    <w:p>
      <w:pPr>
        <w:pStyle w:val="Heading1"/>
      </w:pPr>
      <w:r>
        <w:t xml:space="preserve">3. Apa Saja yang Bisa Dilakukan</w:t>
      </w:r>
    </w:p>
    <w:p>
      <w:pPr>
        <w:pStyle w:val="ListBullet"/>
        <w:numPr>
          <w:ilvl w:val="0"/>
          <w:numId w:val="1"/>
        </w:numPr>
      </w:pPr>
      <w:r>
        <w:rPr>
          <w:b/>
        </w:rPr>
        <w:t xml:space="preserve">Mencatat kerja sama baru — </w:t>
      </w:r>
      <w:r>
        <w:t xml:space="preserve">Mencatat kerja sama baru, lengkap dengan nama mitra, jenis kerja sama, tanggal mulai, dan berapa lama masa berlakunya.</w:t>
      </w:r>
    </w:p>
    <w:p>
      <w:pPr>
        <w:pStyle w:val="ListBullet"/>
        <w:numPr>
          <w:ilvl w:val="0"/>
          <w:numId w:val="1"/>
        </w:numPr>
      </w:pPr>
      <w:r>
        <w:rPr>
          <w:b/>
        </w:rPr>
        <w:t xml:space="preserve">Mencatat perpanjangan — </w:t>
      </w:r>
      <w:r>
        <w:t xml:space="preserve">Mencatat perpanjangan dari kerja sama yang sudah ada, tanpa harus mengetik ulang data mitranya.</w:t>
      </w:r>
    </w:p>
    <w:p>
      <w:pPr>
        <w:pStyle w:val="ListBullet"/>
        <w:numPr>
          <w:ilvl w:val="0"/>
          <w:numId w:val="1"/>
        </w:numPr>
      </w:pPr>
      <w:r>
        <w:rPr>
          <w:b/>
        </w:rPr>
        <w:t xml:space="preserve">Menghitung otomatis — </w:t>
      </w:r>
      <w:r>
        <w:t xml:space="preserve">Aplikasi sendiri yang menghitung kapan kerja sama berakhir dan berapa hari lagi sisanya, jadi tidak perlu menghitung manual.</w:t>
      </w:r>
    </w:p>
    <w:p>
      <w:pPr>
        <w:pStyle w:val="ListBullet"/>
        <w:numPr>
          <w:ilvl w:val="0"/>
          <w:numId w:val="1"/>
        </w:numPr>
      </w:pPr>
      <w:r>
        <w:rPr>
          <w:b/>
        </w:rPr>
        <w:t xml:space="preserve">Mengingatkan otomatis — </w:t>
      </w:r>
      <w:r>
        <w:t xml:space="preserve">Mengirim email pengingat secara otomatis menjelang tanggal berakhir, beserta lampiran berkas suratnya.</w:t>
      </w:r>
    </w:p>
    <w:p>
      <w:pPr>
        <w:pStyle w:val="ListBullet"/>
        <w:numPr>
          <w:ilvl w:val="0"/>
          <w:numId w:val="1"/>
        </w:numPr>
      </w:pPr>
      <w:r>
        <w:rPr>
          <w:b/>
        </w:rPr>
        <w:t xml:space="preserve">Menyimpan berkas — </w:t>
      </w:r>
      <w:r>
        <w:t xml:space="preserve">Menyimpan file surat MoU/PKS supaya tersimpan rapi dan bisa dibuka kembali kapan saja.</w:t>
      </w:r>
    </w:p>
    <w:p>
      <w:pPr>
        <w:pStyle w:val="ListBullet"/>
        <w:numPr>
          <w:ilvl w:val="0"/>
          <w:numId w:val="1"/>
        </w:numPr>
      </w:pPr>
      <w:r>
        <w:rPr>
          <w:b/>
        </w:rPr>
        <w:t xml:space="preserve">Menampilkan ringkasan — </w:t>
      </w:r>
      <w:r>
        <w:t xml:space="preserve">Menampilkan ringkasan dan grafik yang mudah dipahami tentang seluruh kerja sama.</w:t>
      </w:r>
    </w:p>
    <w:p/>
    <w:p>
      <w:pPr>
        <w:pStyle w:val="Heading1"/>
      </w:pPr>
      <w:r>
        <w:t xml:space="preserve">4. Dua Bagian Utama Aplikasi</w:t>
      </w:r>
    </w:p>
    <w:p>
      <w:pPr>
        <w:spacing w:after="80"/>
      </w:pPr>
      <w:r>
        <w:t xml:space="preserve">Supaya mudah dipakai, aplikasi ini dibagi jadi dua halaman:</w:t>
      </w:r>
    </w:p>
    <w:p>
      <w:pPr>
        <w:pStyle w:val="Heading2"/>
      </w:pPr>
      <w:r>
        <w:t xml:space="preserve">A. Halaman Pengisian Data</w:t>
      </w:r>
    </w:p>
    <w:p>
      <w:r>
        <w:t xml:space="preserve">Halaman ini dipakai petugas untuk memasukkan kerja sama. Ada dua pilihan: “Kerja Sama Baru” untuk mitra atau kesepakatan yang benar-benar baru, dan “Perpanjangan” untuk memperbarui kerja sama yang sudah pernah ada. Kalau memilih perpanjangan, data mitranya akan terisi otomatis sehingga lebih cepat.</w:t>
      </w:r>
    </w:p>
    <w:p>
      <w:r>
        <w:t xml:space="preserve">Pilihan-pilihan seperti jenis mitra, bentuk kerja sama, dan ruang lingkup sudah disediakan sebagai daftar siap pilih, tapi kalau ada yang belum tersedia, petugas bisa menambah sendiri. Petugas juga bisa langsung melampirkan file surat (hasil pindai/scan) dari halaman ini.</w:t>
      </w:r>
    </w:p>
    <w:p>
      <w:pPr>
        <w:pStyle w:val="Heading2"/>
      </w:pPr>
      <w:r>
        <w:t xml:space="preserve">B. Halaman Ringkasan</w:t>
      </w:r>
    </w:p>
    <w:p>
      <w:r>
        <w:t xml:space="preserve">Halaman ini menampilkan gambaran besar seluruh kerja sama dalam bentuk angka dan grafik yang mudah dibaca, antara lain:</w:t>
      </w:r>
    </w:p>
    <w:p>
      <w:pPr>
        <w:pStyle w:val="ListBullet"/>
        <w:numPr>
          <w:ilvl w:val="0"/>
          <w:numId w:val="1"/>
        </w:numPr>
      </w:pPr>
      <w:r>
        <w:t xml:space="preserve">Jumlah total kerja sama, yang masih aktif, yang sebentar lagi habis, dan yang sudah habis.</w:t>
      </w:r>
    </w:p>
    <w:p>
      <w:pPr>
        <w:pStyle w:val="ListBullet"/>
        <w:numPr>
          <w:ilvl w:val="0"/>
          <w:numId w:val="1"/>
        </w:numPr>
      </w:pPr>
      <w:r>
        <w:t xml:space="preserve">Daftar kerja sama yang perlu segera ditindaklanjuti (paling mendesak).</w:t>
      </w:r>
    </w:p>
    <w:p>
      <w:pPr>
        <w:pStyle w:val="ListBullet"/>
        <w:numPr>
          <w:ilvl w:val="0"/>
          <w:numId w:val="1"/>
        </w:numPr>
      </w:pPr>
      <w:r>
        <w:t xml:space="preserve">Grafik tren per tahun, per bidang, per jenis mitra, dan per bentuk kerja sama.</w:t>
      </w:r>
    </w:p>
    <w:p>
      <w:pPr>
        <w:pStyle w:val="ListBullet"/>
        <w:numPr>
          <w:ilvl w:val="0"/>
          <w:numId w:val="1"/>
        </w:numPr>
      </w:pPr>
      <w:r>
        <w:t xml:space="preserve">Daftar mitra yang paling lama bekerja sama dan mitra dengan kerja sama terbanyak.</w:t>
      </w:r>
    </w:p>
    <w:p/>
    <w:p>
      <w:pPr>
        <w:pStyle w:val="Heading1"/>
      </w:pPr>
      <w:r>
        <w:t xml:space="preserve">5. Bagaimana Cara Kerjanya (Alur Sederhana)</w:t>
      </w:r>
    </w:p>
    <w:p>
      <w:pPr>
        <w:pStyle w:val="ListNumber"/>
        <w:numPr>
          <w:ilvl w:val="0"/>
          <w:numId w:val="2"/>
        </w:numPr>
      </w:pPr>
      <w:r>
        <w:t xml:space="preserve">Petugas membuka halaman pengisian dan mengisi data kerja sama, lalu menekan tombol simpan.</w:t>
      </w:r>
    </w:p>
    <w:p>
      <w:pPr>
        <w:pStyle w:val="ListNumber"/>
        <w:numPr>
          <w:ilvl w:val="0"/>
          <w:numId w:val="2"/>
        </w:numPr>
      </w:pPr>
      <w:r>
        <w:t xml:space="preserve">Data otomatis tersimpan rapi di tempat penyimpanan online milik kampus, beserta file suratnya.</w:t>
      </w:r>
    </w:p>
    <w:p>
      <w:pPr>
        <w:pStyle w:val="ListNumber"/>
        <w:numPr>
          <w:ilvl w:val="0"/>
          <w:numId w:val="2"/>
        </w:numPr>
      </w:pPr>
      <w:r>
        <w:t xml:space="preserve">Setiap pagi, aplikasi otomatis memeriksa semua kerja sama dan menghitung mana yang sebentar lagi habis.</w:t>
      </w:r>
    </w:p>
    <w:p>
      <w:pPr>
        <w:pStyle w:val="ListNumber"/>
        <w:numPr>
          <w:ilvl w:val="0"/>
          <w:numId w:val="2"/>
        </w:numPr>
      </w:pPr>
      <w:r>
        <w:t xml:space="preserve">Kalau ada yang mendekati tanggal berakhir, aplikasi mengirim email pengingat ke petugas terkait, lengkap dengan lampiran suratnya.</w:t>
      </w:r>
    </w:p>
    <w:p>
      <w:pPr>
        <w:pStyle w:val="ListNumber"/>
        <w:numPr>
          <w:ilvl w:val="0"/>
          <w:numId w:val="2"/>
        </w:numPr>
      </w:pPr>
      <w:r>
        <w:t xml:space="preserve">Pimpinan dan petugas bisa membuka halaman ringkasan kapan saja untuk melihat keadaan terbaru.</w:t>
      </w:r>
    </w:p>
    <w:p/>
    <w:p>
      <w:pPr>
        <w:pStyle w:val="Heading1"/>
      </w:pPr>
      <w:r>
        <w:t xml:space="preserve">6. Pengingat Otomatis</w:t>
      </w:r>
    </w:p>
    <w:p>
      <w:r>
        <w:t xml:space="preserve">Inilah jantung dari aplikasi ini. Setiap pagi pukul 07.00 WIB, aplikasi memeriksa seluruh data dan mengirim pengingat secara bertahap, yaitu pada saat:</w:t>
      </w:r>
    </w:p>
    <w:p>
      <w:pPr>
        <w:pStyle w:val="ListBullet"/>
        <w:numPr>
          <w:ilvl w:val="0"/>
          <w:numId w:val="1"/>
        </w:numPr>
      </w:pPr>
      <w:r>
        <w:t xml:space="preserve">90 hari sebelum berakhir (peringatan paling awal),</w:t>
      </w:r>
    </w:p>
    <w:p>
      <w:pPr>
        <w:pStyle w:val="ListBullet"/>
        <w:numPr>
          <w:ilvl w:val="0"/>
          <w:numId w:val="1"/>
        </w:numPr>
      </w:pPr>
      <w:r>
        <w:t xml:space="preserve">60 hari, 30 hari, dan 7 hari sebelum berakhir,</w:t>
      </w:r>
    </w:p>
    <w:p>
      <w:pPr>
        <w:pStyle w:val="ListBullet"/>
        <w:numPr>
          <w:ilvl w:val="0"/>
          <w:numId w:val="1"/>
        </w:numPr>
      </w:pPr>
      <w:r>
        <w:t xml:space="preserve">dan tepat pada hari kerja sama itu berakhir.</w:t>
      </w:r>
    </w:p>
    <w:p>
      <w:r>
        <w:t xml:space="preserve">Pengingat dibuat tidak “berisik”: untuk setiap tahap, email hanya dikirim satu kali supaya tidak mengganggu. Penerima email, batas hari pengingat, dan apakah ingin pakai WhatsApp atau tidak — semuanya bisa diatur dengan mudah tanpa mengubah aplikasi.</w:t>
      </w:r>
    </w:p>
    <w:p/>
    <w:p>
      <w:pPr>
        <w:pStyle w:val="Heading1"/>
      </w:pPr>
      <w:r>
        <w:t xml:space="preserve">7. Di Mana Data Disimpan</w:t>
      </w:r>
    </w:p>
    <w:p>
      <w:r>
        <w:t xml:space="preserve">Semua catatan disimpan di satu tempat penyimpanan online milik kampus, yang dibagi menjadi beberapa bagian agar rapi dan mudah ditelusuri:</w:t>
      </w:r>
    </w:p>
    <w:tbl>
      <w:tblPr>
        <w:tblW w:w="9000" w:type="dxa"/>
        <w:tblBorders>
          <w:top w:val="single" w:sz="4" w:color="C7C7E0"/>
          <w:left w:val="single" w:sz="4" w:color="C7C7E0"/>
          <w:bottom w:val="single" w:sz="4" w:color="C7C7E0"/>
          <w:right w:val="single" w:sz="4" w:color="C7C7E0"/>
          <w:insideH w:val="single" w:sz="4" w:color="C7C7E0"/>
          <w:insideV w:val="single" w:sz="4" w:color="C7C7E0"/>
        </w:tblBorders>
      </w:tblPr>
      <w:tblGrid>
        <w:gridCol w:w="4500"/>
        <w:gridCol w:w="4500"/>
      </w:tblGrid>
      <w:tr>
        <w:tc>
          <w:tcPr>
            <w:tcW w:w="4500" w:type="dxa"/>
            <w:shd w:val="clear" w:color="auto" w:fill="6366F1"/>
            <w:tcMar>
              <w:top w:w="60" w:type="dxa"/>
              <w:bottom w:w="60" w:type="dxa"/>
              <w:left w:w="100" w:type="dxa"/>
              <w:right w:w="100" w:type="dxa"/>
            </w:tcMar>
          </w:tcPr>
          <w:p>
            <w:pPr>
              <w:spacing w:after="0"/>
            </w:pPr>
            <w:r>
              <w:rPr>
                <w:b/>
                <w:color w:val="FFFFFF"/>
              </w:rPr>
              <w:t xml:space="preserve">Bagian</w:t>
            </w:r>
          </w:p>
        </w:tc>
        <w:tc>
          <w:tcPr>
            <w:tcW w:w="4500" w:type="dxa"/>
            <w:shd w:val="clear" w:color="auto" w:fill="6366F1"/>
            <w:tcMar>
              <w:top w:w="60" w:type="dxa"/>
              <w:bottom w:w="60" w:type="dxa"/>
              <w:left w:w="100" w:type="dxa"/>
              <w:right w:w="100" w:type="dxa"/>
            </w:tcMar>
          </w:tcPr>
          <w:p>
            <w:pPr>
              <w:spacing w:after="0"/>
            </w:pPr>
            <w:r>
              <w:rPr>
                <w:b/>
                <w:color w:val="FFFFFF"/>
              </w:rPr>
              <w:t xml:space="preserve">Isinya</w:t>
            </w:r>
          </w:p>
        </w:tc>
      </w:tr>
      <w:tr>
        <w:tc>
          <w:tcPr>
            <w:tcW w:w="4500" w:type="dxa"/>
            <w:tcMar>
              <w:top w:w="60" w:type="dxa"/>
              <w:bottom w:w="60" w:type="dxa"/>
              <w:left w:w="100" w:type="dxa"/>
              <w:right w:w="100" w:type="dxa"/>
            </w:tcMar>
          </w:tcPr>
          <w:p>
            <w:pPr>
              <w:spacing w:after="0"/>
            </w:pPr>
            <w:r>
              <w:t xml:space="preserve">Mitra</w:t>
            </w:r>
          </w:p>
        </w:tc>
        <w:tc>
          <w:tcPr>
            <w:tcW w:w="4500" w:type="dxa"/>
            <w:tcMar>
              <w:top w:w="60" w:type="dxa"/>
              <w:bottom w:w="60" w:type="dxa"/>
              <w:left w:w="100" w:type="dxa"/>
              <w:right w:w="100" w:type="dxa"/>
            </w:tcMar>
          </w:tcPr>
          <w:p>
            <w:pPr>
              <w:spacing w:after="0"/>
            </w:pPr>
            <w:r>
              <w:t xml:space="preserve">Daftar instansi mitra beserta orang yang bisa dihubungi. Jarang berubah.</w:t>
            </w:r>
          </w:p>
        </w:tc>
      </w:tr>
      <w:tr>
        <w:tc>
          <w:tcPr>
            <w:tcW w:w="4500" w:type="dxa"/>
            <w:tcMar>
              <w:top w:w="60" w:type="dxa"/>
              <w:bottom w:w="60" w:type="dxa"/>
              <w:left w:w="100" w:type="dxa"/>
              <w:right w:w="100" w:type="dxa"/>
            </w:tcMar>
          </w:tcPr>
          <w:p>
            <w:pPr>
              <w:spacing w:after="0"/>
            </w:pPr>
            <w:r>
              <w:t xml:space="preserve">Kerja Sama</w:t>
            </w:r>
          </w:p>
        </w:tc>
        <w:tc>
          <w:tcPr>
            <w:tcW w:w="4500" w:type="dxa"/>
            <w:tcMar>
              <w:top w:w="60" w:type="dxa"/>
              <w:bottom w:w="60" w:type="dxa"/>
              <w:left w:w="100" w:type="dxa"/>
              <w:right w:w="100" w:type="dxa"/>
            </w:tcMar>
          </w:tcPr>
          <w:p>
            <w:pPr>
              <w:spacing w:after="0"/>
            </w:pPr>
            <w:r>
              <w:t xml:space="preserve">Catatan setiap surat MoU/PKS, baik yang baru maupun perpanjangan.</w:t>
            </w:r>
          </w:p>
        </w:tc>
      </w:tr>
      <w:tr>
        <w:tc>
          <w:tcPr>
            <w:tcW w:w="4500" w:type="dxa"/>
            <w:tcMar>
              <w:top w:w="60" w:type="dxa"/>
              <w:bottom w:w="60" w:type="dxa"/>
              <w:left w:w="100" w:type="dxa"/>
              <w:right w:w="100" w:type="dxa"/>
            </w:tcMar>
          </w:tcPr>
          <w:p>
            <w:pPr>
              <w:spacing w:after="0"/>
            </w:pPr>
            <w:r>
              <w:t xml:space="preserve">Pilihan</w:t>
            </w:r>
          </w:p>
        </w:tc>
        <w:tc>
          <w:tcPr>
            <w:tcW w:w="4500" w:type="dxa"/>
            <w:tcMar>
              <w:top w:w="60" w:type="dxa"/>
              <w:bottom w:w="60" w:type="dxa"/>
              <w:left w:w="100" w:type="dxa"/>
              <w:right w:w="100" w:type="dxa"/>
            </w:tcMar>
          </w:tcPr>
          <w:p>
            <w:pPr>
              <w:spacing w:after="0"/>
            </w:pPr>
            <w:r>
              <w:t xml:space="preserve">Daftar pilihan siap pakai (jenis, bentuk, ruang lingkup) yang bisa ditambah sewaktu-waktu.</w:t>
            </w:r>
          </w:p>
        </w:tc>
      </w:tr>
      <w:tr>
        <w:tc>
          <w:tcPr>
            <w:tcW w:w="4500" w:type="dxa"/>
            <w:tcMar>
              <w:top w:w="60" w:type="dxa"/>
              <w:bottom w:w="60" w:type="dxa"/>
              <w:left w:w="100" w:type="dxa"/>
              <w:right w:w="100" w:type="dxa"/>
            </w:tcMar>
          </w:tcPr>
          <w:p>
            <w:pPr>
              <w:spacing w:after="0"/>
            </w:pPr>
            <w:r>
              <w:t xml:space="preserve">Pengaturan</w:t>
            </w:r>
          </w:p>
        </w:tc>
        <w:tc>
          <w:tcPr>
            <w:tcW w:w="4500" w:type="dxa"/>
            <w:tcMar>
              <w:top w:w="60" w:type="dxa"/>
              <w:bottom w:w="60" w:type="dxa"/>
              <w:left w:w="100" w:type="dxa"/>
              <w:right w:w="100" w:type="dxa"/>
            </w:tcMar>
          </w:tcPr>
          <w:p>
            <w:pPr>
              <w:spacing w:after="0"/>
            </w:pPr>
            <w:r>
              <w:t xml:space="preserve">Tempat mengatur penerima email, jadwal pengingat, dan lainnya.</w:t>
            </w:r>
          </w:p>
        </w:tc>
      </w:tr>
    </w:tbl>
    <w:p/>
    <w:p>
      <w:r>
        <w:rPr>
          <w:i/>
        </w:rPr>
        <w:t xml:space="preserve">Untuk file surat aslinya (hasil pindai/scan MoU atau PKS), aplikasi menyimpannya di penyimpanan online milik kampus, lalu menempelkan tombol/tautan ke surat itu pada catatan kerja samanya. Jadi kapan pun butuh, suratnya tinggal diklik dan langsung terbuka — tidak perlu mencari-cari file di komputer lagi.</w:t>
      </w:r>
    </w:p>
    <w:p/>
    <w:p>
      <w:pPr>
        <w:pStyle w:val="Heading1"/>
      </w:pPr>
      <w:r>
        <w:t xml:space="preserve">8. Keamanan</w:t>
      </w:r>
    </w:p>
    <w:p>
      <w:r>
        <w:t xml:space="preserve">Karena halaman pengisian dipakai untuk mengubah data, halaman ini dilindungi kata sandi. Hanya petugas yang diberi sandi yang bisa menyimpan data. Sandi diperiksa langsung oleh sistem dan tidak ikut tampil di layar, jadi tidak bisa diintip orang lain. Sementara halaman ringkasan hanya bisa dilihat dan tidak bisa mengubah apa pun, jadi aman dibuka siapa saja yang berkepentingan.</w:t>
      </w:r>
    </w:p>
    <w:p/>
    <w:p>
      <w:pPr>
        <w:pStyle w:val="Heading1"/>
      </w:pPr>
      <w:r>
        <w:t xml:space="preserve">9. Harapan Kami</w:t>
      </w:r>
    </w:p>
    <w:p>
      <w:r>
        <w:t xml:space="preserve">Dengan aplikasi sederhana ini, kami berharap tidak ada lagi kerja sama yang terlewat diperpanjang, data kerja sama jadi rapi dan mudah dicari, dan pimpinan bisa mengambil keputusan lebih cepat karena semua informasi sudah terkumpul di satu tempat.</w:t>
      </w:r>
    </w:p>
    <w:p/>
    <w:p>
      <w:pPr>
        <w:jc w:val="center"/>
      </w:pPr>
      <w:r>
        <w:rPr>
          <w:i/>
          <w:color w:val="666666"/>
        </w:rPr>
        <w:t xml:space="preserve">— Selesai —</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pPr>
      <w:spacing w:after="60"/>
      <w:jc w:val="center"/>
    </w:pPr>
    <w:rPr>
      <w:b/>
      <w:color w:val="6366F1"/>
      <w:sz w:val="56"/>
    </w:rPr>
  </w:style>
  <w:style w:type="paragraph" w:styleId="Heading1">
    <w:name w:val="heading 1"/>
    <w:basedOn w:val="Normal"/>
    <w:next w:val="Normal"/>
    <w:pPr>
      <w:keepNext/>
      <w:spacing w:before="280" w:after="120"/>
      <w:pBdr>
        <w:bottom w:val="single" w:sz="6" w:space="2" w:color="C7C7E0"/>
      </w:pBdr>
    </w:pPr>
    <w:rPr>
      <w:b/>
      <w:color w:val="4F46E5"/>
      <w:sz w:val="30"/>
    </w:rPr>
  </w:style>
  <w:style w:type="paragraph" w:styleId="Heading2">
    <w:name w:val="heading 2"/>
    <w:basedOn w:val="Normal"/>
    <w:next w:val="Normal"/>
    <w:pPr>
      <w:keepNext/>
      <w:spacing w:before="160" w:after="80"/>
    </w:pPr>
    <w:rPr>
      <w:b/>
      <w:color w:val="7C3AED"/>
      <w:sz w:val="26"/>
    </w:rPr>
  </w:style>
  <w:style w:type="paragraph" w:styleId="ListBullet">
    <w:name w:val="List Bullet"/>
    <w:basedOn w:val="Normal"/>
    <w:pPr>
      <w:spacing w:after="60"/>
    </w:pPr>
  </w:style>
  <w:style w:type="paragraph" w:styleId="ListNumber">
    <w:name w:val="List Number"/>
    <w:basedOn w:val="Normal"/>
    <w:pPr>
      <w:spacing w:after="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