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0"/>
          <w:szCs w:val="30"/>
        </w:rPr>
        <w:t xml:space="preserve">An Integrated Tele-Nursing and Wearable AI Framework for Early Deterioration Detection in Chronic Disease: A Reproducible Study on Open Physiological Datasets</w:t>
      </w:r>
    </w:p>
    <w:p>
      <w:pPr>
        <w:spacing w:after="60"/>
        <w:jc w:val="center"/>
      </w:pPr>
      <w:r>
        <w:rPr>
          <w:i/>
          <w:iCs/>
          <w:color w:val="555555"/>
          <w:sz w:val="20"/>
          <w:szCs w:val="20"/>
        </w:rPr>
        <w:t xml:space="preserve">[[Author Name(s)]] · [[Affiliation(s)]] · [[Corresponding email]] · [[ORCID]]</w:t>
      </w:r>
    </w:p>
    <w:p>
      <w:pPr>
        <w:spacing w:after="200"/>
        <w:jc w:val="center"/>
      </w:pPr>
      <w:r>
        <w:rPr>
          <w:color w:val="777777"/>
          <w:sz w:val="18"/>
          <w:szCs w:val="18"/>
        </w:rPr>
        <w:t xml:space="preserve">Prepared for submission to JMIR mHealth and uHealth / International Journal of Medical Informatics (adapt formatting to chosen journal)</w:t>
      </w:r>
    </w:p>
    <w:p>
      <w:pPr>
        <w:pStyle w:val="Heading1"/>
      </w:pPr>
      <w:r>
        <w:t xml:space="preserve">Abstract</w:t>
      </w:r>
    </w:p>
    <w:p>
      <w:pPr>
        <w:spacing w:after="140" w:line="300"/>
        <w:jc w:val="both"/>
      </w:pPr>
      <w:r>
        <w:t xml:space="preserve">Background: Continuous remote monitoring of patients with chronic cardiovascular and metabolic conditions may enable earlier detection of clinical deterioration and support nurse-led tele-care. However, many proposed frameworks are not evaluated on openly available data, limiting reproducibility. Objective: We present and openly evaluate an integrated tele-nursing and wearable-oriented framework in which a recurrent neural network detects early physiological deterioration from multivariate vital-sign time series. Methods: Using the openly available PhysioNet/Computing in Cardiology 2019 dataset, we framed early deterioration detection as predicting a validated physiologic deterioration onset within a fixed lead time from a sliding window of hourly vital signs (heart rate, oxygen saturation, temperature, blood pressure, respiration). A gated recurrent unit (GRU) classifier was trained with class-imbalance weighting and evaluated on a held-out test split. A clearly labelled synthetic layer was used solely to demonstrate the tele-nursing integration workflow. Results: On a held-out test set of 76,263 hourly windows (2,461 positive; 3.2% prevalence), the GRU achieved an AUROC of 0.866 and an AUPRC of 0.243. At the default alarm threshold (0.5) it reached a sensitivity of 0.803 and a specificity of 0.761, with a precision of 0.101, an F1 of 0.179 and a false-alarm rate of 0.239. Conclusions: The framework provides a reproducible, openly evaluable basis for AI-assisted, nurse-led remote monitoring; all code and data sources are public.</w:t>
      </w:r>
    </w:p>
    <w:p>
      <w:pPr>
        <w:spacing w:after="200"/>
      </w:pPr>
      <w:r>
        <w:rPr>
          <w:b/>
          <w:bCs/>
        </w:rPr>
        <w:t xml:space="preserve">Keywords: </w:t>
      </w:r>
      <w:r>
        <w:t xml:space="preserve">tele-nursing; wearable sensors; chronic disease; clinical deterioration; recurrent neural network; reproducibility; open data</w:t>
      </w:r>
    </w:p>
    <w:p>
      <w:pPr>
        <w:pStyle w:val="Heading1"/>
      </w:pPr>
      <w:r>
        <w:t xml:space="preserve">1. Introduction</w:t>
      </w:r>
    </w:p>
    <w:p>
      <w:pPr>
        <w:spacing w:after="140" w:line="300"/>
        <w:jc w:val="both"/>
      </w:pPr>
      <w:r>
        <w:t xml:space="preserve">Chronic cardiovascular and metabolic diseases impose a sustained burden on health systems and are a leading driver of avoidable hospital readmissions. Remote care models, in which nurses coordinate monitoring and intervention outside the hospital, have been associated with improvements in quality of life and self-management across multiple systematic reviews.</w:t>
      </w:r>
    </w:p>
    <w:p>
      <w:pPr>
        <w:spacing w:after="140" w:line="300"/>
        <w:jc w:val="both"/>
      </w:pPr>
      <w:r>
        <w:t xml:space="preserve">Two technological currents motivate this work. First, wearable biosensors now provide near-continuous streams of heart rate, oxygen saturation and activity. Second, sequence models such as recurrent neural networks can learn patient-specific temporal patterns that fixed early-warning scores cannot. Yet a recurring methodological weakness is that proposed frameworks are frequently described without evaluation on reproducible, openly available data.</w:t>
      </w:r>
    </w:p>
    <w:p>
      <w:pPr>
        <w:spacing w:after="140" w:line="300"/>
        <w:jc w:val="both"/>
      </w:pPr>
      <w:r>
        <w:t xml:space="preserve">This study addresses that gap directly. Rather than report a single-site proprietary cohort, we operationalise the deterioration-detection task on open physiological datasets so that every reported number can be regenerated by any reader from the accompanying code. We also make explicit which components are real secondary data and which are synthetic.</w:t>
      </w:r>
    </w:p>
    <w:p>
      <w:pPr>
        <w:pStyle w:val="Heading1"/>
      </w:pPr>
      <w:r>
        <w:t xml:space="preserve">2. Related Work</w:t>
      </w:r>
    </w:p>
    <w:p>
      <w:pPr>
        <w:spacing w:after="140" w:line="300"/>
        <w:jc w:val="both"/>
      </w:pPr>
      <w:r>
        <w:t xml:space="preserve">Telehealth for chronic conditions has been evaluated in several systematic reviews, with nurse-led models showing benefits in adherence and patient-reported outcomes while highlighting heterogeneity in endpoints. Acceptance research stresses that workflow fit and alert quality strongly influence front-line uptake.</w:t>
      </w:r>
    </w:p>
    <w:p>
      <w:pPr>
        <w:spacing w:after="140" w:line="300"/>
        <w:jc w:val="both"/>
      </w:pPr>
      <w:r>
        <w:t xml:space="preserve">On the modelling side, machine-learning early-warning systems have repeatedly outperformed threshold-based scores for imminent deterioration, and recurrent architectures are well suited to irregular physiological sequences. Wearable-based studies further show that multimodal signals can flag deterioration risk in outpatients. Our contribution is to combine an RNN deterioration detector with an explicit, reproducible, open-data evaluation and a transparently-labelled tele-nursing integration layer.</w:t>
      </w:r>
    </w:p>
    <w:p>
      <w:pPr>
        <w:pStyle w:val="Heading1"/>
      </w:pPr>
      <w:r>
        <w:t xml:space="preserve">3. Methods</w:t>
      </w:r>
    </w:p>
    <w:p>
      <w:pPr>
        <w:pStyle w:val="Heading2"/>
      </w:pPr>
      <w:r>
        <w:t xml:space="preserve">3.1 Datasets</w:t>
      </w:r>
    </w:p>
    <w:p>
      <w:pPr>
        <w:spacing w:after="140" w:line="300"/>
        <w:jc w:val="both"/>
      </w:pPr>
      <w:r>
        <w:t xml:space="preserve">The primary modelling data is the openly available PhysioNet/Computing in Cardiology 2019 dataset, which provides hourly multivariate vital-sign records with a validated physiologic deterioration onset label. We use the seven wearable-obtainable vital signs (heart rate, oxygen saturation, temperature, systolic/diastolic/mean arterial blood pressure and respiration rate) as model inputs.</w:t>
      </w:r>
    </w:p>
    <w:p>
      <w:pPr>
        <w:spacing w:after="140" w:line="300"/>
        <w:jc w:val="both"/>
      </w:pPr>
      <w:r>
        <w:t xml:space="preserve">Two further open datasets are supported optionally for extension: MIMIC-IV (credentialed) for chronic-disease cohorts identified by diagnosis codes, and PPG-DaLiA for a wrist-wearable heart-rate front-end. Full provenance, licences and dataset DOIs are listed in the appendix.</w:t>
      </w:r>
    </w:p>
    <w:p>
      <w:pPr>
        <w:pStyle w:val="Heading2"/>
      </w:pPr>
      <w:r>
        <w:t xml:space="preserve">3.2 Preprocessing and Windowing</w:t>
      </w:r>
    </w:p>
    <w:p>
      <w:pPr>
        <w:spacing w:after="140" w:line="300"/>
        <w:jc w:val="both"/>
      </w:pPr>
      <w:r>
        <w:t xml:space="preserve">Each patient record is forward/backward filled and median-imputed within patient. We then slide a window of W hours over the sequence; a window is labelled positive if a deterioration onset occurs within the subsequent L hours, framing the task as prediction before clinical recognition. Default values (W = 8, L = 6) are set in the configuration file and reported for reproducibility.</w:t>
      </w:r>
    </w:p>
    <w:p>
      <w:pPr>
        <w:spacing w:after="140" w:line="300"/>
        <w:jc w:val="both"/>
      </w:pPr>
      <w:r>
        <w:t xml:space="preserve">Data are split into training, validation and test partitions with stratification on the label, and per-feature standardisation statistics are estimated on the training partition only to avoid leakage.</w:t>
      </w:r>
    </w:p>
    <w:p>
      <w:pPr>
        <w:pStyle w:val="Heading2"/>
      </w:pPr>
      <w:r>
        <w:t xml:space="preserve">3.3 Model Architecture</w:t>
      </w:r>
    </w:p>
    <w:p>
      <w:pPr>
        <w:spacing w:after="140" w:line="300"/>
        <w:jc w:val="both"/>
      </w:pPr>
      <w:r>
        <w:t xml:space="preserve">The detector is a gated recurrent unit network that maps a window of standardised vital signs to a single deterioration-risk logit through the final hidden state, followed by a small fully-connected head with layer normalisation and dropout. A long short-term memory variant is selectable. The GRU update and risk-score equations are provided in the figure/equation appendix.</w:t>
      </w:r>
    </w:p>
    <w:p>
      <w:pPr>
        <w:pStyle w:val="Heading2"/>
      </w:pPr>
      <w:r>
        <w:t xml:space="preserve">3.4 Training</w:t>
      </w:r>
    </w:p>
    <w:p>
      <w:pPr>
        <w:spacing w:after="140" w:line="300"/>
        <w:jc w:val="both"/>
      </w:pPr>
      <w:r>
        <w:t xml:space="preserve">Models are trained with the Adam optimiser and weighted binary cross-entropy, where the positive-class weight is set automatically from the training prevalence to counter class imbalance. Early stopping monitors validation loss. All hyperparameters and the random seed are recorded in the configuration file.</w:t>
      </w:r>
    </w:p>
    <w:p>
      <w:pPr>
        <w:pStyle w:val="Heading2"/>
      </w:pPr>
      <w:r>
        <w:t xml:space="preserve">3.5 Evaluation</w:t>
      </w:r>
    </w:p>
    <w:p>
      <w:pPr>
        <w:spacing w:after="140" w:line="300"/>
        <w:jc w:val="both"/>
      </w:pPr>
      <w:r>
        <w:t xml:space="preserve">On the held-out test partition we report discrimination (AUROC, AUPRC) and operating-point metrics at a configurable alarm threshold: sensitivity (recall), specificity, precision, F1 and false-alarm rate, together with the confusion matrix. These values are written to a machine-readable metrics file and are the source of every number in the Results section.</w:t>
      </w:r>
    </w:p>
    <w:p>
      <w:pPr>
        <w:pStyle w:val="Heading2"/>
      </w:pPr>
      <w:r>
        <w:t xml:space="preserve">3.6 Synthetic Tele-Nursing Integration Layer</w:t>
      </w:r>
    </w:p>
    <w:p>
      <w:pPr>
        <w:spacing w:after="140"/>
      </w:pPr>
      <w:r>
        <w:rPr>
          <w:b/>
          <w:bCs/>
          <w:i/>
          <w:iCs/>
          <w:color w:val="B00000"/>
        </w:rPr>
        <w:t xml:space="preserve">Note: the tele-nursing/PRO/adherence layer is SYNTHETIC (simulated). It is used solely to illustrate data flow and is never reported as a clinical result.</w:t>
      </w:r>
    </w:p>
    <w:p>
      <w:pPr>
        <w:spacing w:after="140" w:line="300"/>
        <w:jc w:val="both"/>
      </w:pPr>
      <w:r>
        <w:t xml:space="preserve">No open dataset links tele-nursing consultation records, patient-reported outcomes, nurse response times and adherence to the same patients whose vital signs we model. To demonstrate the integration workflow only, we generate this layer with a transparent, seeded stochastic simulator. Every record is stamped as synthetic, and these data are never used to compute clinical performance and never reported as outcomes.</w:t>
      </w:r>
    </w:p>
    <w:p>
      <w:pPr>
        <w:pStyle w:val="Heading2"/>
      </w:pPr>
      <w:r>
        <w:t xml:space="preserve">3.7 Ethics and Data Governance</w:t>
      </w:r>
    </w:p>
    <w:p>
      <w:pPr>
        <w:spacing w:after="140" w:line="300"/>
        <w:jc w:val="both"/>
      </w:pPr>
      <w:r>
        <w:t xml:space="preserve">This work is a secondary analysis of de-identified, publicly released datasets used under their respective data-use agreements; such use is typically classified as non-human-subjects research. The synthetic layer involves no human subjects and requires no ethical approval. Investigators should confirm local institutional requirements before submission.</w:t>
      </w:r>
    </w:p>
    <w:p>
      <w:pPr>
        <w:pStyle w:val="Heading1"/>
      </w:pPr>
      <w:r>
        <w:t xml:space="preserve">4. Results</w:t>
      </w:r>
    </w:p>
    <w:p>
      <w:pPr>
        <w:spacing w:after="140"/>
      </w:pPr>
      <w:r>
        <w:rPr>
          <w:b/>
          <w:bCs/>
          <w:i/>
          <w:iCs/>
          <w:color w:val="B00000"/>
        </w:rPr>
        <w:t xml:space="preserve">All values in this section are taken directly from results/metrics.json, produced by the pipeline on the open PhysioNet/CinC 2019 dataset (seed 42; 8-hour window, 6-hour lead time; see config.yaml). No numbers were carried over from any earlier abstract.</w:t>
      </w:r>
    </w:p>
    <w:p>
      <w:pPr>
        <w:spacing w:after="140" w:line="300"/>
        <w:jc w:val="both"/>
      </w:pPr>
      <w:r>
        <w:t xml:space="preserve">The held-out test partition comprised 76,263 hourly windows, of which 2,461 (3.2%) were labelled positive for impending deterioration, reflecting the marked class imbalance inherent to early-warning tasks. On this set the GRU detector achieved an AUROC of 0.866, indicating good overall discrimination between windows that precede deterioration and those that do not. The area under the precision-recall curve was 0.243, well above the positive prevalence of 0.032 that a non-informative classifier would attain, confirming that the model concentrates risk among true positives despite the imbalance.</w:t>
      </w:r>
    </w:p>
    <w:p>
      <w:pPr>
        <w:spacing w:after="140" w:line="300"/>
        <w:jc w:val="both"/>
      </w:pPr>
      <w:r>
        <w:t xml:space="preserve">At the default alarm threshold of 0.5, the model operated at a sensitivity (recall) of 0.803 and a specificity of 0.761. The corresponding confusion matrix was 1,977 true positives, 484 false negatives, 56,187 true negatives and 17,615 false positives, giving a precision of 0.101, an F1 of 0.179 and a false-alarm rate of 0.239. In other words, the detector recovered roughly four of every five impending-deterioration windows while raising an alarm on about one in four non-event windows; the threshold can be tuned on the validation set to trade sensitivity against false-alarm burden according to the tolerances of a given tele-nursing workflow.</w:t>
      </w:r>
    </w:p>
    <w:p>
      <w:pPr>
        <w:spacing w:before="80" w:after="80"/>
      </w:pPr>
      <w:r>
        <w:rPr>
          <w:b/>
          <w:bCs/>
          <w:sz w:val="20"/>
          <w:szCs w:val="20"/>
        </w:rPr>
        <w:t xml:space="preserve">Table 1. Held-out test performance (populated from results/metrics.json).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20"/>
                <w:szCs w:val="20"/>
              </w:rPr>
              <w:t xml:space="preserve">Metric</w:t>
            </w:r>
          </w:p>
        </w:tc>
        <w:tc>
          <w:tcPr>
            <w:tcW w:type="dxa" w:w="468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20"/>
                <w:szCs w:val="20"/>
              </w:rPr>
              <w:t xml:space="preserve">Value (from results/metrics.json)</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AUROC</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0.866</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AUPRC</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0.243</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Sensitivity (recall)</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0.803</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Specificity</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0.761</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Precision</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0.101</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False-alarm rate</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0.239</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F1</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0.179</w:t>
            </w:r>
          </w:p>
        </w:tc>
      </w:tr>
    </w:tbl>
    <w:p>
      <w:pPr>
        <w:spacing w:before="120" w:after="120"/>
      </w:pPr>
      <w:r>
        <w:rPr>
          <w:i/>
          <w:iCs/>
          <w:sz w:val="20"/>
          <w:szCs w:val="20"/>
        </w:rPr>
        <w:t xml:space="preserve">Figures 1-2 are conceptual diagrams (see figure_prompts.md). Figures 3-5 (ROC, precision-recall, confusion matrix) are generated from the real model run by src/eval/plot_figures.py and must not be image-generated.</w:t>
      </w:r>
    </w:p>
    <w:p>
      <w:pPr>
        <w:pStyle w:val="Heading1"/>
      </w:pPr>
      <w:r>
        <w:t xml:space="preserve">5. Discussion</w:t>
      </w:r>
    </w:p>
    <w:p>
      <w:pPr>
        <w:spacing w:after="140" w:line="300"/>
        <w:jc w:val="both"/>
      </w:pPr>
      <w:r>
        <w:t xml:space="preserve">The AUROC of 0.866 places the detector in the range reported for machine-learning early-warning systems and above typical threshold-based scores, while the AUPRC of 0.243 — roughly eight times the positive prevalence — is the more informative figure for a rare-event task and indicates that the risk score is genuinely concentrated among windows that precede deterioration. Clinically, the operating point captures the central trade-off of any remote-monitoring alert system: a sensitivity of 0.803 means most impending-deterioration windows are flagged, but the accompanying false-alarm rate of 0.239 and precision of 0.101 imply that the majority of individual alerts will not correspond to an event. Because the alarm threshold is a tunable parameter, a tele-nursing service can move along this curve — accepting fewer alarms at lower sensitivity, or higher sensitivity at greater review burden — to match its staffing and the consequences of a missed deterioration. Prioritising alerts by risk score, rather than treating them as binary, offers a practical way to direct scarce nurse attention to the highest-risk patients first.</w:t>
      </w:r>
    </w:p>
    <w:p>
      <w:pPr>
        <w:spacing w:after="140" w:line="300"/>
        <w:jc w:val="both"/>
      </w:pPr>
      <w:r>
        <w:t xml:space="preserve">Reproducibility is itself a contribution here. Because the entire evaluation runs on an openly downloadable dataset with released code and a fixed seed, every number in this manuscript can be regenerated and independently checked — a property that remains uncommon in this application area and that we regard as a precondition for trustworthy AI-assisted remote care.</w:t>
      </w:r>
    </w:p>
    <w:p>
      <w:pPr>
        <w:pStyle w:val="Heading1"/>
      </w:pPr>
      <w:r>
        <w:t xml:space="preserve">6. Limitations</w:t>
      </w:r>
    </w:p>
    <w:p>
      <w:pPr>
        <w:spacing w:after="140" w:line="300"/>
        <w:jc w:val="both"/>
      </w:pPr>
      <w:r>
        <w:t xml:space="preserve">First, deterioration is operationalised using the PhysioNet 2019 onset label, a validated but specific physiologic endpoint that serves as a proxy/testbed rather than a disease-specific chronic-care outcome; extension to MIMIC-IV chronic cohorts is the natural next step. Second, the wearable and tele-nursing layers are demonstrated rather than clinically validated; the tele-nursing layer is synthetic. Third, results from public datasets require prospective validation before clinical deployment.</w:t>
      </w:r>
    </w:p>
    <w:p>
      <w:pPr>
        <w:pStyle w:val="Heading1"/>
      </w:pPr>
      <w:r>
        <w:t xml:space="preserve">7. Conclusion</w:t>
      </w:r>
    </w:p>
    <w:p>
      <w:pPr>
        <w:spacing w:after="140" w:line="300"/>
        <w:jc w:val="both"/>
      </w:pPr>
      <w:r>
        <w:t xml:space="preserve">We presented a reproducible, open-data evaluation of an RNN early-deterioration detector embedded in a nurse-led tele-monitoring framework, with a transparently-labelled synthetic integration layer. The approach offers an honest, checkable foundation for AI-assisted remote chronic care and a clear path to clinically-grounded extension.</w:t>
      </w:r>
    </w:p>
    <w:p>
      <w:pPr>
        <w:pStyle w:val="Heading1"/>
      </w:pPr>
      <w:r>
        <w:t xml:space="preserve">Data and Code Availability</w:t>
      </w:r>
    </w:p>
    <w:p>
      <w:pPr>
        <w:spacing w:after="140" w:line="300"/>
        <w:jc w:val="both"/>
      </w:pPr>
      <w:r>
        <w:t xml:space="preserve">All code is available in the accompanying repository (see README.md and setup.md). Real datasets are public: PhysioNet/CinC 2019 (DOI 10.13026/v64v-d857), MIMIC-IV (DOI 10.13026/6mm1-ek67, credentialed), PPG-DaLiA (DOI 10.24432/C53890). The synthetic tele-nursing layer is reproducible from the seeded generator. No proprietary patient data were used.</w:t>
      </w:r>
    </w:p>
    <w:p>
      <w:pPr>
        <w:pStyle w:val="Heading1"/>
      </w:pPr>
      <w:r>
        <w:t xml:space="preserve">References</w:t>
      </w:r>
    </w:p>
    <w:p>
      <w:pPr>
        <w:spacing w:after="80"/>
      </w:pPr>
      <w:r>
        <w:rPr>
          <w:sz w:val="20"/>
          <w:szCs w:val="20"/>
        </w:rPr>
        <w:t xml:space="preserve">[1] Johnson AEW, Bulgarelli L, Shen L, et al. MIMIC-IV, a freely accessible electronic health record dataset. Sci Data. 2023;10:1. https://doi.org/10.1038/s41597-022-01899-x</w:t>
      </w:r>
    </w:p>
    <w:p>
      <w:pPr>
        <w:spacing w:after="80"/>
      </w:pPr>
      <w:r>
        <w:rPr>
          <w:sz w:val="20"/>
          <w:szCs w:val="20"/>
        </w:rPr>
        <w:t xml:space="preserve">[2] Reyna MA, Josef CS, Jeter R, et al. Early Prediction of Sepsis From Clinical Data: The PhysioNet/Computing in Cardiology Challenge 2019. Crit Care Med. 2020;48(2):210-217. https://doi.org/10.1097/CCM.0000000000004145</w:t>
      </w:r>
    </w:p>
    <w:p>
      <w:pPr>
        <w:spacing w:after="80"/>
      </w:pPr>
      <w:r>
        <w:rPr>
          <w:sz w:val="20"/>
          <w:szCs w:val="20"/>
        </w:rPr>
        <w:t xml:space="preserve">[3] Goldberger AL, Amaral LAN, Glass L, et al. PhysioBank, PhysioToolkit, and PhysioNet. Circulation. 2000;101(23):e215-e220. https://doi.org/10.1161/01.CIR.101.23.e215</w:t>
      </w:r>
    </w:p>
    <w:p>
      <w:pPr>
        <w:spacing w:after="80"/>
      </w:pPr>
      <w:r>
        <w:rPr>
          <w:sz w:val="20"/>
          <w:szCs w:val="20"/>
        </w:rPr>
        <w:t xml:space="preserve">[4] Reiss A, Indlekofer I, Schmidt P, Van Laerhoven K. Deep PPG: Large-Scale Heart Rate Estimation with CNNs. Sensors. 2019;19(14):3079. https://doi.org/10.3390/s19143079</w:t>
      </w:r>
    </w:p>
    <w:p>
      <w:pPr>
        <w:spacing w:after="80"/>
      </w:pPr>
      <w:r>
        <w:rPr>
          <w:sz w:val="20"/>
          <w:szCs w:val="20"/>
        </w:rPr>
        <w:t xml:space="preserve">[5] Lewinski AA, Walsh C, Rushton S, et al. Telehealth for the Longitudinal Management of Chronic Conditions: Systematic Review. J Med Internet Res. 2022;24(8):e37100. https://doi.org/10.2196/37100</w:t>
      </w:r>
    </w:p>
    <w:p>
      <w:pPr>
        <w:spacing w:after="80"/>
      </w:pPr>
      <w:r>
        <w:rPr>
          <w:sz w:val="20"/>
          <w:szCs w:val="20"/>
        </w:rPr>
        <w:t xml:space="preserve">[6] Lee AYL, Wong AKC, Hung TTM, Yan J, Yang S. Nurse-led Telerehabilitation Among Community-Dwelling Patients With Chronic Diseases: Systematic Review and Meta-analysis. J Med Internet Res. 2022;24(11):e40364. https://doi.org/10.2196/40364</w:t>
      </w:r>
    </w:p>
    <w:p>
      <w:pPr>
        <w:spacing w:after="80"/>
      </w:pPr>
      <w:r>
        <w:rPr>
          <w:sz w:val="20"/>
          <w:szCs w:val="20"/>
        </w:rPr>
        <w:t xml:space="preserve">[7] Xiao Z, Han X. Evaluation of the Effectiveness of Telehealth Chronic Disease Management System: Systematic Review and Meta-analysis. J Med Internet Res. 2023;25:e44256. https://doi.org/10.2196/44256</w:t>
      </w:r>
    </w:p>
    <w:p>
      <w:pPr>
        <w:spacing w:after="80"/>
      </w:pPr>
      <w:r>
        <w:rPr>
          <w:sz w:val="20"/>
          <w:szCs w:val="20"/>
        </w:rPr>
        <w:t xml:space="preserve">[8] Kamei T, Yamamoto Y, Kanamori T, Nakayama Y, Porter SE. Detection of early-stage changes in people with chronic diseases: a telenursing feasibility study. Nurs Health Sci. 2018;20(3):313-322. https://doi.org/10.1111/nhs.12563</w:t>
      </w:r>
    </w:p>
    <w:p>
      <w:pPr>
        <w:spacing w:after="80"/>
      </w:pPr>
      <w:r>
        <w:rPr>
          <w:sz w:val="20"/>
          <w:szCs w:val="20"/>
        </w:rPr>
        <w:t xml:space="preserve">[9] Steitz BD, McCoy AB, Reese TJ, et al. ML Algorithm Using Clinical Pages to Predict Imminent Clinical Deterioration. J Gen Intern Med. 2024;39:27-34. https://doi.org/10.1007/s11606-023-08349-3</w:t>
      </w:r>
    </w:p>
    <w:p>
      <w:pPr>
        <w:spacing w:after="80"/>
      </w:pPr>
      <w:r>
        <w:rPr>
          <w:sz w:val="20"/>
          <w:szCs w:val="20"/>
        </w:rPr>
        <w:t xml:space="preserve">[10] Gonem S, Taylor A, Figueredo G, et al. Dynamic early warning scores for predicting clinical deterioration in respiratory disease. Respir Res. 2022;23:215. https://doi.org/10.1186/s12931-022-02130-6</w:t>
      </w:r>
    </w:p>
    <w:p>
      <w:pPr>
        <w:spacing w:after="80"/>
      </w:pPr>
      <w:r>
        <w:rPr>
          <w:sz w:val="20"/>
          <w:szCs w:val="20"/>
        </w:rPr>
        <w:t xml:space="preserve">[11] Cheng CY, Hsu TH, Hung YL, et al. Early prediction of in-hospital deterioration after ED admission using ML. BMC Emerg Med. 2026;26:6. https://doi.org/10.1186/s12873-025-01464-w</w:t>
      </w:r>
    </w:p>
    <w:p>
      <w:pPr>
        <w:spacing w:after="80"/>
      </w:pPr>
      <w:r>
        <w:rPr>
          <w:sz w:val="20"/>
          <w:szCs w:val="20"/>
        </w:rPr>
        <w:t xml:space="preserve">[12] Brewster L, Mountain G, Wessels B, Kelly C, Hawley M. Factors affecting front line staff acceptance of telehealth technologies. J Adv Nurs. 2014;70(1):21-33. https://doi.org/10.1111/jan.12196</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b/>
      <w:bCs/>
      <w:color w:val="1F3864"/>
      <w:sz w:val="26"/>
      <w:szCs w:val="26"/>
      <w:rFonts w:ascii="Arial" w:cs="Arial" w:eastAsia="Arial" w:hAnsi="Arial"/>
    </w:rPr>
  </w:style>
  <w:style w:type="paragraph" w:styleId="Heading2">
    <w:name w:val="Heading 2"/>
    <w:basedOn w:val="Normal"/>
    <w:next w:val="Normal"/>
    <w:qFormat/>
    <w:pPr>
      <w:spacing w:before="160" w:after="80"/>
      <w:outlineLvl w:val="1"/>
    </w:pPr>
    <w:rPr>
      <w:b/>
      <w:bCs/>
      <w:color w:val="2E5496"/>
      <w:sz w:val="23"/>
      <w:szCs w:val="23"/>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2026-06-03T14:40:41.676Z</dcterms:created>
  <dcterms:modified xsi:type="dcterms:W3CDTF">2026-06-03T14:40:41.680Z</dcterms:modified>
</cp:coreProperties>
</file>

<file path=docProps/custom.xml><?xml version="1.0" encoding="utf-8"?>
<Properties xmlns="http://schemas.openxmlformats.org/officeDocument/2006/custom-properties" xmlns:vt="http://schemas.openxmlformats.org/officeDocument/2006/docPropsVTypes"/>
</file>