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Kerangka Terintegrasi Tele-Keperawatan dan AI Berbasis Wearable untuk Deteksi Dini Perburukan pada Penyakit Kronis: Studi Reproducible pada Dataset Fisiologis Terbuka</w:t>
      </w:r>
    </w:p>
    <w:p>
      <w:pPr>
        <w:spacing w:after="60"/>
        <w:jc w:val="center"/>
      </w:pPr>
      <w:r>
        <w:rPr>
          <w:i/>
          <w:iCs/>
          <w:color w:val="555555"/>
          <w:sz w:val="20"/>
          <w:szCs w:val="20"/>
        </w:rPr>
        <w:t xml:space="preserve">[[Author Name(s)]] · [[Affiliation(s)]] · [[Corresponding email]] · [[ORCID]]</w:t>
      </w:r>
    </w:p>
    <w:p>
      <w:pPr>
        <w:spacing w:after="200"/>
        <w:jc w:val="center"/>
      </w:pPr>
      <w:r>
        <w:rPr>
          <w:color w:val="777777"/>
          <w:sz w:val="18"/>
          <w:szCs w:val="18"/>
        </w:rPr>
        <w:t xml:space="preserve">Disiapkan untuk JMIR mHealth and uHealth / International Journal of Medical Informatics (sesuaikan format dengan jurnal terpilih) — versi Bahasa Indonesia untuk dokumentasi/jurnal nasional Sinta</w:t>
      </w:r>
    </w:p>
    <w:p>
      <w:pPr>
        <w:pStyle w:val="Heading1"/>
      </w:pPr>
      <w:r>
        <w:t xml:space="preserve">Abstrak</w:t>
      </w:r>
    </w:p>
    <w:p>
      <w:pPr>
        <w:spacing w:after="140" w:line="300"/>
        <w:jc w:val="both"/>
      </w:pPr>
      <w:r>
        <w:t xml:space="preserve">Latar belakang: Pemantauan jarak jauh berkelanjutan pada pasien penyakit kardiovaskular dan metabolik kronis berpotensi mendeteksi perburukan klinis lebih awal dan mendukung tele-perawatan yang dipimpin perawat. Namun, banyak kerangka yang diusulkan tidak dievaluasi pada data terbuka sehingga sulit direproduksi. Tujuan: Kami menyajikan dan mengevaluasi secara terbuka kerangka terintegrasi tele-keperawatan dan berorientasi wearable, di mana jaringan saraf rekuren mendeteksi perburukan fisiologis dini dari deret waktu tanda vital multivariat. Metode: Menggunakan dataset terbuka PhysioNet/Computing in Cardiology 2019, deteksi dini perburukan dirumuskan sebagai prediksi onset perburukan fisiologis tervalidasi dalam rentang waktu tertentu dari jendela geser tanda vital per jam (denyut jantung, saturasi oksigen, suhu, tekanan darah, pernapasan). Klasifikasi gated recurrent unit (GRU) dilatih dengan pembobotan ketidakseimbangan kelas dan dievaluasi pada subset uji terpisah. Lapisan sintetis berlabel jelas hanya digunakan untuk mendemonstrasikan alur integrasi tele-keperawatan. Hasil: Pada set uji terpisah berisi 76.263 jendela per jam (2.461 positif; prevalensi 3,2%), GRU mencapai AUROC 0,866 dan AUPRC 0,243. Pada ambang alarm default (0,5) diperoleh sensitivitas 0,803 dan spesifisitas 0,761, dengan presisi 0,101, F1 0,179, dan laju alarm palsu 0,239. Simpulan: Kerangka ini menyediakan dasar yang reproducible dan dapat dievaluasi terbuka untuk pemantauan jarak jauh berbantuan AI yang dipimpin perawat; seluruh kode dan sumber data bersifat publik.</w:t>
      </w:r>
    </w:p>
    <w:p>
      <w:pPr>
        <w:spacing w:after="200"/>
      </w:pPr>
      <w:r>
        <w:rPr>
          <w:b/>
          <w:bCs/>
        </w:rPr>
        <w:t xml:space="preserve">Kata kunci: </w:t>
      </w:r>
      <w:r>
        <w:t xml:space="preserve">tele-keperawatan; sensor wearable; penyakit kronis; perburukan klinis; jaringan saraf rekuren; reproducibility; data terbuka</w:t>
      </w:r>
    </w:p>
    <w:p>
      <w:pPr>
        <w:pStyle w:val="Heading1"/>
      </w:pPr>
      <w:r>
        <w:t xml:space="preserve">1. Pendahuluan</w:t>
      </w:r>
    </w:p>
    <w:p>
      <w:pPr>
        <w:spacing w:after="140" w:line="300"/>
        <w:jc w:val="both"/>
      </w:pPr>
      <w:r>
        <w:t xml:space="preserve">Penyakit kardiovaskular dan metabolik kronis membebani sistem kesehatan secara berkelanjutan dan menjadi pendorong utama rawat inap ulang yang dapat dicegah. Model perawatan jarak jauh, di mana perawat mengoordinasikan pemantauan dan intervensi di luar rumah sakit, dikaitkan dengan perbaikan kualitas hidup dan manajemen mandiri pada beberapa tinjauan sistematis.</w:t>
      </w:r>
    </w:p>
    <w:p>
      <w:pPr>
        <w:spacing w:after="140" w:line="300"/>
        <w:jc w:val="both"/>
      </w:pPr>
      <w:r>
        <w:t xml:space="preserve">Dua arus teknologi melatarbelakangi penelitian ini. Pertama, biosensor wearable kini menyediakan aliran data denyut jantung, saturasi oksigen, dan aktivitas yang nyaris berkelanjutan. Kedua, model sekuens seperti jaringan saraf rekuren dapat mempelajari pola temporal spesifik pasien yang tidak dapat ditangkap skor peringatan dini tetap. Namun, kelemahan metodologis yang berulang adalah kerangka yang diusulkan sering dideskripsikan tanpa evaluasi pada data terbuka yang dapat direproduksi.</w:t>
      </w:r>
    </w:p>
    <w:p>
      <w:pPr>
        <w:spacing w:after="140" w:line="300"/>
        <w:jc w:val="both"/>
      </w:pPr>
      <w:r>
        <w:t xml:space="preserve">Studi ini menjawab kesenjangan tersebut secara langsung. Alih-alih melaporkan kohort milik satu institusi, kami mengoperasionalkan tugas deteksi perburukan pada dataset fisiologis terbuka sehingga setiap angka yang dilaporkan dapat dihasilkan ulang oleh pembaca mana pun dari kode yang disertakan. Kami juga menyatakan secara eksplisit komponen mana yang merupakan data sekunder nyata dan mana yang sintetis.</w:t>
      </w:r>
    </w:p>
    <w:p>
      <w:pPr>
        <w:pStyle w:val="Heading1"/>
      </w:pPr>
      <w:r>
        <w:t xml:space="preserve">2. Tinjauan Pustaka</w:t>
      </w:r>
    </w:p>
    <w:p>
      <w:pPr>
        <w:spacing w:after="140" w:line="300"/>
        <w:jc w:val="both"/>
      </w:pPr>
      <w:r>
        <w:t xml:space="preserve">Telehealth untuk kondisi kronis telah dievaluasi pada beberapa tinjauan sistematis, dengan model yang dipimpin perawat menunjukkan manfaat pada kepatuhan dan luaran yang dilaporkan pasien, sembari menyoroti heterogenitas endpoint. Riset penerimaan menegaskan bahwa kesesuaian alur kerja dan kualitas alarm sangat memengaruhi adopsi di garis depan.</w:t>
      </w:r>
    </w:p>
    <w:p>
      <w:pPr>
        <w:spacing w:after="140" w:line="300"/>
        <w:jc w:val="both"/>
      </w:pPr>
      <w:r>
        <w:t xml:space="preserve">Di sisi pemodelan, sistem peringatan dini berbasis pembelajaran mesin berulang kali mengungguli skor berbasis ambang untuk perburukan yang mengancam, dan arsitektur rekuren cocok untuk deret fisiologis yang tidak teratur. Studi berbasis wearable juga menunjukkan sinyal multimodal dapat menandai risiko perburukan pada pasien rawat jalan. Kontribusi kami adalah memadukan detektor perburukan RNN dengan evaluasi data terbuka yang reproducible dan lapisan integrasi tele-keperawatan yang dilabeli secara transparan.</w:t>
      </w:r>
    </w:p>
    <w:p>
      <w:pPr>
        <w:pStyle w:val="Heading1"/>
      </w:pPr>
      <w:r>
        <w:t xml:space="preserve">3. Metode</w:t>
      </w:r>
    </w:p>
    <w:p>
      <w:pPr>
        <w:pStyle w:val="Heading2"/>
      </w:pPr>
      <w:r>
        <w:t xml:space="preserve">3.1 Dataset</w:t>
      </w:r>
    </w:p>
    <w:p>
      <w:pPr>
        <w:spacing w:after="140" w:line="300"/>
        <w:jc w:val="both"/>
      </w:pPr>
      <w:r>
        <w:t xml:space="preserve">Data pemodelan utama adalah dataset terbuka PhysioNet/Computing in Cardiology 2019 yang menyediakan rekaman tanda vital multivariat per jam dengan label onset perburukan fisiologis tervalidasi. Kami menggunakan tujuh tanda vital yang dapat diperoleh wearable (denyut jantung, saturasi oksigen, suhu, tekanan darah sistolik/diastolik/arteri rata-rata, dan laju pernapasan) sebagai masukan model.</w:t>
      </w:r>
    </w:p>
    <w:p>
      <w:pPr>
        <w:spacing w:after="140" w:line="300"/>
        <w:jc w:val="both"/>
      </w:pPr>
      <w:r>
        <w:t xml:space="preserve">Dua dataset terbuka lain didukung secara opsional untuk perluasan: MIMIC-IV (berkredensial) untuk kohort penyakit kronis berdasarkan kode diagnosis, dan PPG-DaLiA untuk front-end denyut jantung berbasis wearable pergelangan tangan. Provenans lengkap, lisensi, dan DOI dataset tercantum dalam lampiran.</w:t>
      </w:r>
    </w:p>
    <w:p>
      <w:pPr>
        <w:pStyle w:val="Heading2"/>
      </w:pPr>
      <w:r>
        <w:t xml:space="preserve">3.2 Prapemrosesan dan Windowing</w:t>
      </w:r>
    </w:p>
    <w:p>
      <w:pPr>
        <w:spacing w:after="140" w:line="300"/>
        <w:jc w:val="both"/>
      </w:pPr>
      <w:r>
        <w:t xml:space="preserve">Setiap rekaman pasien diisi maju/mundur dan diimputasi median dalam pasien. Kami kemudian menggeser jendela selebar W jam; sebuah jendela dilabeli positif jika onset perburukan terjadi dalam L jam berikutnya, sehingga tugas dirumuskan sebagai prediksi sebelum pengenalan klinis. Nilai default (W = 8, L = 6) ditetapkan pada berkas konfigurasi dan dilaporkan demi reproduksibilitas.</w:t>
      </w:r>
    </w:p>
    <w:p>
      <w:pPr>
        <w:spacing w:after="140" w:line="300"/>
        <w:jc w:val="both"/>
      </w:pPr>
      <w:r>
        <w:t xml:space="preserve">Data dibagi menjadi partisi latih, validasi, dan uji dengan stratifikasi pada label, dan statistik standardisasi per fitur diestimasi hanya pada partisi latih untuk menghindari kebocoran data.</w:t>
      </w:r>
    </w:p>
    <w:p>
      <w:pPr>
        <w:pStyle w:val="Heading2"/>
      </w:pPr>
      <w:r>
        <w:t xml:space="preserve">3.3 Arsitektur Model</w:t>
      </w:r>
    </w:p>
    <w:p>
      <w:pPr>
        <w:spacing w:after="140" w:line="300"/>
        <w:jc w:val="both"/>
      </w:pPr>
      <w:r>
        <w:t xml:space="preserve">Detektor merupakan jaringan gated recurrent unit yang memetakan jendela tanda vital terstandardisasi menjadi satu logit risiko perburukan melalui keadaan tersembunyi akhir, diikuti kepala terhubung penuh kecil dengan normalisasi lapisan dan dropout. Varian long short-term memory dapat dipilih. Persamaan pembaruan GRU dan skor risiko disediakan pada lampiran gambar/persamaan.</w:t>
      </w:r>
    </w:p>
    <w:p>
      <w:pPr>
        <w:pStyle w:val="Heading2"/>
      </w:pPr>
      <w:r>
        <w:t xml:space="preserve">3.4 Pelatihan</w:t>
      </w:r>
    </w:p>
    <w:p>
      <w:pPr>
        <w:spacing w:after="140" w:line="300"/>
        <w:jc w:val="both"/>
      </w:pPr>
      <w:r>
        <w:t xml:space="preserve">Model dilatih dengan pengoptimal Adam dan binary cross-entropy berbobot, dengan bobot kelas positif ditetapkan otomatis dari prevalensi pelatihan untuk menanggulangi ketidakseimbangan kelas. Penghentian dini memantau rugi validasi. Seluruh hiperparameter dan seed acak dicatat pada berkas konfigurasi.</w:t>
      </w:r>
    </w:p>
    <w:p>
      <w:pPr>
        <w:pStyle w:val="Heading2"/>
      </w:pPr>
      <w:r>
        <w:t xml:space="preserve">3.5 Evaluasi</w:t>
      </w:r>
    </w:p>
    <w:p>
      <w:pPr>
        <w:spacing w:after="140" w:line="300"/>
        <w:jc w:val="both"/>
      </w:pPr>
      <w:r>
        <w:t xml:space="preserve">Pada partisi uji terpisah kami melaporkan diskriminasi (AUROC, AUPRC) dan metrik titik operasi pada ambang alarm yang dapat dikonfigurasi: sensitivitas (recall), spesifisitas, presisi, F1, dan laju alarm palsu, beserta matriks konfusi. Nilai-nilai ini ditulis ke berkas metrik yang dapat dibaca mesin dan menjadi sumber setiap angka pada bagian Hasil.</w:t>
      </w:r>
    </w:p>
    <w:p>
      <w:pPr>
        <w:pStyle w:val="Heading2"/>
      </w:pPr>
      <w:r>
        <w:t xml:space="preserve">3.6 Lapisan Integrasi Tele-Keperawatan Sintetis</w:t>
      </w:r>
    </w:p>
    <w:p>
      <w:pPr>
        <w:spacing w:after="140"/>
      </w:pPr>
      <w:r>
        <w:rPr>
          <w:b/>
          <w:bCs/>
          <w:i/>
          <w:iCs/>
          <w:color w:val="B00000"/>
        </w:rPr>
        <w:t xml:space="preserve">Catatan: lapisan tele-keperawatan/PRO/kepatuhan bersifat SINTETIS (simulasi). Hanya digunakan untuk mengilustrasikan aliran data dan tidak pernah dilaporkan sebagai hasil klinis.</w:t>
      </w:r>
    </w:p>
    <w:p>
      <w:pPr>
        <w:spacing w:after="140" w:line="300"/>
        <w:jc w:val="both"/>
      </w:pPr>
      <w:r>
        <w:t xml:space="preserve">Tidak ada dataset terbuka yang menautkan catatan konsultasi tele-keperawatan, luaran yang dilaporkan pasien, waktu respons perawat, dan kepatuhan pada pasien yang sama dengan tanda vital yang kami modelkan. Untuk mendemonstrasikan alur integrasi semata, kami membangkitkan lapisan ini dengan simulator stokastik transparan berbasis seed. Setiap rekaman ditandai sebagai sintetis, dan data ini tidak pernah digunakan untuk menghitung kinerja klinis serta tidak pernah dilaporkan sebagai luaran.</w:t>
      </w:r>
    </w:p>
    <w:p>
      <w:pPr>
        <w:pStyle w:val="Heading2"/>
      </w:pPr>
      <w:r>
        <w:t xml:space="preserve">3.7 Etika dan Tata Kelola Data</w:t>
      </w:r>
    </w:p>
    <w:p>
      <w:pPr>
        <w:spacing w:after="140" w:line="300"/>
        <w:jc w:val="both"/>
      </w:pPr>
      <w:r>
        <w:t xml:space="preserve">Penelitian ini merupakan analisis sekunder atas dataset publik yang telah dianonimkan dan digunakan sesuai perjanjian penggunaan data masing-masing; penggunaan semacam ini umumnya tergolong penelitian bukan-subjek-manusia. Lapisan sintetis tidak melibatkan subjek manusia dan tidak memerlukan persetujuan etik. Peneliti perlu mengonfirmasi ketentuan institusi setempat sebelum pengajuan.</w:t>
      </w:r>
    </w:p>
    <w:p>
      <w:pPr>
        <w:pStyle w:val="Heading1"/>
      </w:pPr>
      <w:r>
        <w:t xml:space="preserve">4. Hasil</w:t>
      </w:r>
    </w:p>
    <w:p>
      <w:pPr>
        <w:spacing w:after="140"/>
      </w:pPr>
      <w:r>
        <w:rPr>
          <w:b/>
          <w:bCs/>
          <w:i/>
          <w:iCs/>
          <w:color w:val="B00000"/>
        </w:rPr>
        <w:t xml:space="preserve">Seluruh nilai pada bagian ini diambil langsung dari results/metrics.json, yang dihasilkan pipeline pada dataset terbuka PhysioNet/CinC 2019 (seed 42; jendela 8 jam, lead time 6 jam; lihat config.yaml). Tidak ada angka yang dipindahkan dari abstrak sebelumnya.</w:t>
      </w:r>
    </w:p>
    <w:p>
      <w:pPr>
        <w:spacing w:after="140" w:line="300"/>
        <w:jc w:val="both"/>
      </w:pPr>
      <w:r>
        <w:t xml:space="preserve">Partisi uji terpisah terdiri atas 76.263 jendela per jam, dengan 2.461 (3,2%) berlabel positif untuk perburukan yang akan datang, mencerminkan ketidakseimbangan kelas yang melekat pada tugas peringatan dini. Pada set ini detektor GRU mencapai AUROC 0,866, menandakan kemampuan diskriminasi yang baik antara jendela yang mendahului perburukan dan yang tidak. Area di bawah kurva precision-recall sebesar 0,243, jauh di atas prevalensi positif 0,032 yang akan dicapai pengklasifikasi non-informatif, menegaskan bahwa model memusatkan risiko pada kasus positif sejati meskipun terjadi ketidakseimbangan.</w:t>
      </w:r>
    </w:p>
    <w:p>
      <w:pPr>
        <w:spacing w:after="140" w:line="300"/>
        <w:jc w:val="both"/>
      </w:pPr>
      <w:r>
        <w:t xml:space="preserve">Pada ambang alarm default 0,5, model bekerja pada sensitivitas (recall) 0,803 dan spesifisitas 0,761. Matriks konfusi yang bersesuaian adalah 1.977 positif benar, 484 negatif palsu, 56.187 negatif benar, dan 17.615 positif palsu, menghasilkan presisi 0,101, F1 0,179, dan laju alarm palsu 0,239. Dengan kata lain, detektor menangkap sekitar empat dari setiap lima jendela perburukan yang akan datang sembari memunculkan alarm pada sekitar satu dari empat jendela tanpa peristiwa; ambang dapat disetel pada set validasi untuk menukar sensitivitas dengan beban alarm palsu sesuai toleransi alur tele-keperawatan tertentu.</w:t>
      </w:r>
    </w:p>
    <w:p>
      <w:pPr>
        <w:spacing w:before="80" w:after="80"/>
      </w:pPr>
      <w:r>
        <w:rPr>
          <w:b/>
          <w:bCs/>
          <w:sz w:val="20"/>
          <w:szCs w:val="20"/>
        </w:rPr>
        <w:t xml:space="preserve">Tabel 1. Kinerja uji terpisah (diisi dari results/metrics.json).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Metrik</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Nilai (dari results/metrics.json)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AUROC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0.866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AUPRC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0.243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Sensitivitas (recall)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0.803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Spesifisitas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0.761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Precision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Laju alarm palsu</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0.239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0.179</w:t>
            </w:r>
          </w:p>
        </w:tc>
      </w:tr>
    </w:tbl>
    <w:p>
      <w:pPr>
        <w:spacing w:before="120" w:after="120"/>
      </w:pPr>
      <w:r>
        <w:rPr>
          <w:i/>
          <w:iCs/>
          <w:sz w:val="20"/>
          <w:szCs w:val="20"/>
        </w:rPr>
        <w:t xml:space="preserve">Gambar 1-2 adalah diagram konseptual (lihat figure_prompts.md). Gambar 3-5 (ROC, precision-recall, matriks konfusi) dihasilkan dari run model nyata oleh src/eval/plot_figures.py dan tidak boleh dibuat lewat image generator.</w:t>
      </w:r>
    </w:p>
    <w:p>
      <w:pPr>
        <w:pStyle w:val="Heading1"/>
      </w:pPr>
      <w:r>
        <w:t xml:space="preserve">5. Pembahasan</w:t>
      </w:r>
    </w:p>
    <w:p>
      <w:pPr>
        <w:spacing w:after="140" w:line="300"/>
        <w:jc w:val="both"/>
      </w:pPr>
      <w:r>
        <w:t xml:space="preserve">AUROC 0,866 menempatkan detektor pada rentang yang dilaporkan untuk sistem peringatan dini berbasis pembelajaran mesin dan di atas skor berbasis ambang konvensional, sementara AUPRC 0,243 — sekitar delapan kali prevalensi positif — merupakan ukuran yang lebih informatif untuk tugas peristiwa langka dan menunjukkan bahwa skor risiko benar-benar terpusat pada jendela yang mendahului perburukan. Secara klinis, titik operasi ini menangkap trade-off utama setiap sistem alarm pemantauan jarak jauh: sensitivitas 0,803 berarti sebagian besar jendela perburukan tertandai, namun laju alarm palsu 0,239 dan presisi 0,101 menyiratkan bahwa mayoritas alarm individual tidak berkaitan dengan peristiwa. Karena ambang alarm adalah parameter yang dapat disetel, layanan tele-keperawatan dapat bergeser sepanjang kurva ini — menerima lebih sedikit alarm pada sensitivitas lebih rendah, atau sensitivitas lebih tinggi dengan beban telaah lebih besar — sesuai ketersediaan tenaga dan konsekuensi perburukan yang terlewat. Memprioritaskan alarm berdasarkan skor risiko, alih-alih memperlakukannya biner, menawarkan cara praktis mengarahkan perhatian perawat yang terbatas ke pasien berisiko tertinggi terlebih dahulu.</w:t>
      </w:r>
    </w:p>
    <w:p>
      <w:pPr>
        <w:spacing w:after="140" w:line="300"/>
        <w:jc w:val="both"/>
      </w:pPr>
      <w:r>
        <w:t xml:space="preserve">Reproduksibilitas merupakan kontribusi tersendiri di sini. Karena seluruh evaluasi berjalan pada dataset yang dapat diunduh terbuka dengan kode yang dirilis dan seed tetap, setiap angka dalam naskah ini dapat dihasilkan ulang dan diperiksa secara independen — sifat yang masih jarang pada bidang aplikasi ini dan yang kami pandang sebagai prasyarat AI tepercaya untuk perawatan jarak jauh.</w:t>
      </w:r>
    </w:p>
    <w:p>
      <w:pPr>
        <w:pStyle w:val="Heading1"/>
      </w:pPr>
      <w:r>
        <w:t xml:space="preserve">6. Keterbatasan</w:t>
      </w:r>
    </w:p>
    <w:p>
      <w:pPr>
        <w:spacing w:after="140" w:line="300"/>
        <w:jc w:val="both"/>
      </w:pPr>
      <w:r>
        <w:t xml:space="preserve">Pertama, perburukan dioperasionalkan memakai label onset PhysioNet 2019, endpoint fisiologis tervalidasi namun spesifik yang berfungsi sebagai proksi/uji-coba alih-alih luaran perawatan kronis spesifik penyakit; perluasan ke kohort kronis MIMIC-IV merupakan langkah lanjutan alami. Kedua, lapisan wearable dan tele-keperawatan didemonstrasikan, bukan divalidasi klinis; lapisan tele-keperawatan bersifat sintetis. Ketiga, hasil dari dataset publik memerlukan validasi prospektif sebelum penerapan klinis.</w:t>
      </w:r>
    </w:p>
    <w:p>
      <w:pPr>
        <w:pStyle w:val="Heading1"/>
      </w:pPr>
      <w:r>
        <w:t xml:space="preserve">7. Simpulan</w:t>
      </w:r>
    </w:p>
    <w:p>
      <w:pPr>
        <w:spacing w:after="140" w:line="300"/>
        <w:jc w:val="both"/>
      </w:pPr>
      <w:r>
        <w:t xml:space="preserve">Kami menyajikan evaluasi data-terbuka yang reproducible atas detektor perburukan dini berbasis RNN yang tertanam dalam kerangka pemantauan jarak jauh yang dipimpin perawat, dengan lapisan integrasi sintetis berlabel transparan. Pendekatan ini menawarkan fondasi yang jujur dan dapat diperiksa untuk perawatan kronis jarak jauh berbantuan AI serta jalur jelas menuju perluasan yang berbasis klinis.</w:t>
      </w:r>
    </w:p>
    <w:p>
      <w:pPr>
        <w:pStyle w:val="Heading1"/>
      </w:pPr>
      <w:r>
        <w:t xml:space="preserve">Ketersediaan Data dan Kode</w:t>
      </w:r>
    </w:p>
    <w:p>
      <w:pPr>
        <w:spacing w:after="140" w:line="300"/>
        <w:jc w:val="both"/>
      </w:pPr>
      <w:r>
        <w:t xml:space="preserve">Seluruh kode tersedia pada repositori terlampir (lihat README.md dan setup.md). Dataset nyata bersifat publik: PhysioNet/CinC 2019 (DOI 10.13026/v64v-d857), MIMIC-IV (DOI 10.13026/6mm1-ek67, berkredensial), PPG-DaLiA (DOI 10.24432/C53890). Lapisan tele-keperawatan sintetis dapat direproduksi dari generator berbasis seed. Tidak ada data pasien milik pribadi yang digunakan.</w:t>
      </w:r>
    </w:p>
    <w:p>
      <w:pPr>
        <w:pStyle w:val="Heading1"/>
      </w:pPr>
      <w:r>
        <w:t xml:space="preserve">Daftar Pustaka</w:t>
      </w:r>
    </w:p>
    <w:p>
      <w:pPr>
        <w:spacing w:after="80"/>
      </w:pPr>
      <w:r>
        <w:rPr>
          <w:sz w:val="20"/>
          <w:szCs w:val="20"/>
        </w:rPr>
        <w:t xml:space="preserve">[1] Johnson AEW, Bulgarelli L, Shen L, et al. MIMIC-IV, a freely accessible electronic health record dataset. Sci Data. 2023;10:1. https://doi.org/10.1038/s41597-022-01899-x</w:t>
      </w:r>
    </w:p>
    <w:p>
      <w:pPr>
        <w:spacing w:after="80"/>
      </w:pPr>
      <w:r>
        <w:rPr>
          <w:sz w:val="20"/>
          <w:szCs w:val="20"/>
        </w:rPr>
        <w:t xml:space="preserve">[2] Reyna MA, Josef CS, Jeter R, et al. Early Prediction of Sepsis From Clinical Data: The PhysioNet/Computing in Cardiology Challenge 2019. Crit Care Med. 2020;48(2):210-217. https://doi.org/10.1097/CCM.0000000000004145</w:t>
      </w:r>
    </w:p>
    <w:p>
      <w:pPr>
        <w:spacing w:after="80"/>
      </w:pPr>
      <w:r>
        <w:rPr>
          <w:sz w:val="20"/>
          <w:szCs w:val="20"/>
        </w:rPr>
        <w:t xml:space="preserve">[3] Goldberger AL, Amaral LAN, Glass L, et al. PhysioBank, PhysioToolkit, and PhysioNet. Circulation. 2000;101(23):e215-e220. https://doi.org/10.1161/01.CIR.101.23.e215</w:t>
      </w:r>
    </w:p>
    <w:p>
      <w:pPr>
        <w:spacing w:after="80"/>
      </w:pPr>
      <w:r>
        <w:rPr>
          <w:sz w:val="20"/>
          <w:szCs w:val="20"/>
        </w:rPr>
        <w:t xml:space="preserve">[4] Reiss A, Indlekofer I, Schmidt P, Van Laerhoven K. Deep PPG: Large-Scale Heart Rate Estimation with CNNs. Sensors. 2019;19(14):3079. https://doi.org/10.3390/s19143079</w:t>
      </w:r>
    </w:p>
    <w:p>
      <w:pPr>
        <w:spacing w:after="80"/>
      </w:pPr>
      <w:r>
        <w:rPr>
          <w:sz w:val="20"/>
          <w:szCs w:val="20"/>
        </w:rPr>
        <w:t xml:space="preserve">[5] Lewinski AA, Walsh C, Rushton S, et al. Telehealth for the Longitudinal Management of Chronic Conditions: Systematic Review. J Med Internet Res. 2022;24(8):e37100. https://doi.org/10.2196/37100</w:t>
      </w:r>
    </w:p>
    <w:p>
      <w:pPr>
        <w:spacing w:after="80"/>
      </w:pPr>
      <w:r>
        <w:rPr>
          <w:sz w:val="20"/>
          <w:szCs w:val="20"/>
        </w:rPr>
        <w:t xml:space="preserve">[6] Lee AYL, Wong AKC, Hung TTM, Yan J, Yang S. Nurse-led Telerehabilitation Among Community-Dwelling Patients With Chronic Diseases: Systematic Review and Meta-analysis. J Med Internet Res. 2022;24(11):e40364. https://doi.org/10.2196/40364</w:t>
      </w:r>
    </w:p>
    <w:p>
      <w:pPr>
        <w:spacing w:after="80"/>
      </w:pPr>
      <w:r>
        <w:rPr>
          <w:sz w:val="20"/>
          <w:szCs w:val="20"/>
        </w:rPr>
        <w:t xml:space="preserve">[7] Xiao Z, Han X. Evaluation of the Effectiveness of Telehealth Chronic Disease Management System: Systematic Review and Meta-analysis. J Med Internet Res. 2023;25:e44256. https://doi.org/10.2196/44256</w:t>
      </w:r>
    </w:p>
    <w:p>
      <w:pPr>
        <w:spacing w:after="80"/>
      </w:pPr>
      <w:r>
        <w:rPr>
          <w:sz w:val="20"/>
          <w:szCs w:val="20"/>
        </w:rPr>
        <w:t xml:space="preserve">[8] Kamei T, Yamamoto Y, Kanamori T, Nakayama Y, Porter SE. Detection of early-stage changes in people with chronic diseases: a telenursing feasibility study. Nurs Health Sci. 2018;20(3):313-322. https://doi.org/10.1111/nhs.12563</w:t>
      </w:r>
    </w:p>
    <w:p>
      <w:pPr>
        <w:spacing w:after="80"/>
      </w:pPr>
      <w:r>
        <w:rPr>
          <w:sz w:val="20"/>
          <w:szCs w:val="20"/>
        </w:rPr>
        <w:t xml:space="preserve">[9] Steitz BD, McCoy AB, Reese TJ, et al. ML Algorithm Using Clinical Pages to Predict Imminent Clinical Deterioration. J Gen Intern Med. 2024;39:27-34. https://doi.org/10.1007/s11606-023-08349-3</w:t>
      </w:r>
    </w:p>
    <w:p>
      <w:pPr>
        <w:spacing w:after="80"/>
      </w:pPr>
      <w:r>
        <w:rPr>
          <w:sz w:val="20"/>
          <w:szCs w:val="20"/>
        </w:rPr>
        <w:t xml:space="preserve">[10] Gonem S, Taylor A, Figueredo G, et al. Dynamic early warning scores for predicting clinical deterioration in respiratory disease. Respir Res. 2022;23:215. https://doi.org/10.1186/s12931-022-02130-6</w:t>
      </w:r>
    </w:p>
    <w:p>
      <w:pPr>
        <w:spacing w:after="80"/>
      </w:pPr>
      <w:r>
        <w:rPr>
          <w:sz w:val="20"/>
          <w:szCs w:val="20"/>
        </w:rPr>
        <w:t xml:space="preserve">[11] Cheng CY, Hsu TH, Hung YL, et al. Early prediction of in-hospital deterioration after ED admission using ML. BMC Emerg Med. 2026;26:6. https://doi.org/10.1186/s12873-025-01464-w</w:t>
      </w:r>
    </w:p>
    <w:p>
      <w:pPr>
        <w:spacing w:after="80"/>
      </w:pPr>
      <w:r>
        <w:rPr>
          <w:sz w:val="20"/>
          <w:szCs w:val="20"/>
        </w:rPr>
        <w:t xml:space="preserve">[12] Brewster L, Mountain G, Wessels B, Kelly C, Hawley M. Factors affecting front line staff acceptance of telehealth technologies. J Adv Nurs. 2014;70(1):21-33. https://doi.org/10.1111/jan.12196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color w:val="1F3864"/>
      <w:sz w:val="26"/>
      <w:szCs w:val="26"/>
      <w:rFonts w:ascii="Arial" w:cs="Arial" w:eastAsia="Arial" w:hAnsi="Arial"/>
    </w:rPr>
  </w:style>
  <w:style w:type="paragraph" w:styleId="Heading2">
    <w:name w:val="Heading 2"/>
    <w:basedOn w:val="Normal"/>
    <w:next w:val="Normal"/>
    <w:qFormat/>
    <w:pPr>
      <w:spacing w:before="160" w:after="80"/>
      <w:outlineLvl w:val="1"/>
    </w:pPr>
    <w:rPr>
      <w:b/>
      <w:bCs/>
      <w:color w:val="2E5496"/>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2026-06-03T14:40:41.721Z</dcterms:created>
  <dcterms:modified xsi:type="dcterms:W3CDTF">2026-06-03T14:40:41.721Z</dcterms:modified>
</cp:coreProperties>
</file>

<file path=docProps/custom.xml><?xml version="1.0" encoding="utf-8"?>
<Properties xmlns="http://schemas.openxmlformats.org/officeDocument/2006/custom-properties" xmlns:vt="http://schemas.openxmlformats.org/officeDocument/2006/docPropsVTypes"/>
</file>