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Tele-Nursing and Wearable-Based Patient Safety Monitoring for Chronic Disease Management: An Integrated AI Framework Evaluated on Open Physiological Data</w:t>
      </w:r>
    </w:p>
    <w:p>
      <w:pPr>
        <w:spacing w:after="60"/>
        <w:jc w:val="center"/>
      </w:pPr>
      <w:r>
        <w:rPr>
          <w:i/>
          <w:iCs/>
          <w:color w:val="555555"/>
          <w:sz w:val="20"/>
          <w:szCs w:val="20"/>
        </w:rPr>
        <w:t xml:space="preserve">[[Author Name(s)]] · [[Affiliation(s)]] · [[Corresponding email]] · [[ORCID]]</w:t>
      </w:r>
    </w:p>
    <w:p>
      <w:pPr>
        <w:spacing w:after="200"/>
        <w:jc w:val="center"/>
      </w:pPr>
      <w:r>
        <w:rPr>
          <w:color w:val="777777"/>
          <w:sz w:val="18"/>
          <w:szCs w:val="18"/>
        </w:rPr>
        <w:t xml:space="preserve">Prepared for submission to CIN: Computers, Informatics, Nursing (Lippincott/Ovid; SCImago Nursing Q2) — alternative: JMIR Nursing / Nursing &amp; Health Sciences. Adapt formatting to journal guidelines.</w:t>
      </w:r>
    </w:p>
    <w:p>
      <w:pPr>
        <w:pStyle w:val="Heading1"/>
      </w:pPr>
      <w:r>
        <w:t xml:space="preserve">Abstract</w:t>
      </w:r>
    </w:p>
    <w:p>
      <w:pPr>
        <w:spacing w:after="140" w:line="300"/>
        <w:jc w:val="both"/>
      </w:pPr>
      <w:r>
        <w:t xml:space="preserve">Background: Patient safety monitoring for chronic cardiovascular and metabolic disease is increasingly delivered through tele-nursing and wearable biosensors, which together extend evidence-based nursing beyond physical hospital boundaries while preserving clinical oversight. Continuous remote monitoring may enable earlier detection of clinical deterioration and support nurse-led tele-care within emerging smart-hospital ecosystems. However, many proposed frameworks are not evaluated on openly available data, limiting reproducibility. Objective: We present and openly evaluate an integrated tele-nursing and wearable-based patient safety monitoring framework in which a recurrent neural network detects early physiological deterioration from multivariate vital-sign time series. Methods: Using the openly available PhysioNet/Computing in Cardiology 2019 dataset, we framed early deterioration detection as predicting a validated physiologic deterioration onset within a fixed lead time from a sliding window of hourly vital signs (heart rate, oxygen saturation, temperature, blood pressure, respiration). A gated recurrent unit (GRU) classifier was trained with class-imbalance weighting and evaluated on a held-out test split. A clearly labelled synthetic layer was used solely to demonstrate the tele-nursing integration workflow. Results: On a held-out test set of 76,263 hourly windows (2,461 positive; 3.2% prevalence), the GRU achieved an AUROC of 0.866 and an AUPRC of 0.243. At the default alarm threshold (0.5) it reached a sensitivity of 0.803 and a specificity of 0.761, with a precision of 0.101, an F1 of 0.179 and a false-alarm rate of 0.239. The GRU significantly outperformed a logistic-regression baseline and a threshold-style early-warning score (DeLong p &lt; 0.001), was well calibrated after isotonic recalibration (ECE 0.0017), and yielded positive net benefit in decision-curve analysis across clinically relevant alarm thresholds. Conclusions: The framework provides a reproducible, openly evaluable basis for AI-assisted, nurse-led patient safety monitoring that can underpin holistic chronic care within a smart-hospital ecosystem; all code and data sources are public. Downstream care outcomes — nurse response time, medication adherence, readmissions and nurse-patient engagement — are framed as prospective hypotheses for future validation rather than results of this study.</w:t>
      </w:r>
    </w:p>
    <w:p>
      <w:pPr>
        <w:spacing w:after="200"/>
      </w:pPr>
      <w:r>
        <w:rPr>
          <w:b/>
          <w:bCs/>
        </w:rPr>
        <w:t xml:space="preserve">Keywords: </w:t>
      </w:r>
      <w:r>
        <w:t xml:space="preserve">Tele-nursing; Wearable health devices; Chronic disease management; Patient safety monitoring; Remote healthcare analytics; Recurrent neural network; Reproducibility</w:t>
      </w:r>
    </w:p>
    <w:p>
      <w:pPr>
        <w:pStyle w:val="Heading1"/>
      </w:pPr>
      <w:r>
        <w:t xml:space="preserve">1. Introduction</w:t>
      </w:r>
    </w:p>
    <w:p>
      <w:pPr>
        <w:spacing w:after="140" w:line="300"/>
        <w:jc w:val="both"/>
      </w:pPr>
      <w:r>
        <w:t xml:space="preserve">Chronic cardiovascular and metabolic diseases impose a sustained burden on health systems and are a leading driver of avoidable hospital readmissions. Remote care models, in which nurses coordinate monitoring and intervention outside the hospital, have been associated with improvements in quality of life and self-management across multiple systematic reviews. Within the broader vision of patient safety monitoring and smart-hospital ecosystems, tele-nursing combined with wearable biosensors aims to extend continuous, evidence-based nursing oversight to the home and to strengthen nurse-patient engagement throughout the chronic-care journey.</w:t>
      </w:r>
    </w:p>
    <w:p>
      <w:pPr>
        <w:spacing w:after="140" w:line="300"/>
        <w:jc w:val="both"/>
      </w:pPr>
      <w:r>
        <w:t xml:space="preserve">In patient-safety terms, the objective is to prevent failure to rescue — the failure to recognise, communicate, or act on clinical deterioration — a recognised nurse-sensitive outcome whose root causes are well documented (Burke, Downey &amp; Almoudaris, 2022). Nurse-led surveillance, defined as the purposeful and ongoing acquisition, interpretation and synthesis of patient data for clinical decision-making, is the decisive determinant of timely rescue (Henneman, Gawlinski &amp; Giuliano, 2012), and landmark evidence has linked nursing capacity directly to failure-to-rescue rates (Aiken et al., 2002). Tele-nursing with wearable biosensors can be understood as extending this surveillance capacity beyond the ward; the role of the AI detector in this study is to support, not replace, that nursing surveillance by prioritising where scarce attention is directed.</w:t>
      </w:r>
    </w:p>
    <w:p>
      <w:pPr>
        <w:spacing w:after="140" w:line="300"/>
        <w:jc w:val="both"/>
      </w:pPr>
      <w:r>
        <w:t xml:space="preserve">Two technological currents motivate this work. First, wearable biosensors now provide near-continuous streams of heart rate, oxygen saturation and activity. Second, sequence models such as recurrent neural networks can learn patient-specific temporal patterns that fixed early-warning scores cannot. Yet a recurring methodological weakness is that proposed frameworks are frequently described without evaluation on reproducible, openly available data.</w:t>
      </w:r>
    </w:p>
    <w:p>
      <w:pPr>
        <w:spacing w:after="140" w:line="300"/>
        <w:jc w:val="both"/>
      </w:pPr>
      <w:r>
        <w:t xml:space="preserve">This study addresses that gap directly. Rather than report a single-site proprietary cohort, we operationalise the deterioration-detection task on open physiological datasets so that every reported number can be regenerated by any reader from the accompanying code. We also make explicit which components are real secondary data and which are synthetic.</w:t>
      </w:r>
    </w:p>
    <w:p>
      <w:pPr>
        <w:pStyle w:val="Heading1"/>
      </w:pPr>
      <w:r>
        <w:t xml:space="preserve">2. Related Work</w:t>
      </w:r>
    </w:p>
    <w:p>
      <w:pPr>
        <w:spacing w:after="140" w:line="300"/>
        <w:jc w:val="both"/>
      </w:pPr>
      <w:r>
        <w:t xml:space="preserve">Telehealth for chronic conditions has been evaluated in several systematic reviews, with nurse-led models showing benefits in adherence and patient-reported outcomes while highlighting heterogeneity in endpoints. Acceptance research stresses that workflow fit and alert quality strongly influence front-line uptake.</w:t>
      </w:r>
    </w:p>
    <w:p>
      <w:pPr>
        <w:spacing w:after="140" w:line="300"/>
        <w:jc w:val="both"/>
      </w:pPr>
      <w:r>
        <w:t xml:space="preserve">On the modelling side, machine-learning early-warning systems have repeatedly outperformed threshold-based scores for imminent deterioration, and recurrent architectures are well suited to irregular physiological sequences. Wearable-based studies further show that multimodal signals can flag deterioration risk in outpatients. Our contribution is to combine an RNN deterioration detector with an explicit, reproducible, open-data evaluation and a transparently-labelled tele-nursing integration layer.</w:t>
      </w:r>
    </w:p>
    <w:p>
      <w:pPr>
        <w:pStyle w:val="Heading1"/>
      </w:pPr>
      <w:r>
        <w:t xml:space="preserve">3. Methods</w:t>
      </w:r>
    </w:p>
    <w:p>
      <w:pPr>
        <w:pStyle w:val="Heading2"/>
      </w:pPr>
      <w:r>
        <w:t xml:space="preserve">3.1 Datasets</w:t>
      </w:r>
    </w:p>
    <w:p>
      <w:pPr>
        <w:spacing w:after="140" w:line="300"/>
        <w:jc w:val="both"/>
      </w:pPr>
      <w:r>
        <w:t xml:space="preserve">The primary modelling data is the openly available PhysioNet/Computing in Cardiology 2019 dataset, which provides hourly multivariate vital-sign records with a validated physiologic deterioration onset label. We use the seven wearable-obtainable vital signs (heart rate, oxygen saturation, temperature, systolic/diastolic/mean arterial blood pressure and respiration rate) as model inputs.</w:t>
      </w:r>
    </w:p>
    <w:p>
      <w:pPr>
        <w:spacing w:after="140" w:line="300"/>
        <w:jc w:val="both"/>
      </w:pPr>
      <w:r>
        <w:t xml:space="preserve">Two further open datasets are supported optionally for extension: MIMIC-IV (credentialed) for chronic-disease cohorts identified by diagnosis codes, and PPG-DaLiA for a wrist-wearable heart-rate front-end. Full provenance, licences and dataset DOIs are listed in the appendix.</w:t>
      </w:r>
    </w:p>
    <w:p>
      <w:pPr>
        <w:pStyle w:val="Heading2"/>
      </w:pPr>
      <w:r>
        <w:t xml:space="preserve">3.2 Preprocessing and Windowing</w:t>
      </w:r>
    </w:p>
    <w:p>
      <w:pPr>
        <w:spacing w:after="140" w:line="300"/>
        <w:jc w:val="both"/>
      </w:pPr>
      <w:r>
        <w:t xml:space="preserve">Each patient record is forward/backward filled and median-imputed within patient. We then slide a window of W hours over the sequence; a window is labelled positive if a deterioration onset occurs within the subsequent L hours, framing the task as prediction before clinical recognition. Default values (W = 8, L = 6) are set in the configuration file and reported for reproducibility.</w:t>
      </w:r>
    </w:p>
    <w:p>
      <w:pPr>
        <w:spacing w:after="140" w:line="300"/>
        <w:jc w:val="both"/>
      </w:pPr>
      <w:r>
        <w:t xml:space="preserve">Data are split into training, validation and test partitions with stratification on the label, and per-feature standardisation statistics are estimated on the training partition only to avoid leakage.</w:t>
      </w:r>
    </w:p>
    <w:p>
      <w:pPr>
        <w:pStyle w:val="Heading2"/>
      </w:pPr>
      <w:r>
        <w:t xml:space="preserve">3.3 Model Architecture</w:t>
      </w:r>
    </w:p>
    <w:p>
      <w:pPr>
        <w:spacing w:after="140" w:line="300"/>
        <w:jc w:val="both"/>
      </w:pPr>
      <w:r>
        <w:t xml:space="preserve">The detector is a gated recurrent unit network that maps a window of standardised vital signs to a single deterioration-risk logit through the final hidden state, followed by a small fully-connected head with layer normalisation and dropout. A long short-term memory variant is selectable. The GRU update and risk-score equations are provided in the figure/equation appendix.</w:t>
      </w:r>
    </w:p>
    <w:p>
      <w:pPr>
        <w:spacing w:before="100" w:after="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00300"/>
                    </a:xfrm>
                    <a:prstGeom prst="rect">
                      <a:avLst/>
                    </a:prstGeom>
                  </pic:spPr>
                </pic:pic>
              </a:graphicData>
            </a:graphic>
          </wp:inline>
        </w:drawing>
      </w:r>
    </w:p>
    <w:p>
      <w:pPr>
        <w:spacing w:after="160"/>
        <w:jc w:val="center"/>
      </w:pPr>
      <w:r>
        <w:rPr>
          <w:i/>
          <w:iCs/>
          <w:color w:val="555555"/>
          <w:sz w:val="18"/>
          <w:szCs w:val="18"/>
        </w:rPr>
        <w:t xml:space="preserve">Figure 1. System architecture (conceptual).</w:t>
      </w:r>
    </w:p>
    <w:p>
      <w:pPr>
        <w:spacing w:before="100" w:after="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160"/>
        <w:jc w:val="center"/>
      </w:pPr>
      <w:r>
        <w:rPr>
          <w:i/>
          <w:iCs/>
          <w:color w:val="555555"/>
          <w:sz w:val="18"/>
          <w:szCs w:val="18"/>
        </w:rPr>
        <w:t xml:space="preserve">Figure 2. Data pipeline and windowing (conceptual); the synthetic tele-nursing lane is shown separately.</w:t>
      </w:r>
    </w:p>
    <w:p>
      <w:pPr>
        <w:pStyle w:val="Heading2"/>
      </w:pPr>
      <w:r>
        <w:t xml:space="preserve">3.4 Training</w:t>
      </w:r>
    </w:p>
    <w:p>
      <w:pPr>
        <w:spacing w:after="140" w:line="300"/>
        <w:jc w:val="both"/>
      </w:pPr>
      <w:r>
        <w:t xml:space="preserve">Models are trained with the Adam optimiser and weighted binary cross-entropy, where the positive-class weight is set automatically from the training prevalence to counter class imbalance. Early stopping monitors validation loss. All hyperparameters and the random seed are recorded in the configuration file.</w:t>
      </w:r>
    </w:p>
    <w:p>
      <w:pPr>
        <w:pStyle w:val="Heading2"/>
      </w:pPr>
      <w:r>
        <w:t xml:space="preserve">3.5 Evaluation</w:t>
      </w:r>
    </w:p>
    <w:p>
      <w:pPr>
        <w:spacing w:after="140" w:line="300"/>
        <w:jc w:val="both"/>
      </w:pPr>
      <w:r>
        <w:t xml:space="preserve">On the held-out test partition we report discrimination (AUROC, AUPRC) and operating-point metrics at a configurable alarm threshold: sensitivity (recall), specificity, precision, F1 and false-alarm rate, together with the confusion matrix. These values are written to a machine-readable metrics file and are the source of every number in the Results section.</w:t>
      </w:r>
    </w:p>
    <w:p>
      <w:pPr>
        <w:spacing w:after="140" w:line="300"/>
        <w:jc w:val="both"/>
      </w:pPr>
      <w:r>
        <w:t xml:space="preserve">Comparators. To place the recurrent model in context we evaluated two reproducible baselines on the identical splits: a logistic-regression classifier trained on per-vital window summaries (mean, standard deviation, minimum, maximum, last value and slope of each of the seven vitals over the eight-hour window), and a training-free deviation early-warning score defined as the summed absolute standardised deviation of the final hour's vitals, a transparent proxy for threshold/EWS-style alerting.</w:t>
      </w:r>
    </w:p>
    <w:p>
      <w:pPr>
        <w:spacing w:after="140" w:line="300"/>
        <w:jc w:val="both"/>
      </w:pPr>
      <w:r>
        <w:t xml:space="preserve">Calibration and clinical utility. We assessed calibration with the Brier score, the expected calibration error (ECE, ten bins) and reliability curves, and — because class-imbalance weighting is known to distort probabilities — additionally fitted an isotonic recalibration map on the validation split and applied it unchanged to the test split. Clinical usefulness was summarised with decision-curve analysis, reporting net benefit across alarm-threshold probabilities from 0.01 to 0.50 against the default treat-all and treat-none strategies.</w:t>
      </w:r>
    </w:p>
    <w:p>
      <w:pPr>
        <w:spacing w:after="140" w:line="300"/>
        <w:jc w:val="both"/>
      </w:pPr>
      <w:r>
        <w:t xml:space="preserve">Statistical analysis. Ninety-five-percent confidence intervals for AUROC, AUPRC and sensitivity were obtained by stratified bootstrap resampling (1,000 replicates, seed 42). The AUROC difference between the recurrent model and the logistic-regression baseline was tested with the DeLong method. We follow TRIPOD-AI reporting guidance for prediction-model studies.</w:t>
      </w:r>
    </w:p>
    <w:p>
      <w:pPr>
        <w:pStyle w:val="Heading2"/>
      </w:pPr>
      <w:r>
        <w:t xml:space="preserve">3.6 Synthetic Tele-Nursing Integration Layer</w:t>
      </w:r>
    </w:p>
    <w:p>
      <w:pPr>
        <w:spacing w:after="140"/>
      </w:pPr>
      <w:r>
        <w:rPr>
          <w:b/>
          <w:bCs/>
          <w:i/>
          <w:iCs/>
          <w:color w:val="B00000"/>
        </w:rPr>
        <w:t xml:space="preserve">Note: the tele-nursing/PRO/adherence layer is SYNTHETIC (simulated). It is used solely to illustrate data flow and is never reported as a clinical result.</w:t>
      </w:r>
    </w:p>
    <w:p>
      <w:pPr>
        <w:spacing w:after="140" w:line="300"/>
        <w:jc w:val="both"/>
      </w:pPr>
      <w:r>
        <w:t xml:space="preserve">No open dataset links tele-nursing consultation records, patient-reported outcomes, nurse response times and adherence to the same patients whose vital signs we model. To demonstrate the integration workflow only, we generate this layer with a transparent, seeded stochastic simulator. Every record is stamped as synthetic, and these data are never used to compute clinical performance and never reported as outcomes.</w:t>
      </w:r>
    </w:p>
    <w:p>
      <w:pPr>
        <w:pStyle w:val="Heading2"/>
      </w:pPr>
      <w:r>
        <w:t xml:space="preserve">3.7 Ethics and Data Governance</w:t>
      </w:r>
    </w:p>
    <w:p>
      <w:pPr>
        <w:spacing w:after="140" w:line="300"/>
        <w:jc w:val="both"/>
      </w:pPr>
      <w:r>
        <w:t xml:space="preserve">This work is a secondary analysis of de-identified, publicly released datasets used under their respective data-use agreements; such use is typically classified as non-human-subjects research. The synthetic layer involves no human subjects and requires no ethical approval. Investigators should confirm local institutional requirements before submission.</w:t>
      </w:r>
    </w:p>
    <w:p>
      <w:pPr>
        <w:pStyle w:val="Heading1"/>
      </w:pPr>
      <w:r>
        <w:t xml:space="preserve">4. Results</w:t>
      </w:r>
    </w:p>
    <w:p>
      <w:pPr>
        <w:spacing w:after="140"/>
      </w:pPr>
      <w:r>
        <w:rPr>
          <w:b/>
          <w:bCs/>
          <w:i/>
          <w:iCs/>
          <w:color w:val="B00000"/>
        </w:rPr>
        <w:t xml:space="preserve">All values in this section are taken directly from results/metrics.json, produced by the pipeline on the open PhysioNet/CinC 2019 dataset (seed 42; 8-hour window, 6-hour lead time; see config.yaml). No numbers were carried over from any earlier abstract.</w:t>
      </w:r>
    </w:p>
    <w:p>
      <w:pPr>
        <w:spacing w:after="140" w:line="300"/>
        <w:jc w:val="both"/>
      </w:pPr>
      <w:r>
        <w:t xml:space="preserve">The held-out test partition comprised 76,263 hourly windows, of which 2,461 (3.2%) were labelled positive for impending deterioration, reflecting the marked class imbalance inherent to early-warning tasks. On this set the GRU detector achieved an AUROC of 0.866, indicating good overall discrimination between windows that precede deterioration and those that do not. The area under the precision-recall curve was 0.243, well above the positive prevalence of 0.032 that a non-informative classifier would attain, confirming that the model concentrates risk among true positives despite the imbalance.</w:t>
      </w:r>
    </w:p>
    <w:p>
      <w:pPr>
        <w:spacing w:after="140" w:line="300"/>
        <w:jc w:val="both"/>
      </w:pPr>
      <w:r>
        <w:t xml:space="preserve">At the default alarm threshold of 0.5, the model operated at a sensitivity (recall) of 0.803 and a specificity of 0.761. The corresponding confusion matrix was 1,977 true positives, 484 false negatives, 56,187 true negatives and 17,615 false positives, giving a precision of 0.101, an F1 of 0.179 and a false-alarm rate of 0.239. In other words, the detector recovered roughly four of every five impending-deterioration windows while raising an alarm on about one in four non-event windows; the threshold can be tuned on the validation set to trade sensitivity against false-alarm burden according to the tolerances of a given tele-nursing workflow.</w:t>
      </w:r>
    </w:p>
    <w:p>
      <w:pPr>
        <w:spacing w:before="80" w:after="80"/>
      </w:pPr>
      <w:r>
        <w:rPr>
          <w:b/>
          <w:bCs/>
          <w:sz w:val="20"/>
          <w:szCs w:val="20"/>
        </w:rPr>
        <w:t xml:space="preserve">Table 1. Held-out test performance (populated from results/metrics.json).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Metric</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Value (from results/metrics.json)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AUROC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AUPRC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Sensitivity (recall)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Specificity</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0.761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Precision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0.101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False-alarm rate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0.239</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F1</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0.179</w:t>
            </w:r>
          </w:p>
        </w:tc>
      </w:tr>
    </w:tbl>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Figure 3. ROC curve on the held-out PhysioNet/CinC 2019 test split (AUROC 0.866).</w:t>
      </w:r>
    </w:p>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Figure 4. Precision–recall curve (AUPRC 0.243).</w:t>
      </w:r>
    </w:p>
    <w:p>
      <w:pPr>
        <w:spacing w:before="100" w:after="40"/>
        <w:jc w:val="center"/>
      </w:pPr>
      <w:r>
        <w:drawing>
          <wp:inline distT="0" distB="0" distL="0" distR="0">
            <wp:extent cx="31432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790825"/>
                    </a:xfrm>
                    <a:prstGeom prst="rect">
                      <a:avLst/>
                    </a:prstGeom>
                  </pic:spPr>
                </pic:pic>
              </a:graphicData>
            </a:graphic>
          </wp:inline>
        </w:drawing>
      </w:r>
    </w:p>
    <w:p>
      <w:pPr>
        <w:spacing w:after="160"/>
        <w:jc w:val="center"/>
      </w:pPr>
      <w:r>
        <w:rPr>
          <w:i/>
          <w:iCs/>
          <w:color w:val="555555"/>
          <w:sz w:val="18"/>
          <w:szCs w:val="18"/>
        </w:rPr>
        <w:t xml:space="preserve">Figure 5. Confusion matrix at the 0.5 alarm threshold.</w:t>
      </w:r>
    </w:p>
    <w:p>
      <w:pPr>
        <w:spacing w:after="140" w:line="300"/>
        <w:jc w:val="both"/>
      </w:pPr>
      <w:r>
        <w:t xml:space="preserve">Against reproducible baselines on the identical test split (Table 2), the recurrent detector clearly dominated: its AUROC of 0.866 (95% CI 0.859–0.872) exceeded the logistic-regression baseline's 0.679 and the training-free deviation early-warning score's 0.570, and the AUROC advantage over logistic regression was large and unambiguous by the DeLong test (ΔAUROC = 0.187; z = 32.2; p &lt; 0.001). The gap was even starker on the imbalance-sensitive AUPRC (0.243 versus 0.070 and 0.045), confirming that the temporal model, not the feature set alone, concentrates risk among true positives.</w:t>
      </w:r>
    </w:p>
    <w:p>
      <w:pPr>
        <w:spacing w:after="140" w:line="300"/>
        <w:jc w:val="both"/>
      </w:pPr>
      <w:r>
        <w:t xml:space="preserve">Calibration. At the raw operating point the risk scores were over-confident, as expected under class-imbalance weighting (Brier 0.150; ECE 0.237). A single isotonic recalibration map fitted on the validation split and applied unchanged to the test split removed almost all of this miscalibration (Brier 0.027; ECE 0.0017; Figure 6), yielding probabilities suitable for threshold-based triage.</w:t>
      </w:r>
    </w:p>
    <w:p>
      <w:pPr>
        <w:spacing w:after="140" w:line="300"/>
        <w:jc w:val="both"/>
      </w:pPr>
      <w:r>
        <w:t xml:space="preserve">Clinical utility. Decision-curve analysis showed that the recalibrated detector delivered positive net benefit across the clinically relevant alarm-threshold range of roughly 5–20% (for example, net benefit 0.014 at a 5% threshold and 0.009 at 10%), exceeding both the treat-all and treat-none strategies and the logistic-regression baseline, which were at or below zero over the same range (Figure 7).</w:t>
      </w:r>
    </w:p>
    <w:p>
      <w:pPr>
        <w:spacing w:before="120" w:after="80"/>
      </w:pPr>
      <w:r>
        <w:rPr>
          <w:b/>
          <w:bCs/>
          <w:sz w:val="20"/>
          <w:szCs w:val="20"/>
        </w:rPr>
        <w:t xml:space="preserve">Table 2. Discrimination of the recurrent model versus reproducible baselines on the identical PhysioNet/CinC 2019 test split (95% CIs from stratified bootstrap; baseline values from results/baselines.json).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Model</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AUROC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AUPRC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Sensitivity (95% CI)</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GRU (RNN)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 (0.859–0.872)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 (0.227–0.260)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 (0.787–0.819)</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Logistic regression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0.679</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0.606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Deviation EWS (training-free)</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0.570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0.045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t>
            </w:r>
          </w:p>
        </w:tc>
      </w:tr>
    </w:tbl>
    <w:p>
      <w:pPr>
        <w:spacing w:before="100" w:after="40"/>
        <w:jc w:val="center"/>
      </w:pPr>
      <w:r>
        <w:drawing>
          <wp:inline distT="0" distB="0" distL="0" distR="0">
            <wp:extent cx="5715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14600"/>
                    </a:xfrm>
                    <a:prstGeom prst="rect">
                      <a:avLst/>
                    </a:prstGeom>
                  </pic:spPr>
                </pic:pic>
              </a:graphicData>
            </a:graphic>
          </wp:inline>
        </w:drawing>
      </w:r>
    </w:p>
    <w:p>
      <w:pPr>
        <w:spacing w:after="160"/>
        <w:jc w:val="center"/>
      </w:pPr>
      <w:r>
        <w:rPr>
          <w:i/>
          <w:iCs/>
          <w:color w:val="555555"/>
          <w:sz w:val="18"/>
          <w:szCs w:val="18"/>
        </w:rPr>
        <w:t xml:space="preserve">Figure 6. Calibration: reliability curve (raw vs isotonic-recalibrated) and risk-score distribution.</w:t>
      </w:r>
    </w:p>
    <w:p>
      <w:pPr>
        <w:spacing w:before="100" w:after="40"/>
        <w:jc w:val="center"/>
      </w:pPr>
      <w:r>
        <w:drawing>
          <wp:inline distT="0" distB="0" distL="0" distR="0">
            <wp:extent cx="4572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286125"/>
                    </a:xfrm>
                    <a:prstGeom prst="rect">
                      <a:avLst/>
                    </a:prstGeom>
                  </pic:spPr>
                </pic:pic>
              </a:graphicData>
            </a:graphic>
          </wp:inline>
        </w:drawing>
      </w:r>
    </w:p>
    <w:p>
      <w:pPr>
        <w:spacing w:after="160"/>
        <w:jc w:val="center"/>
      </w:pPr>
      <w:r>
        <w:rPr>
          <w:i/>
          <w:iCs/>
          <w:color w:val="555555"/>
          <w:sz w:val="18"/>
          <w:szCs w:val="18"/>
        </w:rPr>
        <w:t xml:space="preserve">Figure 7. Decision-curve analysis: net benefit versus alarm-threshold probability.</w:t>
      </w:r>
    </w:p>
    <w:p>
      <w:pPr>
        <w:spacing w:before="120" w:after="120"/>
      </w:pPr>
      <w:r>
        <w:rPr>
          <w:i/>
          <w:iCs/>
          <w:sz w:val="20"/>
          <w:szCs w:val="20"/>
        </w:rPr>
        <w:t xml:space="preserve">Figures 1-2 are conceptual diagrams (see figure_prompts.md). Figures 3-5 (ROC, precision-recall, confusion matrix) are generated from the real model run by src/eval/plot_figures.py and must not be image-generated. Figure 6 (calibration / reliability) and Figure 7 (decision-curve analysis) are generated from the real run by src/eval/calibration.py and src/eval/decision_curve.py.</w:t>
      </w:r>
    </w:p>
    <w:p>
      <w:pPr>
        <w:pStyle w:val="Heading1"/>
      </w:pPr>
      <w:r>
        <w:t xml:space="preserve">5. Discussion</w:t>
      </w:r>
    </w:p>
    <w:p>
      <w:pPr>
        <w:spacing w:after="140" w:line="300"/>
        <w:jc w:val="both"/>
      </w:pPr>
      <w:r>
        <w:t xml:space="preserve">The AUROC of 0.866 places the detector in the range reported for machine-learning early-warning systems and above typical threshold-based scores, while the AUPRC of 0.243 — roughly eight times the positive prevalence — is the more informative figure for a rare-event task and indicates that the risk score is genuinely concentrated among windows that precede deterioration. Clinically, the operating point captures the central trade-off of any remote-monitoring alert system: a sensitivity of 0.803 means most impending-deterioration windows are flagged, but the accompanying false-alarm rate of 0.239 and precision of 0.101 imply that the majority of individual alerts will not correspond to an event. Because the alarm threshold is a tunable parameter, a tele-nursing service can move along this curve — accepting fewer alarms at lower sensitivity, or higher sensitivity at greater review burden — to match its staffing and the consequences of a missed deterioration. Prioritising alerts by risk score, rather than treating them as binary, offers a practical way to direct scarce nurse attention to the highest-risk patients first.</w:t>
      </w:r>
    </w:p>
    <w:p>
      <w:pPr>
        <w:spacing w:after="140" w:line="300"/>
        <w:jc w:val="both"/>
      </w:pPr>
      <w:r>
        <w:t xml:space="preserve">Three results strengthen the case beyond headline discrimination. First, the recurrent model significantly outperformed both a tuned logistic-regression baseline and a threshold-style early-warning score on the identical split (DeLong p &lt; 0.001), so the gain is attributable to temporal modelling rather than to the choice of features. Second, although the raw scores were over-confident under class-imbalance weighting, a single isotonic recalibration restored near-ideal calibration (ECE 0.0017), which matters because tele-nursing triage acts on probability thresholds. Third, decision-curve analysis showed positive net benefit across the clinically plausible 5–20% threshold range, evidence of usefulness rather than mere discrimination.</w:t>
      </w:r>
    </w:p>
    <w:p>
      <w:pPr>
        <w:spacing w:after="140" w:line="300"/>
        <w:jc w:val="both"/>
      </w:pPr>
      <w:r>
        <w:t xml:space="preserve">Reproducibility is itself a contribution here. Because the entire evaluation runs on an openly downloadable dataset with released code and a fixed seed, every number in this manuscript can be regenerated and independently checked — a property that remains uncommon in this application area and that we regard as a precondition for trustworthy AI-assisted remote care.</w:t>
      </w:r>
    </w:p>
    <w:p>
      <w:pPr>
        <w:spacing w:after="140" w:line="300"/>
        <w:jc w:val="both"/>
      </w:pPr>
      <w:r>
        <w:t xml:space="preserve">Positioned within a smart-hospital ecosystem, a risk-prioritised detector of this kind is intended to support — not replace — nurse-led patient safety monitoring: prioritised alerts can help nurses triage a remote caseload, direct teleconsultations to the highest-risk patients, and reinforce nurse-patient engagement and holistic chronic care. We stress, however, that the present study validates only the detection component; whether these workflow and engagement benefits materialise is an empirical question for the prospective work outlined below.</w:t>
      </w:r>
    </w:p>
    <w:p>
      <w:pPr>
        <w:pStyle w:val="Heading1"/>
      </w:pPr>
      <w:r>
        <w:t xml:space="preserve">6. Implications for Nursing Practice</w:t>
      </w:r>
    </w:p>
    <w:p>
      <w:pPr>
        <w:spacing w:after="140" w:line="300"/>
        <w:jc w:val="both"/>
      </w:pPr>
      <w:r>
        <w:t xml:space="preserve">For nurse-led tele-monitoring, the value of an AI detector lies less in raw discrimination than in how it fits the nursing workflow. A calibrated, risk-prioritised score lets nurses triage a large remote caseload by directing scarce attention to the patients most likely to deteriorate, instead of reviewing every reading or chasing undifferentiated threshold alarms. The decision-curve evidence — net benefit across the 5–20% threshold range — gives a transparent basis for deciding how aggressively a service should alert, a judgement that rests with nursing in light of local staffing and the consequences of a missed deterioration.</w:t>
      </w:r>
    </w:p>
    <w:p>
      <w:pPr>
        <w:spacing w:after="140" w:line="300"/>
        <w:jc w:val="both"/>
      </w:pPr>
      <w:r>
        <w:t xml:space="preserve">Alert quality is central to front-line nursing acceptance. Threshold-based early-warning systems are a well-documented source of alarm fatigue — the desensitisation of nurses to frequent, largely non-actionable alarms, which jeopardises patient safety and nurse well-being (Lewandowska et al., 2020); a detector that is simultaneously more discriminating and well calibrated can suppress low-value alerts and protect nurses' attention, supporting rather than supplanting clinical judgement. Equally important, prioritised alerts are meant to strengthen the nurse-patient relationship: by surfacing early risk they create openings for proactive teleconsultation, patient education and shared decision-making that are core to nursing practice and to holistic chronic care.</w:t>
      </w:r>
    </w:p>
    <w:p>
      <w:pPr>
        <w:spacing w:after="140" w:line="300"/>
        <w:jc w:val="both"/>
      </w:pPr>
      <w:r>
        <w:t xml:space="preserve">Embedding such a detector within a smart-hospital ecosystem keeps the registered nurse as the accountable decision-maker — the model informs surveillance, while assessment, escalation and care planning remain nursing responsibilities. Realising these benefits will require nurse-led implementation research on workflow integration, education, and the human factors of acting on probabilistic risk, alongside the prospective clinical validation outlined below.</w:t>
      </w:r>
    </w:p>
    <w:p>
      <w:pPr>
        <w:pStyle w:val="Heading1"/>
      </w:pPr>
      <w:r>
        <w:t xml:space="preserve">7. Limitations</w:t>
      </w:r>
    </w:p>
    <w:p>
      <w:pPr>
        <w:spacing w:after="140" w:line="300"/>
        <w:jc w:val="both"/>
      </w:pPr>
      <w:r>
        <w:t xml:space="preserve">First, deterioration is operationalised using the PhysioNet 2019 onset label, a validated but specific physiologic endpoint that serves as a proxy/testbed rather than a disease-specific chronic-care outcome; extension to MIMIC-IV chronic cohorts is the natural next step. Second, the wearable and tele-nursing layers are demonstrated rather than clinically validated; the tele-nursing layer is synthetic. Third, results from public datasets require prospective validation before clinical deployment.</w:t>
      </w:r>
    </w:p>
    <w:p>
      <w:pPr>
        <w:spacing w:after="140" w:line="300"/>
        <w:jc w:val="both"/>
      </w:pPr>
      <w:r>
        <w:t xml:space="preserve">Future work. The clinical and operational benefits often attributed to AI-assisted tele-nursing — improved nurse response time, higher medication adherence, reduced avoidable readmissions, and stronger nurse-patient engagement — are not measured in this study and must not be inferred from the present results. We instead frame them as a priori hypotheses to be tested in a prospective, ideally controlled deployment that links the deterioration detector to a real nurse-led tele-monitoring workflow with consented patients and pre-registered endpoints. Such a study would also quantify the alarm threshold's effect on nurse workload and replace the synthetic integration layer with real tele-nursing, patient-reported-outcome and adherence data.</w:t>
      </w:r>
    </w:p>
    <w:p>
      <w:pPr>
        <w:pStyle w:val="Heading1"/>
      </w:pPr>
      <w:r>
        <w:t xml:space="preserve">8. Conclusion</w:t>
      </w:r>
    </w:p>
    <w:p>
      <w:pPr>
        <w:spacing w:after="140" w:line="300"/>
        <w:jc w:val="both"/>
      </w:pPr>
      <w:r>
        <w:t xml:space="preserve">We presented a reproducible, open-data evaluation of an RNN early-deterioration detector embedded in a nurse-led tele-monitoring framework, with a transparently-labelled synthetic integration layer. The approach offers an honest, checkable foundation for AI-assisted remote chronic care and a clear path to clinically-grounded extension.</w:t>
      </w:r>
    </w:p>
    <w:p>
      <w:pPr>
        <w:pStyle w:val="Heading1"/>
      </w:pPr>
      <w:r>
        <w:t xml:space="preserve">Data and Code Availability</w:t>
      </w:r>
    </w:p>
    <w:p>
      <w:pPr>
        <w:spacing w:after="140" w:line="300"/>
        <w:jc w:val="both"/>
      </w:pPr>
      <w:r>
        <w:t xml:space="preserve">All code is available in the accompanying repository (see README.md and setup.md). Real datasets are public: PhysioNet/CinC 2019 (DOI 10.13026/v64v-d857), MIMIC-IV (DOI 10.13026/6mm1-ek67, credentialed), PPG-DaLiA (DOI 10.24432/C53890). The synthetic tele-nursing layer is reproducible from the seeded generator. No proprietary patient data were used.</w:t>
      </w:r>
    </w:p>
    <w:p>
      <w:pPr>
        <w:pStyle w:val="Heading1"/>
      </w:pPr>
      <w:r>
        <w:t xml:space="preserve">References</w:t>
      </w:r>
    </w:p>
    <w:p>
      <w:pPr>
        <w:spacing w:after="80"/>
      </w:pPr>
      <w:r>
        <w:rPr>
          <w:sz w:val="20"/>
          <w:szCs w:val="20"/>
        </w:rPr>
        <w:t xml:space="preserve">[1] Johnson AEW, Bulgarelli L, Shen L, et al. MIMIC-IV, a freely accessible electronic health record dataset. Sci Data. 2023;10:1. https://doi.org/10.1038/s41597-022-01899-x</w:t>
      </w:r>
    </w:p>
    <w:p>
      <w:pPr>
        <w:spacing w:after="80"/>
      </w:pPr>
      <w:r>
        <w:rPr>
          <w:sz w:val="20"/>
          <w:szCs w:val="20"/>
        </w:rPr>
        <w:t xml:space="preserve">[2] Reyna MA, Josef CS, Jeter R, et al. Early Prediction of Sepsis From Clinical Data: The PhysioNet/Computing in Cardiology Challenge 2019. Crit Care Med. 2020;48(2):210-217. https://doi.org/10.1097/CCM.0000000000004145</w:t>
      </w:r>
    </w:p>
    <w:p>
      <w:pPr>
        <w:spacing w:after="80"/>
      </w:pPr>
      <w:r>
        <w:rPr>
          <w:sz w:val="20"/>
          <w:szCs w:val="20"/>
        </w:rPr>
        <w:t xml:space="preserve">[3] Goldberger AL, Amaral LAN, Glass L, et al. PhysioBank, PhysioToolkit, and PhysioNet. Circulation. 2000;101(23):e215-e220. https://doi.org/10.1161/01.CIR.101.23.e215</w:t>
      </w:r>
    </w:p>
    <w:p>
      <w:pPr>
        <w:spacing w:after="80"/>
      </w:pPr>
      <w:r>
        <w:rPr>
          <w:sz w:val="20"/>
          <w:szCs w:val="20"/>
        </w:rPr>
        <w:t xml:space="preserve">[4] Reiss A, Indlekofer I, Schmidt P, Van Laerhoven K. Deep PPG: Large-Scale Heart Rate Estimation with CNNs. Sensors. 2019;19(14):3079. https://doi.org/10.3390/s19143079</w:t>
      </w:r>
    </w:p>
    <w:p>
      <w:pPr>
        <w:spacing w:after="80"/>
      </w:pPr>
      <w:r>
        <w:rPr>
          <w:sz w:val="20"/>
          <w:szCs w:val="20"/>
        </w:rPr>
        <w:t xml:space="preserve">[5] Lewinski AA, Walsh C, Rushton S, et al. Telehealth for the Longitudinal Management of Chronic Conditions: Systematic Review. J Med Internet Res. 2022;24(8):e37100. https://doi.org/10.2196/37100</w:t>
      </w:r>
    </w:p>
    <w:p>
      <w:pPr>
        <w:spacing w:after="80"/>
      </w:pPr>
      <w:r>
        <w:rPr>
          <w:sz w:val="20"/>
          <w:szCs w:val="20"/>
        </w:rPr>
        <w:t xml:space="preserve">[6] Lee AYL, Wong AKC, Hung TTM, Yan J, Yang S. Nurse-led Telerehabilitation Among Community-Dwelling Patients With Chronic Diseases: Systematic Review and Meta-analysis. J Med Internet Res. 2022;24(11):e40364. https://doi.org/10.2196/40364</w:t>
      </w:r>
    </w:p>
    <w:p>
      <w:pPr>
        <w:spacing w:after="80"/>
      </w:pPr>
      <w:r>
        <w:rPr>
          <w:sz w:val="20"/>
          <w:szCs w:val="20"/>
        </w:rPr>
        <w:t xml:space="preserve">[7] Xiao Z, Han X. Evaluation of the Effectiveness of Telehealth Chronic Disease Management System: Systematic Review and Meta-analysis. J Med Internet Res. 2023;25:e44256. https://doi.org/10.2196/44256</w:t>
      </w:r>
    </w:p>
    <w:p>
      <w:pPr>
        <w:spacing w:after="80"/>
      </w:pPr>
      <w:r>
        <w:rPr>
          <w:sz w:val="20"/>
          <w:szCs w:val="20"/>
        </w:rPr>
        <w:t xml:space="preserve">[8] Kamei T, Yamamoto Y, Kanamori T, Nakayama Y, Porter SE. Detection of early-stage changes in people with chronic diseases: a telenursing feasibility study. Nurs Health Sci. 2018;20(3):313-322. https://doi.org/10.1111/nhs.12563</w:t>
      </w:r>
    </w:p>
    <w:p>
      <w:pPr>
        <w:spacing w:after="80"/>
      </w:pPr>
      <w:r>
        <w:rPr>
          <w:sz w:val="20"/>
          <w:szCs w:val="20"/>
        </w:rPr>
        <w:t xml:space="preserve">[9] Steitz BD, McCoy AB, Reese TJ, et al. ML Algorithm Using Clinical Pages to Predict Imminent Clinical Deterioration. J Gen Intern Med. 2024;39:27-34. https://doi.org/10.1007/s11606-023-08349-3</w:t>
      </w:r>
    </w:p>
    <w:p>
      <w:pPr>
        <w:spacing w:after="80"/>
      </w:pPr>
      <w:r>
        <w:rPr>
          <w:sz w:val="20"/>
          <w:szCs w:val="20"/>
        </w:rPr>
        <w:t xml:space="preserve">[10] Gonem S, Taylor A, Figueredo G, et al. Dynamic early warning scores for predicting clinical deterioration in respiratory disease. Respir Res. 2022;23:215. https://doi.org/10.1186/s12931-022-02130-6</w:t>
      </w:r>
    </w:p>
    <w:p>
      <w:pPr>
        <w:spacing w:after="80"/>
      </w:pPr>
      <w:r>
        <w:rPr>
          <w:sz w:val="20"/>
          <w:szCs w:val="20"/>
        </w:rPr>
        <w:t xml:space="preserve">[11] Cheng CY, Hsu TH, Hung YL, et al. Early prediction of in-hospital deterioration after ED admission using ML. BMC Emerg Med. 2026;26:6. https://doi.org/10.1186/s12873-025-01464-w</w:t>
      </w:r>
    </w:p>
    <w:p>
      <w:pPr>
        <w:spacing w:after="80"/>
      </w:pPr>
      <w:r>
        <w:rPr>
          <w:sz w:val="20"/>
          <w:szCs w:val="20"/>
        </w:rPr>
        <w:t xml:space="preserve">[12] Brewster L, Mountain G, Wessels B, Kelly C, Hawley M. Factors affecting front line staff acceptance of telehealth technologies. J Adv Nurs. 2014;70(1):21-33. https://doi.org/10.1111/jan.12196</w:t>
      </w:r>
    </w:p>
    <w:p>
      <w:pPr>
        <w:spacing w:after="80"/>
      </w:pPr>
      <w:r>
        <w:rPr>
          <w:sz w:val="20"/>
          <w:szCs w:val="20"/>
        </w:rPr>
        <w:t xml:space="preserve">[13] DeLong ER, DeLong DM, Clarke-Pearson DL. Comparing the areas under two or more correlated receiver operating characteristic curves: a nonparametric approach. Biometrics. 1988;44(3):837-845. https://doi.org/10.2307/2531595</w:t>
      </w:r>
    </w:p>
    <w:p>
      <w:pPr>
        <w:spacing w:after="80"/>
      </w:pPr>
      <w:r>
        <w:rPr>
          <w:sz w:val="20"/>
          <w:szCs w:val="20"/>
        </w:rPr>
        <w:t xml:space="preserve">[14] Vickers AJ, Elkin EB. Decision curve analysis: a novel method for evaluating prediction models. Med Decis Making. 2006;26(6):565-574. https://doi.org/10.1177/0272989X06295361</w:t>
      </w:r>
    </w:p>
    <w:p>
      <w:pPr>
        <w:spacing w:after="80"/>
      </w:pPr>
      <w:r>
        <w:rPr>
          <w:sz w:val="20"/>
          <w:szCs w:val="20"/>
        </w:rPr>
        <w:t xml:space="preserve">[15] Collins GS, Moons KGM, Dhiman P, et al. TRIPOD+AI statement: updated guidance for reporting clinical prediction models that use regression or machine learning methods. BMJ. 2024;385:e078378. https://doi.org/10.1136/bmj-2023-078378</w:t>
      </w:r>
    </w:p>
    <w:p>
      <w:pPr>
        <w:spacing w:after="80"/>
      </w:pPr>
      <w:r>
        <w:rPr>
          <w:sz w:val="20"/>
          <w:szCs w:val="20"/>
        </w:rPr>
        <w:t xml:space="preserve">[16] Aiken LH, Clarke SP, Sloane DM, Sochalski J, Silber JH. Hospital nurse staffing and patient mortality, nurse burnout, and job dissatisfaction. JAMA. 2002;288(16):1987-1993. https://doi.org/10.1001/jama.288.16.1987</w:t>
      </w:r>
    </w:p>
    <w:p>
      <w:pPr>
        <w:spacing w:after="80"/>
      </w:pPr>
      <w:r>
        <w:rPr>
          <w:sz w:val="20"/>
          <w:szCs w:val="20"/>
        </w:rPr>
        <w:t xml:space="preserve">[17] Burke JR, Downey C, Almoudaris AM. Failure to Rescue Deteriorating Patients: A Systematic Review of Root Causes and Improvement Strategies. J Patient Saf. 2022;18(1):e140-e155. https://doi.org/10.1097/PTS.0000000000000720</w:t>
      </w:r>
    </w:p>
    <w:p>
      <w:pPr>
        <w:spacing w:after="80"/>
      </w:pPr>
      <w:r>
        <w:rPr>
          <w:sz w:val="20"/>
          <w:szCs w:val="20"/>
        </w:rPr>
        <w:t xml:space="preserve">[18] Henneman EA, Gawlinski A, Giuliano KK. Surveillance: A Strategy for Improving Patient Safety in Acute and Critical Care Units. Crit Care Nurse. 2012;32(2):e9-e18. https://doi.org/10.4037/ccn2012166</w:t>
      </w:r>
    </w:p>
    <w:p>
      <w:pPr>
        <w:spacing w:after="80"/>
      </w:pPr>
      <w:r>
        <w:rPr>
          <w:sz w:val="20"/>
          <w:szCs w:val="20"/>
        </w:rPr>
        <w:t xml:space="preserve">[19] Lewandowska K, Weisbrot M, Cieloszyk A, Medrzycka-Dabrowska W, Krupa S, Ozga D. Impact of Alarm Fatigue on the Work of Nurses in an Intensive Care Environment—A Systematic Review. Int J Environ Res Public Health. 2020;17(22):8409. https://doi.org/10.3390/ijerph17228409</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b/>
      <w:bCs/>
      <w:color w:val="1F3864"/>
      <w:sz w:val="26"/>
      <w:szCs w:val="26"/>
      <w:rFonts w:ascii="Arial" w:cs="Arial" w:eastAsia="Arial" w:hAnsi="Arial"/>
    </w:rPr>
  </w:style>
  <w:style w:type="paragraph" w:styleId="Heading2">
    <w:name w:val="Heading 2"/>
    <w:basedOn w:val="Normal"/>
    <w:next w:val="Normal"/>
    <w:qFormat/>
    <w:pPr>
      <w:spacing w:before="160" w:after="80"/>
      <w:outlineLvl w:val="1"/>
    </w:pPr>
    <w:rPr>
      <w:b/>
      <w:bCs/>
      <w:color w:val="2E5496"/>
      <w:sz w:val="23"/>
      <w:szCs w:val="23"/>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ozjqaxudxik5ans0tscs5.png"/><Relationship Id="rId8" Type="http://schemas.openxmlformats.org/officeDocument/2006/relationships/image" Target="media/orovdbgxdanwc5bh7jn_g.png"/><Relationship Id="rId9" Type="http://schemas.openxmlformats.org/officeDocument/2006/relationships/image" Target="media/vt9n608tbak9byujsnxct.png"/><Relationship Id="rId10" Type="http://schemas.openxmlformats.org/officeDocument/2006/relationships/image" Target="media/bylanyigbnn43hwgmmmaa.png"/><Relationship Id="rId11" Type="http://schemas.openxmlformats.org/officeDocument/2006/relationships/image" Target="media/vp6dd121owywrbbv4dvs7.png"/><Relationship Id="rId12" Type="http://schemas.openxmlformats.org/officeDocument/2006/relationships/image" Target="media/h7pdxpec0bazjq9mmmdem.png"/><Relationship Id="rId13" Type="http://schemas.openxmlformats.org/officeDocument/2006/relationships/image" Target="media/0ew2okgcgeuixdajxt7i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2026-06-05T03:07:34.299Z</dcterms:created>
  <dcterms:modified xsi:type="dcterms:W3CDTF">2026-06-05T03:07:34.300Z</dcterms:modified>
</cp:coreProperties>
</file>

<file path=docProps/custom.xml><?xml version="1.0" encoding="utf-8"?>
<Properties xmlns="http://schemas.openxmlformats.org/officeDocument/2006/custom-properties" xmlns:vt="http://schemas.openxmlformats.org/officeDocument/2006/docPropsVTypes"/>
</file>