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Tele-Nursing and Wearable-Based Patient Safety Monitoring for Chronic Disease Management: An Integrated AI Framework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[[Author Name(s)]] · [[Affiliation(s)]] · [[Corresponding email]]</w:t>
      </w:r>
    </w:p>
    <w:p>
      <w:pPr>
        <w:pBdr>
          <w:top w:val="single" w:color="B00000" w:sz="12"/>
          <w:bottom w:val="single" w:color="B00000" w:sz="12"/>
          <w:left w:val="single" w:color="B00000" w:sz="12"/>
          <w:right w:val="single" w:color="B00000" w:sz="12"/>
        </w:pBdr>
        <w:shd w:fill="FFF3CD" w:val="clear"/>
        <w:spacing w:before="80" w:after="200"/>
      </w:pPr>
      <w:r>
        <w:rPr>
          <w:b/>
          <w:bCs/>
          <w:color w:val="B00000"/>
          <w:sz w:val="20"/>
          <w:szCs w:val="20"/>
        </w:rPr>
        <w:t xml:space="preserve">INTEGRITY-MARKED DRAFT (no inline notes). The text matches the already-distributed abstract. Yellow spans with a marker [n] are NOT supported by the project's real data (fabrication / ethics). Explanations live in the companion file 'manuscript_notes_EN.docx'. Real numbers: the unhighlighted 'Actual reproducible result' paragraph and Figures 1–5 (PhysioNet/CinC 2019, results/metrics.json).</w:t>
      </w:r>
    </w:p>
    <w:p>
      <w:pPr>
        <w:pStyle w:val="Heading1"/>
      </w:pPr>
      <w:r>
        <w:t xml:space="preserve">Abstract</w:t>
      </w:r>
    </w:p>
    <w:p>
      <w:pPr>
        <w:spacing w:after="140" w:line="300"/>
        <w:jc w:val="both"/>
      </w:pPr>
      <w:r>
        <w:t xml:space="preserve">Chronic disease management increasingly relies on remote care models that ensure continuity while reducing hospital burden. This study proposes an integrated tele-nursing and wearable-based patient safety monitoring framework powered by real-time AI analytics. The system combines wearable biosensor streams (heart rate, SpO₂, activity levels), </w:t>
      </w:r>
      <w:r>
        <w:rPr>
          <w:color w:val="7A0000"/>
          <w:highlight w:val="yellow"/>
          <w:highlightCs w:val="yellow"/>
        </w:rPr>
        <w:t xml:space="preserve">patient-reported outcomes, and nurse-led teleconsultation records</w:t>
      </w:r>
      <w:r>
        <w:rPr>
          <w:b/>
          <w:bCs/>
          <w:color w:val="B00000"/>
          <w:vertAlign w:val="superscript"/>
        </w:rPr>
        <w:t xml:space="preserve"> [1]</w:t>
      </w:r>
      <w:r>
        <w:t xml:space="preserve"> to detect early signs of deterioration among elderly patients with cardiovascular and diabetic conditions. </w:t>
      </w:r>
      <w:r>
        <w:rPr>
          <w:color w:val="7A0000"/>
          <w:highlight w:val="yellow"/>
          <w:highlightCs w:val="yellow"/>
        </w:rPr>
        <w:t xml:space="preserve">A cohort of 420 chronic patients was monitored over nine months.</w:t>
      </w:r>
      <w:r>
        <w:rPr>
          <w:b/>
          <w:bCs/>
          <w:color w:val="B00000"/>
          <w:vertAlign w:val="superscript"/>
        </w:rPr>
        <w:t xml:space="preserve"> [2]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A recurrent neural network model achieved 89% sensitivity in detecting early deterioration events, with a 31% reduction in false alarms compared to threshold-based alerts.</w:t>
      </w:r>
      <w:r>
        <w:rPr>
          <w:b/>
          <w:bCs/>
          <w:color w:val="B00000"/>
          <w:vertAlign w:val="superscript"/>
        </w:rPr>
        <w:t xml:space="preserve"> [3]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Nurse response time improved by 24% due to prioritized AI-generated alerts.</w:t>
      </w:r>
      <w:r>
        <w:rPr>
          <w:b/>
          <w:bCs/>
          <w:color w:val="B00000"/>
          <w:vertAlign w:val="superscript"/>
        </w:rPr>
        <w:t xml:space="preserve"> [4]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Patient adherence increased significantly (p &lt; 0.01), and hospital readmissions decreased by 18%.</w:t>
      </w:r>
      <w:r>
        <w:rPr>
          <w:b/>
          <w:bCs/>
          <w:color w:val="B00000"/>
          <w:vertAlign w:val="superscript"/>
        </w:rPr>
        <w:t xml:space="preserve"> [5]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Qualitative feedback revealed improved patient confidence and stronger nurse–patient engagement.</w:t>
      </w:r>
      <w:r>
        <w:rPr>
          <w:b/>
          <w:bCs/>
          <w:color w:val="B00000"/>
          <w:vertAlign w:val="superscript"/>
        </w:rPr>
        <w:t xml:space="preserve"> [6]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The study demonstrates that combining tele-nursing with AI-powered wearable analytics enhances patient safety and promotes holistic chronic care.</w:t>
      </w:r>
      <w:r>
        <w:rPr>
          <w:b/>
          <w:bCs/>
          <w:color w:val="B00000"/>
          <w:vertAlign w:val="superscript"/>
        </w:rPr>
        <w:t xml:space="preserve"> [7]</w:t>
      </w:r>
      <w:r>
        <w:t xml:space="preserve"> The framework supports smart hospital ecosystems by extending evidence-based nursing beyond physical boundaries while maintaining clinical oversight.</w:t>
      </w:r>
    </w:p>
    <w:p>
      <w:pPr>
        <w:spacing w:after="200"/>
      </w:pPr>
      <w:r>
        <w:rPr>
          <w:b/>
          <w:bCs/>
        </w:rPr>
        <w:t xml:space="preserve">Keywords: </w:t>
      </w:r>
      <w:r>
        <w:t xml:space="preserve">Tele-nursing; Wearable health devices; Chronic disease management; Patient safety monitoring; Remote healthcare analytics</w:t>
      </w:r>
    </w:p>
    <w:p>
      <w:pPr>
        <w:pStyle w:val="Heading1"/>
      </w:pPr>
      <w:r>
        <w:t xml:space="preserve">1. Introduction</w:t>
      </w:r>
    </w:p>
    <w:p>
      <w:pPr>
        <w:spacing w:after="140" w:line="300"/>
        <w:jc w:val="both"/>
      </w:pPr>
      <w:r>
        <w:t xml:space="preserve">Chronic cardiovascular and metabolic diseases impose a sustained burden on health systems and are a leading driver of avoidable hospital readmissions. Remote care models, in which nurses coordinate monitoring and intervention outside the hospital, aim to extend continuous, evidence-based nursing oversight to the home and to strengthen nurse-patient engagement throughout the chronic-care journey.</w:t>
      </w:r>
    </w:p>
    <w:p>
      <w:pPr>
        <w:spacing w:after="140" w:line="300"/>
        <w:jc w:val="both"/>
      </w:pPr>
      <w:r>
        <w:t xml:space="preserve">Two technological currents motivate this framework. First, wearable biosensors now provide near-continuous streams of heart rate, oxygen saturation and activity that can be relayed to a tele-nursing service in real time. Second, sequence models such as recurrent neural networks (RNNs) can learn patient-specific temporal patterns that fixed early-warning scores cannot, enabling earlier and better-prioritised alerts. We integrate these currents into a single nurse-led patient-safety monitoring framework and evaluate its early-deterioration detector, while positioning the wider system within a smart-hospital ecosystem.</w:t>
      </w:r>
    </w:p>
    <w:p>
      <w:pPr>
        <w:pStyle w:val="Heading1"/>
      </w:pPr>
      <w:r>
        <w:t xml:space="preserve">2. Related Work</w:t>
      </w:r>
    </w:p>
    <w:p>
      <w:pPr>
        <w:spacing w:after="140" w:line="300"/>
        <w:jc w:val="both"/>
      </w:pPr>
      <w:r>
        <w:t xml:space="preserve">Telehealth for chronic conditions has been evaluated in several systematic reviews, with nurse-led models showing benefits in adherence and patient-reported outcomes while highlighting heterogeneity in endpoints. Acceptance research stresses that workflow fit and alert quality strongly influence front-line uptake, motivating risk-prioritised rather than binary alarms.</w:t>
      </w:r>
    </w:p>
    <w:p>
      <w:pPr>
        <w:spacing w:after="140" w:line="300"/>
        <w:jc w:val="both"/>
      </w:pPr>
      <w:r>
        <w:t xml:space="preserve">On the modelling side, machine-learning early-warning systems have repeatedly outperformed threshold-based scores for imminent deterioration, and recurrent architectures are well suited to irregular physiological sequences. Wearable-based studies further show that multimodal signals can flag deterioration risk in outpatients. Our framework combines an RNN deterioration detector with a nurse-led tele-monitoring workflow and a transparently-labelled integration layer.</w:t>
      </w:r>
    </w:p>
    <w:p>
      <w:pPr>
        <w:pStyle w:val="Heading1"/>
      </w:pPr>
      <w:r>
        <w:t xml:space="preserve">3. Methods</w:t>
      </w:r>
    </w:p>
    <w:p>
      <w:pPr>
        <w:pStyle w:val="Heading2"/>
      </w:pPr>
      <w:r>
        <w:t xml:space="preserve">3.1 Study design and cohort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We prospectively monitored a cohort of 420 elderly patients with chronic cardiovascular and diabetic conditions over a nine-month period,</w:t>
      </w:r>
      <w:r>
        <w:rPr>
          <w:b/>
          <w:bCs/>
          <w:color w:val="B00000"/>
          <w:vertAlign w:val="superscript"/>
        </w:rPr>
        <w:t xml:space="preserve"> [8]</w:t>
      </w:r>
      <w:r>
        <w:t xml:space="preserve"> each equipped with a wrist-worn wearable and a chest patch capturing heart rate, oxygen saturation and activity. Patients were managed by a nurse-led tele-monitoring team that received AI-prioritised alerts throughout the monitoring period.</w:t>
      </w:r>
    </w:p>
    <w:p>
      <w:pPr>
        <w:pStyle w:val="Heading2"/>
      </w:pPr>
      <w:r>
        <w:t xml:space="preserve">3.2 Wearable monitoring and data acquisition</w:t>
      </w:r>
    </w:p>
    <w:p>
      <w:pPr>
        <w:spacing w:after="140" w:line="300"/>
        <w:jc w:val="both"/>
      </w:pPr>
      <w:r>
        <w:t xml:space="preserve">Vital-sign time series (heart rate, oxygen saturation, temperature, systolic/diastolic/mean arterial blood pressure and respiration rate) were acquired at hourly resolution and streamed through an edge/cloud ingestion layer to the analytics service (Figure 1). Records were forward/backward filled and median-imputed within patient, then standardised using statistics estimated only on the training partition to avoid leakage.</w:t>
      </w:r>
    </w:p>
    <w:p>
      <w:pPr>
        <w:pStyle w:val="Heading2"/>
      </w:pPr>
      <w:r>
        <w:t xml:space="preserve">3.3 Tele-nursing integration and patient-reported outcomes</w:t>
      </w:r>
    </w:p>
    <w:p>
      <w:pPr>
        <w:spacing w:after="140" w:line="300"/>
        <w:jc w:val="both"/>
      </w:pPr>
      <w:r>
        <w:t xml:space="preserve">Alongside the vital-sign stream, the framework ingests a tele-nursing layer. </w:t>
      </w:r>
      <w:r>
        <w:rPr>
          <w:color w:val="7A0000"/>
          <w:highlight w:val="yellow"/>
          <w:highlightCs w:val="yellow"/>
        </w:rPr>
        <w:t xml:space="preserve">Patient-reported outcomes and nurse-led teleconsultation records were linked to each patient to support the integrated tele-nursing workflow.</w:t>
      </w:r>
      <w:r>
        <w:rPr>
          <w:b/>
          <w:bCs/>
          <w:color w:val="B00000"/>
          <w:vertAlign w:val="superscript"/>
        </w:rPr>
        <w:t xml:space="preserve"> [9]</w:t>
      </w:r>
      <w:r>
        <w:t xml:space="preserve"> In this draft the tele-nursing, patient-reported-outcome and adherence records are produced by a transparently seeded simulator and are labelled synthetic throughout (appendix/data_provenance.md).</w:t>
      </w:r>
    </w:p>
    <w:p>
      <w:pPr>
        <w:pStyle w:val="Heading2"/>
      </w:pPr>
      <w:r>
        <w:t xml:space="preserve">3.4 Model architecture</w:t>
      </w:r>
    </w:p>
    <w:p>
      <w:pPr>
        <w:spacing w:after="140" w:line="300"/>
        <w:jc w:val="both"/>
      </w:pPr>
      <w:r>
        <w:t xml:space="preserve">The detector is a gated recurrent unit (GRU) network that maps a sliding window of W standardised hourly vital-sign vectors to a single deterioration-risk score through its final hidden state, followed by a small fully-connected head with layer normalisation and dropout. A window is labelled positive when a deterioration onset occurs within the subsequent L hours, framing the task as prediction before clinical recognition (defaults W = 8, L = 6; config.yaml). This component is real and reproducible.</w:t>
      </w:r>
    </w:p>
    <w:p>
      <w:pPr>
        <w:pStyle w:val="Heading2"/>
      </w:pPr>
      <w:r>
        <w:t xml:space="preserve">3.5 Training</w:t>
      </w:r>
    </w:p>
    <w:p>
      <w:pPr>
        <w:spacing w:after="140" w:line="300"/>
        <w:jc w:val="both"/>
      </w:pPr>
      <w:r>
        <w:t xml:space="preserve">Models were trained with the Adam optimiser and weighted binary cross-entropy, with the positive-class weight set automatically from the training prevalence to counter class imbalance. Early stopping monitored validation loss. All hyperparameters and the random seed (42) are recorded in the configuration file.</w:t>
      </w:r>
    </w:p>
    <w:p>
      <w:pPr>
        <w:pStyle w:val="Heading2"/>
      </w:pPr>
      <w:r>
        <w:t xml:space="preserve">3.6 Evaluation and statistical analysis</w:t>
      </w:r>
    </w:p>
    <w:p>
      <w:pPr>
        <w:spacing w:after="140" w:line="300"/>
        <w:jc w:val="both"/>
      </w:pPr>
      <w:r>
        <w:t xml:space="preserve">Detection performance was assessed on a held-out test partition using discrimination (AUROC, AUPRC) and operating-point metrics at a configurable alarm threshold: sensitivity, specificity, precision, F1 and false-alarm rate, with the confusion matrix. These detector metrics are real and written to a machine-readable file. Downstream comparisons of nurse response, adherence and readmissions described below would, in a genuine deployment, be analysed with appropriate before/after or controlled designs.</w:t>
      </w:r>
    </w:p>
    <w:p>
      <w:pPr>
        <w:pStyle w:val="Heading2"/>
      </w:pPr>
      <w:r>
        <w:t xml:space="preserve">3.7 Ethics</w:t>
      </w:r>
    </w:p>
    <w:p>
      <w:pPr>
        <w:spacing w:after="140" w:line="300"/>
        <w:jc w:val="both"/>
      </w:pPr>
      <w:r>
        <w:t xml:space="preserve">A genuine deployment of this design would constitute human-subjects research requiring institutional ethics approval and informed consent. The present work used only de-identified, publicly released secondary data (PhysioNet/CinC 2019) together with a synthetic tele-nursing layer; the cohort, monitoring and patient-outcome statements highlighted in this draft were not collected under any such approval and are flagged accordingly.</w:t>
      </w:r>
    </w:p>
    <w:p>
      <w:pPr>
        <w:pStyle w:val="Heading1"/>
      </w:pPr>
      <w:r>
        <w:t xml:space="preserve">4. Results</w:t>
      </w:r>
    </w:p>
    <w:p>
      <w:pPr>
        <w:pStyle w:val="Heading2"/>
      </w:pPr>
      <w:r>
        <w:t xml:space="preserve">4.1 Cohort and monitoring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All 420 enrolled patients completed the nine-month monitoring period and contributed continuous wearable, patient-reported and teleconsultation data.</w:t>
      </w:r>
      <w:r>
        <w:rPr>
          <w:b/>
          <w:bCs/>
          <w:color w:val="B00000"/>
          <w:vertAlign w:val="superscript"/>
        </w:rPr>
        <w:t xml:space="preserve"> [10]</w:t>
      </w:r>
    </w:p>
    <w:p>
      <w:pPr>
        <w:pStyle w:val="Heading2"/>
      </w:pPr>
      <w:r>
        <w:t xml:space="preserve">4.2 Early-deterioration detection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The recurrent neural network achieved a sensitivity of 89% in detecting early deterioration events.</w:t>
      </w:r>
      <w:r>
        <w:rPr>
          <w:b/>
          <w:bCs/>
          <w:color w:val="B00000"/>
          <w:vertAlign w:val="superscript"/>
        </w:rPr>
        <w:t xml:space="preserve"> [11]</w:t>
      </w:r>
    </w:p>
    <w:p>
      <w:pPr>
        <w:pStyle w:val="Heading2"/>
      </w:pPr>
      <w:r>
        <w:t xml:space="preserve">4.3 Alarm burden versus baseline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False alarms were reduced by 31% relative to a threshold-based early-warning score.</w:t>
      </w:r>
      <w:r>
        <w:rPr>
          <w:b/>
          <w:bCs/>
          <w:color w:val="B00000"/>
          <w:vertAlign w:val="superscript"/>
        </w:rPr>
        <w:t xml:space="preserve"> [12]</w:t>
      </w:r>
    </w:p>
    <w:p>
      <w:pPr>
        <w:pStyle w:val="Heading2"/>
      </w:pPr>
      <w:r>
        <w:t xml:space="preserve">4.4 Nurse workflow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Prioritised AI-generated alerts improved nurse response time by 24%.</w:t>
      </w:r>
      <w:r>
        <w:rPr>
          <w:b/>
          <w:bCs/>
          <w:color w:val="B00000"/>
          <w:vertAlign w:val="superscript"/>
        </w:rPr>
        <w:t xml:space="preserve"> [13]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AI-prioritised alerts allowed nurses to triage the remote caseload and intervene earlier than under threshold-based monitoring.</w:t>
      </w:r>
      <w:r>
        <w:rPr>
          <w:b/>
          <w:bCs/>
          <w:color w:val="B00000"/>
          <w:vertAlign w:val="superscript"/>
        </w:rPr>
        <w:t xml:space="preserve"> [14]</w:t>
      </w:r>
    </w:p>
    <w:p>
      <w:pPr>
        <w:pStyle w:val="Heading2"/>
      </w:pPr>
      <w:r>
        <w:t xml:space="preserve">4.5 Patient outcomes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Medication adherence increased significantly (p &lt; 0.01), and avoidable hospital readmissions decreased by 18%.</w:t>
      </w:r>
      <w:r>
        <w:rPr>
          <w:b/>
          <w:bCs/>
          <w:color w:val="B00000"/>
          <w:vertAlign w:val="superscript"/>
        </w:rPr>
        <w:t xml:space="preserve"> [15]</w:t>
      </w:r>
    </w:p>
    <w:p>
      <w:pPr>
        <w:pStyle w:val="Heading2"/>
      </w:pPr>
      <w:r>
        <w:t xml:space="preserve">4.6 Qualitative findings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Structured interviews indicated improved patient confidence and stronger nurse–patient engagement.</w:t>
      </w:r>
      <w:r>
        <w:rPr>
          <w:b/>
          <w:bCs/>
          <w:color w:val="B00000"/>
          <w:vertAlign w:val="superscript"/>
        </w:rPr>
        <w:t xml:space="preserve"> [16]</w:t>
      </w:r>
    </w:p>
    <w:p>
      <w:pPr>
        <w:spacing w:before="60" w:after="60"/>
      </w:pPr>
      <w:r>
        <w:rPr>
          <w:b/>
          <w:bCs/>
          <w:color w:val="1B6B2F"/>
        </w:rPr>
        <w:t xml:space="preserve">Actual reproducible result (real, not highlighted):</w:t>
      </w:r>
    </w:p>
    <w:p>
      <w:pPr>
        <w:spacing w:after="140" w:line="300"/>
        <w:jc w:val="both"/>
      </w:pPr>
      <w:r>
        <w:t xml:space="preserve">On a held-out test set of 76,263 hourly windows (2,461 positive; 3.2% prevalence) from PhysioNet/CinC 2019, the GRU achieved AUROC 0.866 and AUPRC 0.243; at threshold 0.5, sensitivity 0.803, specificity 0.761, precision 0.101, F1 0.179, false-alarm rate 0.239 (results/metrics.json). The tele-nursing/PRO/adherence layer is synthetic and never contributes to any clinical metric. These are the only measured numbers in this manuscript.</w:t>
      </w:r>
    </w:p>
    <w:p>
      <w:pPr>
        <w:pStyle w:val="Heading2"/>
      </w:pPr>
      <w:r>
        <w:t xml:space="preserve">4.7 Figures</w:t>
      </w:r>
    </w:p>
    <w:p>
      <w:pPr>
        <w:spacing w:before="80" w:after="4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1. System architecture (conceptual).</w:t>
      </w:r>
    </w:p>
    <w:p>
      <w:pPr>
        <w:spacing w:before="80" w:after="4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2. Data pipeline and windowing (conceptual). Note the synthetic tele-nursing lane.</w:t>
      </w:r>
    </w:p>
    <w:p>
      <w:pPr>
        <w:spacing w:before="80"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3. ROC curve — real PhysioNet/CinC 2019 run (AUROC 0.866).</w:t>
      </w:r>
    </w:p>
    <w:p>
      <w:pPr>
        <w:spacing w:before="80"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4. Precision–recall curve — real run (AUPRC 0.243).</w:t>
      </w:r>
    </w:p>
    <w:p>
      <w:pPr>
        <w:spacing w:before="80" w:after="40"/>
        <w:jc w:val="center"/>
      </w:pPr>
      <w:r>
        <w:drawing>
          <wp:inline distT="0" distB="0" distL="0" distR="0">
            <wp:extent cx="31432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5. Confusion matrix at threshold 0.5 — real run (sensitivity 0.803, false-alarm rate 0.239).</w:t>
      </w:r>
    </w:p>
    <w:p>
      <w:pPr>
        <w:pStyle w:val="Heading1"/>
      </w:pPr>
      <w:r>
        <w:t xml:space="preserve">5. Discussion</w:t>
      </w:r>
    </w:p>
    <w:p>
      <w:pPr>
        <w:spacing w:after="140" w:line="300"/>
        <w:jc w:val="both"/>
      </w:pPr>
      <w:r>
        <w:rPr>
          <w:color w:val="7A0000"/>
          <w:highlight w:val="yellow"/>
          <w:highlightCs w:val="yellow"/>
        </w:rPr>
        <w:t xml:space="preserve">These results demonstrate that AI-assisted tele-nursing measurably enhances patient safety, reduces hospital burden, and improves adherence in chronic care.</w:t>
      </w:r>
      <w:r>
        <w:rPr>
          <w:b/>
          <w:bCs/>
          <w:color w:val="B00000"/>
          <w:vertAlign w:val="superscript"/>
        </w:rPr>
        <w:t xml:space="preserve"> [17]</w:t>
      </w:r>
      <w:r>
        <w:t xml:space="preserve"> The reproducible detector evaluation does, however, provide an honest foundation: because it runs on an openly downloadable dataset with a fixed seed, every real number can be regenerated and independently checked. Positioned within a smart-hospital ecosystem, a risk-prioritised detector of this kind is intended to support — not replace — nurse-led patient safety monitoring.</w:t>
      </w:r>
    </w:p>
    <w:p>
      <w:pPr>
        <w:pStyle w:val="Heading1"/>
      </w:pPr>
      <w:r>
        <w:t xml:space="preserve">6. Limitations</w:t>
      </w:r>
    </w:p>
    <w:p>
      <w:pPr>
        <w:spacing w:after="140" w:line="300"/>
        <w:jc w:val="both"/>
      </w:pPr>
      <w:r>
        <w:t xml:space="preserve">First, the deterioration label is operationalised using the PhysioNet 2019 onset, a validated but specific physiologic endpoint that serves as a proxy rather than a disease-specific chronic-care outcome. Second, the wearable and tele-nursing layers are demonstrated rather than clinically validated, and the tele-nursing layer is synthetic. Third, the cohort, nurse-workflow and patient-outcome statements in this draft are not supported by collected data; they are highlighted as fabrication/ethics flags and require a prospective, consented, ethically-approved study before they could be claimed.</w:t>
      </w:r>
    </w:p>
    <w:p>
      <w:pPr>
        <w:pStyle w:val="Heading1"/>
      </w:pPr>
      <w:r>
        <w:t xml:space="preserve">7. Conclusion</w:t>
      </w:r>
    </w:p>
    <w:p>
      <w:pPr>
        <w:spacing w:after="140" w:line="300"/>
        <w:jc w:val="both"/>
      </w:pPr>
      <w:r>
        <w:t xml:space="preserve">A GRU early-deterioration detector was evaluated reproducibly on open physiological data (AUROC 0.866; sensitivity 0.803). The downstream tele-nursing outcomes asserted in the distributed abstract are not supported by data and are marked throughout this draft; they should be treated as prospective hypotheses, not findings (see companion notes file and appendix/claim_mapping_004.md).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rPr>
          <w:sz w:val="20"/>
          <w:szCs w:val="20"/>
        </w:rPr>
        <w:t xml:space="preserve">[1] Reyna MA, Josef CS, Jeter R, et al. Early Prediction of Sepsis From Clinical Data: The PhysioNet/Computing in Cardiology Challenge 2019. Crit Care Med. 2020;48(2):210-217. https://doi.org/10.1097/CCM.0000000000004145</w:t>
      </w:r>
    </w:p>
    <w:p>
      <w:pPr>
        <w:spacing w:after="80"/>
      </w:pPr>
      <w:r>
        <w:rPr>
          <w:sz w:val="20"/>
          <w:szCs w:val="20"/>
        </w:rPr>
        <w:t xml:space="preserve">[2] Goldberger AL, Amaral LAN, Glass L, et al. PhysioBank, PhysioToolkit, and PhysioNet. Circulation. 2000;101(23):e215-e220. https://doi.org/10.1161/01.CIR.101.23.e215</w:t>
      </w:r>
    </w:p>
    <w:p>
      <w:pPr>
        <w:spacing w:after="80"/>
      </w:pPr>
      <w:r>
        <w:rPr>
          <w:sz w:val="20"/>
          <w:szCs w:val="20"/>
        </w:rPr>
        <w:t xml:space="preserve">[3] Johnson AEW, Bulgarelli L, Shen L, et al. MIMIC-IV, a freely accessible electronic health record dataset. Sci Data. 2023;10:1. https://doi.org/10.1038/s41597-022-01899-x</w:t>
      </w:r>
    </w:p>
    <w:p>
      <w:pPr>
        <w:spacing w:after="80"/>
      </w:pPr>
      <w:r>
        <w:rPr>
          <w:sz w:val="20"/>
          <w:szCs w:val="20"/>
        </w:rPr>
        <w:t xml:space="preserve">[4] Reiss A, Indlekofer I, Schmidt P, Van Laerhoven K. Deep PPG: Large-Scale Heart Rate Estimation with CNNs. Sensors. 2019;19(14):3079. https://doi.org/10.3390/s19143079</w:t>
      </w:r>
    </w:p>
    <w:p>
      <w:pPr>
        <w:spacing w:after="80"/>
      </w:pPr>
      <w:r>
        <w:rPr>
          <w:sz w:val="20"/>
          <w:szCs w:val="20"/>
        </w:rPr>
        <w:t xml:space="preserve">[5] Lewinski AA, Walsh C, Rushton S, et al. Telehealth for the Longitudinal Management of Chronic Conditions: Systematic Review. J Med Internet Res. 2022;24(8):e37100. https://doi.org/10.2196/37100</w:t>
      </w:r>
    </w:p>
    <w:p>
      <w:pPr>
        <w:spacing w:after="80"/>
      </w:pPr>
      <w:r>
        <w:rPr>
          <w:sz w:val="20"/>
          <w:szCs w:val="20"/>
        </w:rPr>
        <w:t xml:space="preserve">[6] Lee AYL, Wong AKC, Hung TTM, Yan J, Yang S. Nurse-led Telerehabilitation Among Community-Dwelling Patients With Chronic Diseases: Systematic Review and Meta-analysis. J Med Internet Res. 2022;24(11):e40364. https://doi.org/10.2196/40364</w:t>
      </w:r>
    </w:p>
    <w:p>
      <w:pPr>
        <w:spacing w:after="80"/>
      </w:pPr>
      <w:r>
        <w:rPr>
          <w:sz w:val="20"/>
          <w:szCs w:val="20"/>
        </w:rPr>
        <w:t xml:space="preserve">[7] Xiao Z, Han X. Evaluation of the Effectiveness of Telehealth Chronic Disease Management System: Systematic Review and Meta-analysis. J Med Internet Res. 2023;25:e44256. https://doi.org/10.2196/44256</w:t>
      </w:r>
    </w:p>
    <w:p>
      <w:pPr>
        <w:spacing w:after="80"/>
      </w:pPr>
      <w:r>
        <w:rPr>
          <w:sz w:val="20"/>
          <w:szCs w:val="20"/>
        </w:rPr>
        <w:t xml:space="preserve">[8] Kamei T, Yamamoto Y, Kanamori T, Nakayama Y, Porter SE. Detection of early-stage changes in people with chronic diseases: a telenursing feasibility study. Nurs Health Sci. 2018;20(3):313-322. https://doi.org/10.1111/nhs.12563</w:t>
      </w:r>
    </w:p>
    <w:p>
      <w:pPr>
        <w:spacing w:after="80"/>
      </w:pPr>
      <w:r>
        <w:rPr>
          <w:sz w:val="20"/>
          <w:szCs w:val="20"/>
        </w:rPr>
        <w:t xml:space="preserve">[9] Steitz BD, McCoy AB, Reese TJ, et al. ML Algorithm Using Clinical Pages to Predict Imminent Clinical Deterioration. J Gen Intern Med. 2024;39:27-34. https://doi.org/10.1007/s11606-023-08349-3</w:t>
      </w:r>
    </w:p>
    <w:p>
      <w:pPr>
        <w:spacing w:after="80"/>
      </w:pPr>
      <w:r>
        <w:rPr>
          <w:sz w:val="20"/>
          <w:szCs w:val="20"/>
        </w:rPr>
        <w:t xml:space="preserve">[10] Gonem S, Taylor A, Figueredo G, et al. Dynamic early warning scores for predicting clinical deterioration in respiratory disease. Respir Res. 2022;23:215. https://doi.org/10.1186/s12931-022-02130-6</w:t>
      </w:r>
    </w:p>
    <w:p>
      <w:pPr>
        <w:spacing w:after="80"/>
      </w:pPr>
      <w:r>
        <w:rPr>
          <w:sz w:val="20"/>
          <w:szCs w:val="20"/>
        </w:rPr>
        <w:t xml:space="preserve">[11] Brewster L, Mountain G, Wessels B, Kelly C, Hawley M. Factors affecting front line staff acceptance of telehealth technologies. J Adv Nurs. 2014;70(1):21-33. https://doi.org/10.1111/jan.12196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1F3864"/>
      <w:sz w:val="26"/>
      <w:szCs w:val="2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b/>
      <w:bCs/>
      <w:color w:val="2E5496"/>
      <w:sz w:val="23"/>
      <w:szCs w:val="23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krbq6a6qdygf2rtimbr6r.png"/><Relationship Id="rId8" Type="http://schemas.openxmlformats.org/officeDocument/2006/relationships/image" Target="media/aztdhc5hwvrugakukgleh.png"/><Relationship Id="rId9" Type="http://schemas.openxmlformats.org/officeDocument/2006/relationships/image" Target="media/acwsduolo47cjly2fgc8e.png"/><Relationship Id="rId10" Type="http://schemas.openxmlformats.org/officeDocument/2006/relationships/image" Target="media/ymbtk29e2hqsz9awqagox.png"/><Relationship Id="rId11" Type="http://schemas.openxmlformats.org/officeDocument/2006/relationships/image" Target="media/5uvuoz3vghqwejhb7bggx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2026-06-04T09:17:20.103Z</dcterms:created>
  <dcterms:modified xsi:type="dcterms:W3CDTF">2026-06-04T09:17:20.103Z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