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Companion Notes — Integrity Annotations</w:t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for manuscript_highlighted_EN.docx / manuscript_with_notes_EN.docx</w:t>
      </w:r>
    </w:p>
    <w:p>
      <w:pPr>
        <w:pBdr>
          <w:top w:val="single" w:color="B00000" w:sz="12"/>
          <w:bottom w:val="single" w:color="B00000" w:sz="12"/>
          <w:left w:val="single" w:color="B00000" w:sz="12"/>
          <w:right w:val="single" w:color="B00000" w:sz="12"/>
        </w:pBdr>
        <w:shd w:fill="FFF3CD" w:val="clear"/>
        <w:spacing w:before="80" w:after="200"/>
      </w:pPr>
      <w:r>
        <w:rPr>
          <w:b/>
          <w:bCs/>
          <w:color w:val="B00000"/>
          <w:sz w:val="20"/>
          <w:szCs w:val="20"/>
        </w:rPr>
        <w:t xml:space="preserve">Each entry corresponds to a numbered yellow highlight [n] in the manuscript files. Marker numbers are generated from one source, so they match across all three files. FAB = data fabrication; ETH = ethics violation.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The patient-reported-outcome and nurse-led-teleconsultation records are SYNTHETIC (appendix/data_provenance.md, rows 5–7). They were generated by a seeded simulator and are not real linked patient records.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[2]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No such cohort exists. The figure 420 and the nine-month period are invented; the only real data is the open PhysioNet/CinC 2019 dataset. A real 420-patient, nine-month study would require institutional ethics approval and informed consent, never obtained.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[3]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The real model run achieved sensitivity 0.803 (not 0.89), and no threshold-based baseline was implemented, so the '31% reduction' has no underlying experiment. Source: results/metrics.json (AUROC 0.866, false-alarm rate 0.239).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[4]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Nurse response time was never measured. The tele-nursing interaction log is SYNTHETIC (data_provenance.md row 5); presenting a simulated quantity as a measured clinical effect is fabrication.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[5]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Adherence is a SYNTHETIC random-walk variable (data_provenance.md row 7); the p-value is invented and no test was run. Readmissions were never collected and would require consented patient follow-up under ethics approval.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[6]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No qualitative study (interviews, surveys, focus groups) was conducted; there were no participants and no consent. These findings do not exist.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[7]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This conclusion rests entirely on the fabricated outcomes above. The actual work only demonstrates the feasibility of a deterioration detector on open secondary data; it shows no patient-safety or chronic-care benefit.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[8]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Same fabrication as the abstract cohort claim: no 420-patient cohort was monitored and no prospective human-subjects study was run or ethically approved. The modelling uses only the open PhysioNet/CinC 2019 secondary dataset.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[9]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The PRO and teleconsultation layer is SYNTHETIC (data_provenance.md rows 5–7); no real linked records exist. The only real inputs are the seven PhysioNet vital signs.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[10]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Restates the fabricated cohort: there were no enrolled patients, no monitoring period, and no consent or ethics approval. Only the open PhysioNet/CinC 2019 secondary dataset was used.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[11]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Real value is sensitivity 0.803 at threshold 0.5 (AUROC 0.866). See Figure 3 and results/metrics.json; the embedded ROC/confusion figures visibly contradict the 89% claim.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[12]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No threshold baseline was implemented; there is no comparison experiment. The real false-alarm rate is 0.239 (Figure 5).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[13]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Nurse response time was never measured; the tele-nursing layer is synthetic. Reporting it as a measured effect is fabrication.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[14]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No nurses, caseload or threshold-based comparison existed; the tele-nursing workflow is synthetic. This describes an operational effect that was never observed.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[15]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Adherence is synthetic and the p-value is invented; readmissions were never collected. Both would require consented follow-up under ethics approval.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[16] </w:t>
      </w:r>
      <w:r>
        <w:rPr>
          <w:b/>
          <w:bCs/>
          <w:color w:val="B00000"/>
          <w:sz w:val="18"/>
          <w:szCs w:val="18"/>
        </w:rPr>
        <w:t xml:space="preserve">DATA FABRICATION + ETHICS VIOLATION — </w:t>
      </w:r>
      <w:r>
        <w:rPr>
          <w:i/>
          <w:iCs/>
          <w:color w:val="B00000"/>
          <w:sz w:val="18"/>
          <w:szCs w:val="18"/>
        </w:rPr>
        <w:t xml:space="preserve">No interviews or qualitative study took place; there were no participants or consent.</w:t>
      </w:r>
    </w:p>
    <w:p>
      <w:pPr>
        <w:pBdr>
          <w:left w:val="single" w:color="B00000" w:sz="18" w:space="8"/>
        </w:pBdr>
        <w:spacing w:after="150"/>
        <w:ind w:left="360"/>
      </w:pPr>
      <w:r>
        <w:rPr>
          <w:b/>
          <w:bCs/>
          <w:color w:val="B00000"/>
          <w:sz w:val="18"/>
          <w:szCs w:val="18"/>
        </w:rPr>
        <w:t xml:space="preserve">[17] </w:t>
      </w:r>
      <w:r>
        <w:rPr>
          <w:b/>
          <w:bCs/>
          <w:color w:val="B00000"/>
          <w:sz w:val="18"/>
          <w:szCs w:val="18"/>
        </w:rPr>
        <w:t xml:space="preserve">DATA FABRICATION — </w:t>
      </w:r>
      <w:r>
        <w:rPr>
          <w:i/>
          <w:iCs/>
          <w:color w:val="B00000"/>
          <w:sz w:val="18"/>
          <w:szCs w:val="18"/>
        </w:rPr>
        <w:t xml:space="preserve">Overreaching conclusion built on the fabricated outcomes. The evidence supports only that a deterioration detector is feasible on open data; no patient-safety, burden or adherence benefit was measured.</w:t>
      </w:r>
    </w:p>
    <w:p>
      <w:pPr>
        <w:pStyle w:val="Heading1"/>
      </w:pPr>
      <w:r>
        <w:t xml:space="preserve">Visual summary — claims vs. reality</w:t>
      </w:r>
    </w:p>
    <w:p>
      <w:pPr>
        <w:spacing w:before="80" w:after="40"/>
        <w:jc w:val="center"/>
      </w:pPr>
      <w:r>
        <w:drawing>
          <wp:inline distT="0" distB="0" distL="0" distR="0">
            <wp:extent cx="5715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Distributed-abstract claims (red = fabricated / not measured) beside the actual PhysioNet/CinC 2019 results (green). Generated by src/eval/plot_claims_figure.py.</w:t>
      </w:r>
    </w:p>
    <w:p>
      <w:pPr>
        <w:pStyle w:val="Heading1"/>
      </w:pPr>
      <w:r>
        <w:t xml:space="preserve">Tally and disposition</w:t>
      </w:r>
    </w:p>
    <w:p>
      <w:pPr>
        <w:spacing w:after="140" w:line="300"/>
        <w:jc w:val="both"/>
      </w:pPr>
      <w:r>
        <w:t xml:space="preserve">Total flagged markers: 17. Of these, 9 are also ethics violations (simulated or non-existent human-subject outcomes reported as measured). Recommended disposition: replace the distributed abstract with the honest reproducible version, or re-frame these figures as pre-specified prospective targets (appendix/claim_mapping_004.md (Lampiran B)).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bCs/>
      <w:color w:val="1F3864"/>
      <w:sz w:val="26"/>
      <w:szCs w:val="2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60" w:after="80"/>
    </w:pPr>
    <w:rPr>
      <w:b/>
      <w:bCs/>
      <w:color w:val="2E5496"/>
      <w:sz w:val="23"/>
      <w:szCs w:val="23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pb1dym-pagi-4mg8gtwjz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2026-06-04T09:17:20.105Z</dcterms:created>
  <dcterms:modified xsi:type="dcterms:W3CDTF">2026-06-04T09:17:20.105Z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