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360" w:hRule="exact"/>
        </w:trPr>
        <w:tc>
          <w:tcPr>
            <w:tcW w:type="dxa" w:w="9360"/>
            <w:shd w:fill="1F3864" w:val="clear"/>
            <w:tcMar>
              <w:top w:type="dxa" w:w="0"/>
              <w:left w:type="dxa" w:w="0"/>
              <w:bottom w:type="dxa" w:w="0"/>
              <w:right w:type="dxa" w:w="0"/>
            </w:tcMar>
          </w:tcPr>
          <w:p>
            <w:r>
              <w:t xml:space="preserve"/>
            </w:r>
          </w:p>
        </w:tc>
      </w:tr>
    </w:tbl>
    <w:p>
      <w:pPr>
        <w:pBdr>
          <w:bottom w:val="single" w:color="AB8A2F" w:sz="10" w:space="1"/>
        </w:pBdr>
        <w:spacing w:after="0" w:before="0"/>
      </w:pPr>
      <w:r>
        <w:t xml:space="preserve"/>
      </w:r>
    </w:p>
    <w:p>
      <w:pPr>
        <w:spacing w:after="120" w:before="500"/>
        <w:jc w:val="center"/>
      </w:pPr>
      <w:r>
        <w:rPr>
          <w:rFonts w:ascii="Cambria" w:cs="Cambria" w:eastAsia="Cambria" w:hAnsi="Cambria"/>
          <w:b/>
          <w:bCs/>
          <w:color w:val="1F3864"/>
          <w:sz w:val="52"/>
          <w:szCs w:val="52"/>
        </w:rPr>
        <w:t xml:space="preserve">[Company Name]</w:t>
      </w:r>
    </w:p>
    <w:p>
      <w:pPr>
        <w:spacing w:after="900" w:before="0"/>
        <w:jc w:val="center"/>
      </w:pPr>
      <w:r>
        <w:rPr>
          <w:rFonts w:ascii="Cambria" w:cs="Cambria" w:eastAsia="Cambria" w:hAnsi="Cambria"/>
          <w:b/>
          <w:bCs/>
          <w:color w:val="AB8A2F"/>
          <w:spacing w:val="30"/>
          <w:sz w:val="26"/>
          <w:szCs w:val="26"/>
        </w:rPr>
        <w:t xml:space="preserve">EMPLOYEE HANDBOOK</w:t>
      </w:r>
    </w:p>
    <w:p>
      <w:pPr>
        <w:spacing w:after="60"/>
        <w:jc w:val="center"/>
      </w:pPr>
      <w:r>
        <w:rPr>
          <w:rFonts w:ascii="Calibri" w:cs="Calibri" w:eastAsia="Calibri" w:hAnsi="Calibri"/>
          <w:color w:val="262626"/>
          <w:sz w:val="22"/>
          <w:szCs w:val="22"/>
        </w:rPr>
        <w:t xml:space="preserve">[Company Name]</w:t>
      </w:r>
    </w:p>
    <w:p>
      <w:pPr>
        <w:spacing w:after="1300"/>
        <w:jc w:val="center"/>
      </w:pPr>
      <w:r>
        <w:rPr>
          <w:rFonts w:ascii="Calibri" w:cs="Calibri" w:eastAsia="Calibri" w:hAnsi="Calibri"/>
          <w:i/>
          <w:iCs/>
          <w:color w:val="595959"/>
          <w:sz w:val="22"/>
          <w:szCs w:val="22"/>
        </w:rPr>
        <w:t xml:space="preserve">Last updated August 2026</w:t>
      </w:r>
    </w:p>
    <w:p>
      <w:pPr>
        <w:pBdr>
          <w:bottom w:val="single" w:color="AB8A2F" w:sz="10" w:space="1"/>
        </w:pBd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360" w:hRule="exact"/>
        </w:trPr>
        <w:tc>
          <w:tcPr>
            <w:tcW w:type="dxa" w:w="9360"/>
            <w:shd w:fill="1F3864" w:val="clear"/>
            <w:tcMar>
              <w:top w:type="dxa" w:w="0"/>
              <w:left w:type="dxa" w:w="0"/>
              <w:bottom w:type="dxa" w:w="0"/>
              <w:right w:type="dxa" w:w="0"/>
            </w:tcMar>
          </w:tcPr>
          <w:p>
            <w:r>
              <w:t xml:space="preserve"/>
            </w:r>
          </w:p>
        </w:tc>
      </w:tr>
    </w:tbl>
    <w:p>
      <w:pPr>
        <w:sectPr>
          <w:footerReference w:type="default" r:id="rId7"/>
          <w:type w:val="nextPage"/>
          <w:pgSz w:w="12240" w:h="15840" w:orient="portrait"/>
          <w:pgMar w:top="1440" w:right="1440" w:bottom="1440" w:left="1440" w:header="708" w:footer="708" w:gutter="0"/>
          <w:pgNumType/>
          <w:titlePg/>
          <w:docGrid w:linePitch="360"/>
        </w:sectPr>
      </w:pPr>
    </w:p>
    <w:p>
      <w:pPr>
        <w:pBdr>
          <w:bottom w:val="single" w:color="AB8A2F" w:sz="8" w:space="8"/>
        </w:pBdr>
        <w:spacing w:after="300"/>
        <w:jc w:val="center"/>
      </w:pPr>
      <w:r>
        <w:rPr>
          <w:rFonts w:ascii="Cambria" w:cs="Cambria" w:eastAsia="Cambria" w:hAnsi="Cambria"/>
          <w:b/>
          <w:bCs/>
          <w:color w:val="1F3864"/>
          <w:spacing w:val="10"/>
          <w:sz w:val="30"/>
          <w:szCs w:val="30"/>
        </w:rPr>
        <w:t xml:space="preserve">TABLE OF CONTENTS</w:t>
      </w:r>
    </w:p>
    <w:sdt>
      <w:sdtPr>
        <w:alias w:val="Table of Contents"/>
      </w:sdtPr>
      <w:sdtContent>
        <w:p>
          <w:pPr>
            <w:pStyle w:val="TOC1"/>
            <w:tabs>
              <w:tab w:val="clear" w:pos="9026"/>
              <w:tab w:val="right" w:pos="9025" w:leader="dot"/>
            </w:tabs>
          </w:pPr>
          <w:r>
            <w:fldChar w:fldCharType="begin" w:dirty="true"/>
            <w:instrText xml:space="preserve">TOC \h \o "1-3"</w:instrText>
            <w:fldChar w:fldCharType="separate"/>
            <w:t xml:space="default">FOREWORD</w:t>
            <w:tab/>
            <w:t xml:space="default">1</w:t>
          </w:r>
        </w:p>
        <w:p>
          <w:pPr>
            <w:pStyle w:val="TOC1"/>
            <w:tabs>
              <w:tab w:val="clear" w:pos="9026"/>
              <w:tab w:val="right" w:pos="9025" w:leader="dot"/>
            </w:tabs>
          </w:pPr>
          <w:r>
            <w:t xml:space="default">SECTION I - INTRODUCTION</w:t>
            <w:tab/>
            <w:t xml:space="default">2</w:t>
          </w:r>
        </w:p>
        <w:p>
          <w:pPr>
            <w:pStyle w:val="TOC2"/>
            <w:tabs>
              <w:tab w:val="clear" w:pos="8786"/>
              <w:tab w:val="right" w:pos="9025" w:leader="dot"/>
            </w:tabs>
          </w:pPr>
          <w:r>
            <w:t xml:space="default">1.1 This Employee Handbook</w:t>
            <w:tab/>
            <w:t xml:space="default">2</w:t>
          </w:r>
        </w:p>
        <w:p>
          <w:pPr>
            <w:pStyle w:val="TOC2"/>
            <w:tabs>
              <w:tab w:val="clear" w:pos="8786"/>
              <w:tab w:val="right" w:pos="9025" w:leader="dot"/>
            </w:tabs>
          </w:pPr>
          <w:r>
            <w:t xml:space="default">1.2 Policy Changes</w:t>
            <w:tab/>
            <w:t xml:space="default">2</w:t>
          </w:r>
        </w:p>
        <w:p>
          <w:pPr>
            <w:pStyle w:val="TOC2"/>
            <w:tabs>
              <w:tab w:val="clear" w:pos="8786"/>
              <w:tab w:val="right" w:pos="9025" w:leader="dot"/>
            </w:tabs>
          </w:pPr>
          <w:r>
            <w:t xml:space="default">1.3 No Guarantee of Employment</w:t>
            <w:tab/>
            <w:t xml:space="default">2</w:t>
          </w:r>
        </w:p>
        <w:p>
          <w:pPr>
            <w:pStyle w:val="TOC2"/>
            <w:tabs>
              <w:tab w:val="clear" w:pos="8786"/>
              <w:tab w:val="right" w:pos="9025" w:leader="dot"/>
            </w:tabs>
          </w:pPr>
          <w:r>
            <w:t xml:space="default">1.4 At-Will Employment</w:t>
            <w:tab/>
            <w:t xml:space="default">2</w:t>
          </w:r>
        </w:p>
        <w:p>
          <w:pPr>
            <w:pStyle w:val="TOC1"/>
            <w:tabs>
              <w:tab w:val="clear" w:pos="9026"/>
              <w:tab w:val="right" w:pos="9025" w:leader="dot"/>
            </w:tabs>
          </w:pPr>
          <w:r>
            <w:t xml:space="default">SECTION II - EMPLOYMENT POLICIES</w:t>
            <w:tab/>
            <w:t xml:space="default">3</w:t>
          </w:r>
        </w:p>
        <w:p>
          <w:pPr>
            <w:pStyle w:val="TOC2"/>
            <w:tabs>
              <w:tab w:val="clear" w:pos="8786"/>
              <w:tab w:val="right" w:pos="9025" w:leader="dot"/>
            </w:tabs>
          </w:pPr>
          <w:r>
            <w:t xml:space="default">2.1 Employee Classification Categories</w:t>
            <w:tab/>
            <w:t xml:space="default">3</w:t>
          </w:r>
        </w:p>
        <w:p>
          <w:pPr>
            <w:pStyle w:val="TOC2"/>
            <w:tabs>
              <w:tab w:val="clear" w:pos="8786"/>
              <w:tab w:val="right" w:pos="9025" w:leader="dot"/>
            </w:tabs>
          </w:pPr>
          <w:r>
            <w:t xml:space="default">2.2 Confidentiality</w:t>
            <w:tab/>
            <w:t xml:space="default">3</w:t>
          </w:r>
        </w:p>
        <w:p>
          <w:pPr>
            <w:pStyle w:val="TOC2"/>
            <w:tabs>
              <w:tab w:val="clear" w:pos="8786"/>
              <w:tab w:val="right" w:pos="9025" w:leader="dot"/>
            </w:tabs>
          </w:pPr>
          <w:r>
            <w:t xml:space="default">2.3 Conflicts of Interest</w:t>
            <w:tab/>
            <w:t xml:space="default">4</w:t>
          </w:r>
        </w:p>
        <w:p>
          <w:pPr>
            <w:pStyle w:val="TOC2"/>
            <w:tabs>
              <w:tab w:val="clear" w:pos="8786"/>
              <w:tab w:val="right" w:pos="9025" w:leader="dot"/>
            </w:tabs>
          </w:pPr>
          <w:r>
            <w:t xml:space="default">2.4 Employment of Relatives and Personal Relationships</w:t>
            <w:tab/>
            <w:t xml:space="default">5</w:t>
          </w:r>
        </w:p>
        <w:p>
          <w:pPr>
            <w:pStyle w:val="TOC2"/>
            <w:tabs>
              <w:tab w:val="clear" w:pos="8786"/>
              <w:tab w:val="right" w:pos="9025" w:leader="dot"/>
            </w:tabs>
          </w:pPr>
          <w:r>
            <w:t xml:space="default">2.5 Employment of Minors</w:t>
            <w:tab/>
            <w:t xml:space="default">6</w:t>
          </w:r>
        </w:p>
        <w:p>
          <w:pPr>
            <w:pStyle w:val="TOC2"/>
            <w:tabs>
              <w:tab w:val="clear" w:pos="8786"/>
              <w:tab w:val="right" w:pos="9025" w:leader="dot"/>
            </w:tabs>
          </w:pPr>
          <w:r>
            <w:t xml:space="default">2.6 Employee Files</w:t>
            <w:tab/>
            <w:t xml:space="default">6</w:t>
          </w:r>
        </w:p>
        <w:p>
          <w:pPr>
            <w:pStyle w:val="TOC2"/>
            <w:tabs>
              <w:tab w:val="clear" w:pos="8786"/>
              <w:tab w:val="right" w:pos="9025" w:leader="dot"/>
            </w:tabs>
          </w:pPr>
          <w:r>
            <w:t xml:space="default">2.7 Background and Reference Checks</w:t>
            <w:tab/>
            <w:t xml:space="default">7</w:t>
          </w:r>
        </w:p>
        <w:p>
          <w:pPr>
            <w:pStyle w:val="TOC2"/>
            <w:tabs>
              <w:tab w:val="clear" w:pos="8786"/>
              <w:tab w:val="right" w:pos="9025" w:leader="dot"/>
            </w:tabs>
          </w:pPr>
          <w:r>
            <w:t xml:space="default">2.8 Healthcare Information</w:t>
            <w:tab/>
            <w:t xml:space="default">7</w:t>
          </w:r>
        </w:p>
        <w:p>
          <w:pPr>
            <w:pStyle w:val="TOC2"/>
            <w:tabs>
              <w:tab w:val="clear" w:pos="8786"/>
              <w:tab w:val="right" w:pos="9025" w:leader="dot"/>
            </w:tabs>
          </w:pPr>
          <w:r>
            <w:t xml:space="default">2.9 Immigration Reform and Control Act (I-9)</w:t>
            <w:tab/>
            <w:t xml:space="default">7</w:t>
          </w:r>
        </w:p>
        <w:p>
          <w:pPr>
            <w:pStyle w:val="TOC2"/>
            <w:tabs>
              <w:tab w:val="clear" w:pos="8786"/>
              <w:tab w:val="right" w:pos="9025" w:leader="dot"/>
            </w:tabs>
          </w:pPr>
          <w:r>
            <w:t xml:space="default">2.10 Political Views</w:t>
            <w:tab/>
            <w:t xml:space="default">8</w:t>
          </w:r>
        </w:p>
        <w:p>
          <w:pPr>
            <w:pStyle w:val="TOC2"/>
            <w:tabs>
              <w:tab w:val="clear" w:pos="8786"/>
              <w:tab w:val="right" w:pos="9025" w:leader="dot"/>
            </w:tabs>
          </w:pPr>
          <w:r>
            <w:t xml:space="default">2.11 Termination and Change of Employment Status</w:t>
            <w:tab/>
            <w:t xml:space="default">8</w:t>
          </w:r>
        </w:p>
        <w:p>
          <w:pPr>
            <w:pStyle w:val="TOC2"/>
            <w:tabs>
              <w:tab w:val="clear" w:pos="8786"/>
              <w:tab w:val="right" w:pos="9025" w:leader="dot"/>
            </w:tabs>
          </w:pPr>
          <w:r>
            <w:t xml:space="default">2.12 Return of Company Property</w:t>
            <w:tab/>
            <w:t xml:space="default">9</w:t>
          </w:r>
        </w:p>
        <w:p>
          <w:pPr>
            <w:pStyle w:val="TOC2"/>
            <w:tabs>
              <w:tab w:val="clear" w:pos="8786"/>
              <w:tab w:val="right" w:pos="9025" w:leader="dot"/>
            </w:tabs>
          </w:pPr>
          <w:r>
            <w:t xml:space="default">2.13 Rehire</w:t>
            <w:tab/>
            <w:t xml:space="default">9</w:t>
          </w:r>
        </w:p>
        <w:p>
          <w:pPr>
            <w:pStyle w:val="TOC2"/>
            <w:tabs>
              <w:tab w:val="clear" w:pos="8786"/>
              <w:tab w:val="right" w:pos="9025" w:leader="dot"/>
            </w:tabs>
          </w:pPr>
          <w:r>
            <w:t xml:space="default">2.14 Labor Unions</w:t>
            <w:tab/>
            <w:t xml:space="default">9</w:t>
          </w:r>
        </w:p>
        <w:p>
          <w:pPr>
            <w:pStyle w:val="TOC2"/>
            <w:tabs>
              <w:tab w:val="clear" w:pos="8786"/>
              <w:tab w:val="right" w:pos="9025" w:leader="dot"/>
            </w:tabs>
          </w:pPr>
          <w:r>
            <w:t xml:space="default">2.15 Expenses</w:t>
            <w:tab/>
            <w:t xml:space="default">9</w:t>
          </w:r>
        </w:p>
        <w:p>
          <w:pPr>
            <w:pStyle w:val="TOC1"/>
            <w:tabs>
              <w:tab w:val="clear" w:pos="9026"/>
              <w:tab w:val="right" w:pos="9025" w:leader="dot"/>
            </w:tabs>
          </w:pPr>
          <w:r>
            <w:t xml:space="default">SECTION III - PAYROLL PRACTICES</w:t>
            <w:tab/>
            <w:t xml:space="default">11</w:t>
          </w:r>
        </w:p>
        <w:p>
          <w:pPr>
            <w:pStyle w:val="TOC2"/>
            <w:tabs>
              <w:tab w:val="clear" w:pos="8786"/>
              <w:tab w:val="right" w:pos="9025" w:leader="dot"/>
            </w:tabs>
          </w:pPr>
          <w:r>
            <w:t xml:space="default">3.1 Payment of Wages</w:t>
            <w:tab/>
            <w:t xml:space="default">11</w:t>
          </w:r>
        </w:p>
        <w:p>
          <w:pPr>
            <w:pStyle w:val="TOC2"/>
            <w:tabs>
              <w:tab w:val="clear" w:pos="8786"/>
              <w:tab w:val="right" w:pos="9025" w:leader="dot"/>
            </w:tabs>
          </w:pPr>
          <w:r>
            <w:t xml:space="default">3.2 Overtime Pay</w:t>
            <w:tab/>
            <w:t xml:space="default">11</w:t>
          </w:r>
        </w:p>
        <w:p>
          <w:pPr>
            <w:pStyle w:val="TOC2"/>
            <w:tabs>
              <w:tab w:val="clear" w:pos="8786"/>
              <w:tab w:val="right" w:pos="9025" w:leader="dot"/>
            </w:tabs>
          </w:pPr>
          <w:r>
            <w:t xml:space="default">3.3 Deductions</w:t>
            <w:tab/>
            <w:t xml:space="default">11</w:t>
          </w:r>
        </w:p>
        <w:p>
          <w:pPr>
            <w:pStyle w:val="TOC2"/>
            <w:tabs>
              <w:tab w:val="clear" w:pos="8786"/>
              <w:tab w:val="right" w:pos="9025" w:leader="dot"/>
            </w:tabs>
          </w:pPr>
          <w:r>
            <w:t xml:space="default">3.4 Deductions from Pay for Exempt Employees</w:t>
            <w:tab/>
            <w:t xml:space="default">12</w:t>
          </w:r>
        </w:p>
        <w:p>
          <w:pPr>
            <w:pStyle w:val="TOC2"/>
            <w:tabs>
              <w:tab w:val="clear" w:pos="8786"/>
              <w:tab w:val="right" w:pos="9025" w:leader="dot"/>
            </w:tabs>
          </w:pPr>
          <w:r>
            <w:t xml:space="default">3.5 Faithful Performance</w:t>
            <w:tab/>
            <w:t xml:space="default">13</w:t>
          </w:r>
        </w:p>
        <w:p>
          <w:pPr>
            <w:pStyle w:val="TOC2"/>
            <w:tabs>
              <w:tab w:val="clear" w:pos="8786"/>
              <w:tab w:val="right" w:pos="9025" w:leader="dot"/>
            </w:tabs>
          </w:pPr>
          <w:r>
            <w:t xml:space="default">3.6 Outside Work</w:t>
            <w:tab/>
            <w:t xml:space="default">13</w:t>
          </w:r>
        </w:p>
        <w:p>
          <w:pPr>
            <w:pStyle w:val="TOC2"/>
            <w:tabs>
              <w:tab w:val="clear" w:pos="8786"/>
              <w:tab w:val="right" w:pos="9025" w:leader="dot"/>
            </w:tabs>
          </w:pPr>
          <w:r>
            <w:t xml:space="default">3.7 Travel Expenses and Pay</w:t>
            <w:tab/>
            <w:t xml:space="default">13</w:t>
          </w:r>
        </w:p>
        <w:p>
          <w:pPr>
            <w:pStyle w:val="TOC3"/>
            <w:tabs>
              <w:tab w:val="clear" w:pos="8546"/>
              <w:tab w:val="right" w:pos="9025" w:leader="dot"/>
            </w:tabs>
          </w:pPr>
          <w:r>
            <w:t xml:space="default">3.7a Mileage Reimbursement</w:t>
            <w:tab/>
            <w:t xml:space="default">14</w:t>
          </w:r>
        </w:p>
        <w:p>
          <w:pPr>
            <w:pStyle w:val="TOC2"/>
            <w:tabs>
              <w:tab w:val="clear" w:pos="8786"/>
              <w:tab w:val="right" w:pos="9025" w:leader="dot"/>
            </w:tabs>
          </w:pPr>
          <w:r>
            <w:t xml:space="default">3.8 Breaks</w:t>
            <w:tab/>
            <w:t xml:space="default">14</w:t>
          </w:r>
        </w:p>
        <w:p>
          <w:pPr>
            <w:pStyle w:val="TOC2"/>
            <w:tabs>
              <w:tab w:val="clear" w:pos="8786"/>
              <w:tab w:val="right" w:pos="9025" w:leader="dot"/>
            </w:tabs>
          </w:pPr>
          <w:r>
            <w:t xml:space="default">3.9 Lactation Breaks</w:t>
            <w:tab/>
            <w:t xml:space="default">14</w:t>
          </w:r>
        </w:p>
        <w:p>
          <w:pPr>
            <w:pStyle w:val="TOC2"/>
            <w:tabs>
              <w:tab w:val="clear" w:pos="8786"/>
              <w:tab w:val="right" w:pos="9025" w:leader="dot"/>
            </w:tabs>
          </w:pPr>
          <w:r>
            <w:t xml:space="default">3.10 Time Reporting</w:t>
            <w:tab/>
            <w:t xml:space="default">14</w:t>
          </w:r>
        </w:p>
        <w:p>
          <w:pPr>
            <w:pStyle w:val="TOC2"/>
            <w:tabs>
              <w:tab w:val="clear" w:pos="8786"/>
              <w:tab w:val="right" w:pos="9025" w:leader="dot"/>
            </w:tabs>
          </w:pPr>
          <w:r>
            <w:t xml:space="default">3.11 Attendance</w:t>
            <w:tab/>
            <w:t xml:space="default">15</w:t>
          </w:r>
        </w:p>
        <w:p>
          <w:pPr>
            <w:pStyle w:val="TOC2"/>
            <w:tabs>
              <w:tab w:val="clear" w:pos="8786"/>
              <w:tab w:val="right" w:pos="9025" w:leader="dot"/>
            </w:tabs>
          </w:pPr>
          <w:r>
            <w:t xml:space="default">3.12 Emergencies and Inclement Weather</w:t>
            <w:tab/>
            <w:t xml:space="default">15</w:t>
          </w:r>
        </w:p>
        <w:p>
          <w:pPr>
            <w:pStyle w:val="TOC2"/>
            <w:tabs>
              <w:tab w:val="clear" w:pos="8786"/>
              <w:tab w:val="right" w:pos="9025" w:leader="dot"/>
            </w:tabs>
          </w:pPr>
          <w:r>
            <w:t xml:space="default">3.13 Performance Reviews and Pay Increases</w:t>
            <w:tab/>
            <w:t xml:space="default">15</w:t>
          </w:r>
        </w:p>
        <w:p>
          <w:pPr>
            <w:pStyle w:val="TOC2"/>
            <w:tabs>
              <w:tab w:val="clear" w:pos="8786"/>
              <w:tab w:val="right" w:pos="9025" w:leader="dot"/>
            </w:tabs>
          </w:pPr>
          <w:r>
            <w:t xml:space="default">3.14 Payroll Policies</w:t>
            <w:tab/>
            <w:t xml:space="default">16</w:t>
          </w:r>
        </w:p>
        <w:p>
          <w:pPr>
            <w:pStyle w:val="TOC1"/>
            <w:tabs>
              <w:tab w:val="clear" w:pos="9026"/>
              <w:tab w:val="right" w:pos="9025" w:leader="dot"/>
            </w:tabs>
          </w:pPr>
          <w:r>
            <w:t xml:space="default">SECTION IV - STANDARDS OF CONDUCT</w:t>
            <w:tab/>
            <w:t xml:space="default">17</w:t>
          </w:r>
        </w:p>
        <w:p>
          <w:pPr>
            <w:pStyle w:val="TOC2"/>
            <w:tabs>
              <w:tab w:val="clear" w:pos="8786"/>
              <w:tab w:val="right" w:pos="9025" w:leader="dot"/>
            </w:tabs>
          </w:pPr>
          <w:r>
            <w:t xml:space="default">4.1 Complaint and Problem-Solving Procedure</w:t>
            <w:tab/>
            <w:t xml:space="default">17</w:t>
          </w:r>
        </w:p>
        <w:p>
          <w:pPr>
            <w:pStyle w:val="TOC2"/>
            <w:tabs>
              <w:tab w:val="clear" w:pos="8786"/>
              <w:tab w:val="right" w:pos="9025" w:leader="dot"/>
            </w:tabs>
          </w:pPr>
          <w:r>
            <w:t xml:space="default">4.2 Equal Employment Opportunity</w:t>
            <w:tab/>
            <w:t xml:space="default">17</w:t>
          </w:r>
        </w:p>
        <w:p>
          <w:pPr>
            <w:pStyle w:val="TOC2"/>
            <w:tabs>
              <w:tab w:val="clear" w:pos="8786"/>
              <w:tab w:val="right" w:pos="9025" w:leader="dot"/>
            </w:tabs>
          </w:pPr>
          <w:r>
            <w:t xml:space="default">4.3 Americans with Disabilities Act</w:t>
            <w:tab/>
            <w:t xml:space="default">18</w:t>
          </w:r>
        </w:p>
        <w:p>
          <w:pPr>
            <w:pStyle w:val="TOC2"/>
            <w:tabs>
              <w:tab w:val="clear" w:pos="8786"/>
              <w:tab w:val="right" w:pos="9025" w:leader="dot"/>
            </w:tabs>
          </w:pPr>
          <w:r>
            <w:t xml:space="default">4.4 Anti-Harassment Policy</w:t>
            <w:tab/>
            <w:t xml:space="default">19</w:t>
          </w:r>
        </w:p>
        <w:p>
          <w:pPr>
            <w:pStyle w:val="TOC2"/>
            <w:tabs>
              <w:tab w:val="clear" w:pos="8786"/>
              <w:tab w:val="right" w:pos="9025" w:leader="dot"/>
            </w:tabs>
          </w:pPr>
          <w:r>
            <w:t xml:space="default">4.5 Standards of Conduct and Discipline</w:t>
            <w:tab/>
            <w:t xml:space="default">21</w:t>
          </w:r>
        </w:p>
        <w:p>
          <w:pPr>
            <w:pStyle w:val="TOC2"/>
            <w:tabs>
              <w:tab w:val="clear" w:pos="8786"/>
              <w:tab w:val="right" w:pos="9025" w:leader="dot"/>
            </w:tabs>
          </w:pPr>
          <w:r>
            <w:t xml:space="default">4.6 Giving and Accepting Gifts</w:t>
            <w:tab/>
            <w:t xml:space="default">23</w:t>
          </w:r>
        </w:p>
        <w:p>
          <w:pPr>
            <w:pStyle w:val="TOC2"/>
            <w:tabs>
              <w:tab w:val="clear" w:pos="8786"/>
              <w:tab w:val="right" w:pos="9025" w:leader="dot"/>
            </w:tabs>
          </w:pPr>
          <w:r>
            <w:t xml:space="default">4.7 Internal Promotions and Transfers</w:t>
            <w:tab/>
            <w:t xml:space="default">23</w:t>
          </w:r>
        </w:p>
        <w:p>
          <w:pPr>
            <w:pStyle w:val="TOC2"/>
            <w:tabs>
              <w:tab w:val="clear" w:pos="8786"/>
              <w:tab w:val="right" w:pos="9025" w:leader="dot"/>
            </w:tabs>
          </w:pPr>
          <w:r>
            <w:t xml:space="default">4.8 Dress Code</w:t>
            <w:tab/>
            <w:t xml:space="default">23</w:t>
          </w:r>
        </w:p>
        <w:p>
          <w:pPr>
            <w:pStyle w:val="TOC2"/>
            <w:tabs>
              <w:tab w:val="clear" w:pos="8786"/>
              <w:tab w:val="right" w:pos="9025" w:leader="dot"/>
            </w:tabs>
          </w:pPr>
          <w:r>
            <w:t xml:space="default">4.9 Safety</w:t>
            <w:tab/>
            <w:t xml:space="default">24</w:t>
          </w:r>
        </w:p>
        <w:p>
          <w:pPr>
            <w:pStyle w:val="TOC2"/>
            <w:tabs>
              <w:tab w:val="clear" w:pos="8786"/>
              <w:tab w:val="right" w:pos="9025" w:leader="dot"/>
            </w:tabs>
          </w:pPr>
          <w:r>
            <w:t xml:space="default">4.10 Fire Safety</w:t>
            <w:tab/>
            <w:t xml:space="default">24</w:t>
          </w:r>
        </w:p>
        <w:p>
          <w:pPr>
            <w:pStyle w:val="TOC2"/>
            <w:tabs>
              <w:tab w:val="clear" w:pos="8786"/>
              <w:tab w:val="right" w:pos="9025" w:leader="dot"/>
            </w:tabs>
          </w:pPr>
          <w:r>
            <w:t xml:space="default">4.11 Security</w:t>
            <w:tab/>
            <w:t xml:space="default">24</w:t>
          </w:r>
        </w:p>
        <w:p>
          <w:pPr>
            <w:pStyle w:val="TOC2"/>
            <w:tabs>
              <w:tab w:val="clear" w:pos="8786"/>
              <w:tab w:val="right" w:pos="9025" w:leader="dot"/>
            </w:tabs>
          </w:pPr>
          <w:r>
            <w:t xml:space="default">4.12 Workplace Bullying</w:t>
            <w:tab/>
            <w:t xml:space="default">24</w:t>
          </w:r>
        </w:p>
        <w:p>
          <w:pPr>
            <w:pStyle w:val="TOC2"/>
            <w:tabs>
              <w:tab w:val="clear" w:pos="8786"/>
              <w:tab w:val="right" w:pos="9025" w:leader="dot"/>
            </w:tabs>
          </w:pPr>
          <w:r>
            <w:t xml:space="default">4.13 Workplace Violence</w:t>
            <w:tab/>
            <w:t xml:space="default">24</w:t>
          </w:r>
        </w:p>
        <w:p>
          <w:pPr>
            <w:pStyle w:val="TOC2"/>
            <w:tabs>
              <w:tab w:val="clear" w:pos="8786"/>
              <w:tab w:val="right" w:pos="9025" w:leader="dot"/>
            </w:tabs>
          </w:pPr>
          <w:r>
            <w:t xml:space="default">4.14 Drug-Free &amp; Alcohol-Free Workplace</w:t>
            <w:tab/>
            <w:t xml:space="default">25</w:t>
          </w:r>
        </w:p>
        <w:p>
          <w:pPr>
            <w:pStyle w:val="TOC2"/>
            <w:tabs>
              <w:tab w:val="clear" w:pos="8786"/>
              <w:tab w:val="right" w:pos="9025" w:leader="dot"/>
            </w:tabs>
          </w:pPr>
          <w:r>
            <w:t xml:space="default">4.15 Searches</w:t>
            <w:tab/>
            <w:t xml:space="default">26</w:t>
          </w:r>
        </w:p>
        <w:p>
          <w:pPr>
            <w:pStyle w:val="TOC2"/>
            <w:tabs>
              <w:tab w:val="clear" w:pos="8786"/>
              <w:tab w:val="right" w:pos="9025" w:leader="dot"/>
            </w:tabs>
          </w:pPr>
          <w:r>
            <w:t xml:space="default">4.16 Smoke-Free Workplace</w:t>
            <w:tab/>
            <w:t xml:space="default">26</w:t>
          </w:r>
        </w:p>
        <w:p>
          <w:pPr>
            <w:pStyle w:val="TOC2"/>
            <w:tabs>
              <w:tab w:val="clear" w:pos="8786"/>
              <w:tab w:val="right" w:pos="9025" w:leader="dot"/>
            </w:tabs>
          </w:pPr>
          <w:r>
            <w:t xml:space="default">4.17 Computer and Electronic Communication Policy</w:t>
            <w:tab/>
            <w:t xml:space="default">27</w:t>
          </w:r>
        </w:p>
        <w:p>
          <w:pPr>
            <w:pStyle w:val="TOC2"/>
            <w:tabs>
              <w:tab w:val="clear" w:pos="8786"/>
              <w:tab w:val="right" w:pos="9025" w:leader="dot"/>
            </w:tabs>
          </w:pPr>
          <w:r>
            <w:t xml:space="default">4.18 Social Media</w:t>
            <w:tab/>
            <w:t xml:space="default">28</w:t>
          </w:r>
        </w:p>
        <w:p>
          <w:pPr>
            <w:pStyle w:val="TOC2"/>
            <w:tabs>
              <w:tab w:val="clear" w:pos="8786"/>
              <w:tab w:val="right" w:pos="9025" w:leader="dot"/>
            </w:tabs>
          </w:pPr>
          <w:r>
            <w:t xml:space="default">4.19 Personal Phone Calls and Cell Phone Use</w:t>
            <w:tab/>
            <w:t xml:space="default">28</w:t>
          </w:r>
        </w:p>
        <w:p>
          <w:pPr>
            <w:pStyle w:val="TOC2"/>
            <w:tabs>
              <w:tab w:val="clear" w:pos="8786"/>
              <w:tab w:val="right" w:pos="9025" w:leader="dot"/>
            </w:tabs>
          </w:pPr>
          <w:r>
            <w:t xml:space="default">4.20 Company Equipment and Property</w:t>
            <w:tab/>
            <w:t xml:space="default">29</w:t>
          </w:r>
        </w:p>
        <w:p>
          <w:pPr>
            <w:pStyle w:val="TOC3"/>
            <w:tabs>
              <w:tab w:val="clear" w:pos="8546"/>
              <w:tab w:val="right" w:pos="9025" w:leader="dot"/>
            </w:tabs>
          </w:pPr>
          <w:r>
            <w:t xml:space="default">4.20a Damages to Company Equipment and Property – Reimbursement</w:t>
            <w:tab/>
            <w:t xml:space="default">29</w:t>
          </w:r>
        </w:p>
        <w:p>
          <w:pPr>
            <w:pStyle w:val="TOC2"/>
            <w:tabs>
              <w:tab w:val="clear" w:pos="8786"/>
              <w:tab w:val="right" w:pos="9025" w:leader="dot"/>
            </w:tabs>
          </w:pPr>
          <w:r>
            <w:t xml:space="default">4.21 Solicitations and Distribution</w:t>
            <w:tab/>
            <w:t xml:space="default">29</w:t>
          </w:r>
        </w:p>
        <w:p>
          <w:pPr>
            <w:pStyle w:val="TOC2"/>
            <w:tabs>
              <w:tab w:val="clear" w:pos="8786"/>
              <w:tab w:val="right" w:pos="9025" w:leader="dot"/>
            </w:tabs>
          </w:pPr>
          <w:r>
            <w:t xml:space="default">4.22 Bulletin Boards</w:t>
            <w:tab/>
            <w:t xml:space="default">30</w:t>
          </w:r>
        </w:p>
        <w:p>
          <w:pPr>
            <w:pStyle w:val="TOC2"/>
            <w:tabs>
              <w:tab w:val="clear" w:pos="8786"/>
              <w:tab w:val="right" w:pos="9025" w:leader="dot"/>
            </w:tabs>
          </w:pPr>
          <w:r>
            <w:t xml:space="default">4.23 Company Credit Cards</w:t>
            <w:tab/>
            <w:t xml:space="default">30</w:t>
          </w:r>
        </w:p>
        <w:p>
          <w:pPr>
            <w:pStyle w:val="TOC1"/>
            <w:tabs>
              <w:tab w:val="clear" w:pos="9026"/>
              <w:tab w:val="right" w:pos="9025" w:leader="dot"/>
            </w:tabs>
          </w:pPr>
          <w:r>
            <w:t xml:space="default">SECTION V - EMPLOYEE BENEFITS</w:t>
            <w:tab/>
            <w:t xml:space="default">31</w:t>
          </w:r>
        </w:p>
        <w:p>
          <w:pPr>
            <w:pStyle w:val="TOC2"/>
            <w:tabs>
              <w:tab w:val="clear" w:pos="8786"/>
              <w:tab w:val="right" w:pos="9025" w:leader="dot"/>
            </w:tabs>
          </w:pPr>
          <w:r>
            <w:t xml:space="default">5.1 Benefits Generally</w:t>
            <w:tab/>
            <w:t xml:space="default">31</w:t>
          </w:r>
        </w:p>
        <w:p>
          <w:pPr>
            <w:pStyle w:val="TOC2"/>
            <w:tabs>
              <w:tab w:val="clear" w:pos="8786"/>
              <w:tab w:val="right" w:pos="9025" w:leader="dot"/>
            </w:tabs>
          </w:pPr>
          <w:r>
            <w:t xml:space="default">5.2 Social Security</w:t>
            <w:tab/>
            <w:t xml:space="default">31</w:t>
          </w:r>
        </w:p>
        <w:p>
          <w:pPr>
            <w:pStyle w:val="TOC2"/>
            <w:tabs>
              <w:tab w:val="clear" w:pos="8786"/>
              <w:tab w:val="right" w:pos="9025" w:leader="dot"/>
            </w:tabs>
          </w:pPr>
          <w:r>
            <w:t xml:space="default">5.3 Unemployment Insurance</w:t>
            <w:tab/>
            <w:t xml:space="default">31</w:t>
          </w:r>
        </w:p>
        <w:p>
          <w:pPr>
            <w:pStyle w:val="TOC2"/>
            <w:tabs>
              <w:tab w:val="clear" w:pos="8786"/>
              <w:tab w:val="right" w:pos="9025" w:leader="dot"/>
            </w:tabs>
          </w:pPr>
          <w:r>
            <w:t xml:space="default">5.4 Workers’ Compensation Insurance</w:t>
            <w:tab/>
            <w:t xml:space="default">31</w:t>
          </w:r>
        </w:p>
        <w:p>
          <w:pPr>
            <w:pStyle w:val="TOC1"/>
            <w:tabs>
              <w:tab w:val="clear" w:pos="9026"/>
              <w:tab w:val="right" w:pos="9025" w:leader="dot"/>
            </w:tabs>
          </w:pPr>
          <w:r>
            <w:t xml:space="default">SECTION VI - TIME OFF AND LEAVES OF ABSENCE</w:t>
            <w:tab/>
            <w:t xml:space="default">33</w:t>
          </w:r>
        </w:p>
        <w:p>
          <w:pPr>
            <w:pStyle w:val="TOC2"/>
            <w:tabs>
              <w:tab w:val="clear" w:pos="8786"/>
              <w:tab w:val="right" w:pos="9025" w:leader="dot"/>
            </w:tabs>
          </w:pPr>
          <w:r>
            <w:t xml:space="default">6.1 Requesting Leave</w:t>
            <w:tab/>
            <w:t xml:space="default">33</w:t>
          </w:r>
        </w:p>
        <w:p>
          <w:pPr>
            <w:pStyle w:val="TOC2"/>
            <w:tabs>
              <w:tab w:val="clear" w:pos="8786"/>
              <w:tab w:val="right" w:pos="9025" w:leader="dot"/>
            </w:tabs>
          </w:pPr>
          <w:r>
            <w:t xml:space="default">6.2 Paid Time Off</w:t>
            <w:tab/>
            <w:t xml:space="default">33</w:t>
          </w:r>
        </w:p>
        <w:p>
          <w:pPr>
            <w:pStyle w:val="TOC2"/>
            <w:tabs>
              <w:tab w:val="clear" w:pos="8786"/>
              <w:tab w:val="right" w:pos="9025" w:leader="dot"/>
            </w:tabs>
          </w:pPr>
          <w:r>
            <w:t xml:space="default">6.3 Holiday Time Off</w:t>
            <w:tab/>
            <w:t xml:space="default">35</w:t>
          </w:r>
        </w:p>
        <w:p>
          <w:pPr>
            <w:pStyle w:val="TOC2"/>
            <w:tabs>
              <w:tab w:val="clear" w:pos="8786"/>
              <w:tab w:val="right" w:pos="9025" w:leader="dot"/>
            </w:tabs>
          </w:pPr>
          <w:r>
            <w:t xml:space="default">6.4 Family and Medical Leave Act</w:t>
            <w:tab/>
            <w:t xml:space="default">36</w:t>
          </w:r>
        </w:p>
        <w:p>
          <w:pPr>
            <w:pStyle w:val="TOC2"/>
            <w:tabs>
              <w:tab w:val="clear" w:pos="8786"/>
              <w:tab w:val="right" w:pos="9025" w:leader="dot"/>
            </w:tabs>
          </w:pPr>
          <w:r>
            <w:t xml:space="default">6.5 Military Leave</w:t>
            <w:tab/>
            <w:t xml:space="default">36</w:t>
          </w:r>
        </w:p>
        <w:p>
          <w:pPr>
            <w:pStyle w:val="TOC2"/>
            <w:tabs>
              <w:tab w:val="clear" w:pos="8786"/>
              <w:tab w:val="right" w:pos="9025" w:leader="dot"/>
            </w:tabs>
          </w:pPr>
          <w:r>
            <w:t xml:space="default">6.6 Worker's Compensation Leave</w:t>
            <w:tab/>
            <w:t xml:space="default">37</w:t>
          </w:r>
        </w:p>
        <w:p>
          <w:pPr>
            <w:pStyle w:val="TOC2"/>
            <w:tabs>
              <w:tab w:val="clear" w:pos="8786"/>
              <w:tab w:val="right" w:pos="9025" w:leader="dot"/>
            </w:tabs>
          </w:pPr>
          <w:r>
            <w:t xml:space="default">6.7 Bereavement Leave</w:t>
            <w:tab/>
            <w:t xml:space="default">37</w:t>
          </w:r>
        </w:p>
        <w:p>
          <w:pPr>
            <w:pStyle w:val="TOC2"/>
            <w:tabs>
              <w:tab w:val="clear" w:pos="8786"/>
              <w:tab w:val="right" w:pos="9025" w:leader="dot"/>
            </w:tabs>
          </w:pPr>
          <w:r>
            <w:t xml:space="default">6.8 Jury Duty</w:t>
            <w:tab/>
            <w:t xml:space="default">37</w:t>
          </w:r>
        </w:p>
        <w:p>
          <w:pPr>
            <w:pStyle w:val="TOC2"/>
            <w:tabs>
              <w:tab w:val="clear" w:pos="8786"/>
              <w:tab w:val="right" w:pos="9025" w:leader="dot"/>
            </w:tabs>
          </w:pPr>
          <w:r>
            <w:t xml:space="default">6.9 Voting Leave</w:t>
            <w:tab/>
            <w:t xml:space="default">38</w:t>
          </w:r>
        </w:p>
        <w:p>
          <w:pPr>
            <w:pStyle w:val="TOC2"/>
            <w:tabs>
              <w:tab w:val="clear" w:pos="8786"/>
              <w:tab w:val="right" w:pos="9025" w:leader="dot"/>
            </w:tabs>
          </w:pPr>
          <w:r>
            <w:t xml:space="default">6.10 Parental Leave for School Functions</w:t>
            <w:tab/>
            <w:t xml:space="default">38</w:t>
          </w:r>
        </w:p>
        <w:p>
          <w:pPr>
            <w:pStyle w:val="TOC1"/>
            <w:tabs>
              <w:tab w:val="clear" w:pos="9026"/>
              <w:tab w:val="right" w:pos="9025" w:leader="dot"/>
            </w:tabs>
          </w:pPr>
          <w:r>
            <w:t xml:space="default">HANDBOOK ACKNOWLEDGMENT</w:t>
            <w:tab/>
            <w:t xml:space="default">39</w:t>
            <w:fldChar w:fldCharType="end"/>
          </w:r>
        </w:p>
      </w:sdtContent>
    </w:sdt>
    <w:p>
      <w:pPr>
        <w:sectPr>
          <w:footerReference w:type="default" r:id="rId8"/>
          <w:type w:val="nextPage"/>
          <w:pgSz w:w="12240" w:h="15840" w:orient="portrait"/>
          <w:pgMar w:top="1440" w:right="1440" w:bottom="1440" w:left="1440" w:header="708" w:footer="708" w:gutter="0"/>
          <w:pgNumType w:start="1" w:fmt="lowerRoman"/>
          <w:docGrid w:linePitch="360"/>
        </w:sectPr>
      </w:pPr>
    </w:p>
    <w:p>
      <w:pPr>
        <w:pStyle w:val="Heading1"/>
        <w:pBdr>
          <w:bottom w:val="single" w:color="AB8A2F" w:sz="8" w:space="8"/>
        </w:pBdr>
        <w:spacing w:after="280" w:before="0"/>
        <w:jc w:val="center"/>
      </w:pPr>
      <w:r>
        <w:rPr>
          <w:rFonts w:ascii="Cambria" w:cs="Cambria" w:eastAsia="Cambria" w:hAnsi="Cambria"/>
          <w:b/>
          <w:bCs/>
          <w:color w:val="1F3864"/>
          <w:spacing w:val="10"/>
          <w:sz w:val="30"/>
          <w:szCs w:val="30"/>
        </w:rPr>
        <w:t xml:space="preserve">FOREWORD</w:t>
      </w:r>
    </w:p>
    <w:p>
      <w:pPr>
        <w:spacing w:after="200"/>
        <w:jc w:val="both"/>
      </w:pPr>
      <w:r>
        <w:rPr>
          <w:rFonts w:ascii="Calibri" w:cs="Calibri" w:eastAsia="Calibri" w:hAnsi="Calibri"/>
          <w:color w:val="262626"/>
          <w:sz w:val="22"/>
          <w:szCs w:val="22"/>
        </w:rPr>
        <w:t xml:space="preserve">Dear Valued Employee:</w:t>
      </w:r>
    </w:p>
    <w:p>
      <w:pPr>
        <w:spacing w:after="200"/>
        <w:jc w:val="both"/>
      </w:pPr>
      <w:r>
        <w:rPr>
          <w:rFonts w:ascii="Calibri" w:cs="Calibri" w:eastAsia="Calibri" w:hAnsi="Calibri"/>
          <w:color w:val="262626"/>
          <w:sz w:val="22"/>
          <w:szCs w:val="22"/>
        </w:rPr>
        <w:t xml:space="preserve">Congratulations and welcome to [Company Name]. Whether you have recently joined our team or have worked with us for some time, we are excited to work with you. Your performance will be an integral part of [Company Name]'s future success. In order to help you perform at your full potential and create a safe and enjoyable work environment we are providing you with this Employee Handbook to inform you of the many important aspects of your employment and guide you along the way.</w:t>
      </w:r>
    </w:p>
    <w:p>
      <w:pPr>
        <w:spacing w:after="200"/>
        <w:jc w:val="both"/>
      </w:pPr>
      <w:r>
        <w:rPr>
          <w:rFonts w:ascii="Calibri" w:cs="Calibri" w:eastAsia="Calibri" w:hAnsi="Calibri"/>
          <w:color w:val="262626"/>
          <w:sz w:val="22"/>
          <w:szCs w:val="22"/>
        </w:rPr>
        <w:t xml:space="preserve">There are a few things to keep in mind when reading this Employee Handbook. This document is not a comprehensive compilation of all company policies and procedures and does not cover all possible circumstances and exceptions that may arise. Many of the policies summarized in this Employee Handbook are covered in more detail in other official documentation. Consult such documentation for additional information regarding specific policies. Please address any specific questions regarding the interpretation or applicability of company policies and procedures to Human Resources or such designated company officer or manager. Note that the terms of the official company insurance and benefits policies supersede any terms to the contrary stated herein.</w:t>
      </w:r>
    </w:p>
    <w:p>
      <w:pPr>
        <w:spacing w:after="200"/>
        <w:jc w:val="both"/>
      </w:pPr>
      <w:r>
        <w:rPr>
          <w:rFonts w:ascii="Calibri" w:cs="Calibri" w:eastAsia="Calibri" w:hAnsi="Calibri"/>
          <w:color w:val="262626"/>
          <w:sz w:val="22"/>
          <w:szCs w:val="22"/>
        </w:rPr>
        <w:t xml:space="preserve">This Employee Handbook is not an employment contract, and nothing in this Employee Handbook gives you any right, express or implied, to continued employment. Furthermore, all terms, conditions, policies, and procedures as stated in this document are subject to change, and nothing stated herein is guaranteed to remain a fixed term or condition of your employment.</w:t>
      </w:r>
    </w:p>
    <w:p>
      <w:pPr>
        <w:spacing w:after="200"/>
        <w:jc w:val="both"/>
      </w:pPr>
      <w:r>
        <w:rPr>
          <w:rFonts w:ascii="Calibri" w:cs="Calibri" w:eastAsia="Calibri" w:hAnsi="Calibri"/>
          <w:color w:val="262626"/>
          <w:sz w:val="22"/>
          <w:szCs w:val="22"/>
        </w:rPr>
        <w:t xml:space="preserve">As [Company Name]'s employee you have an obligation to keep the information provided to you in this Employee Handbook confidential. Please take time to thoroughly review this Employee Handbook, noting how each section relates to your employment. Pass along any questions or concerns you may have to your immediate supervisor. We look forward to a harmonious and mutually fruitful relationship with you and are confident you will find your experience with us dually rewarding.</w:t>
      </w:r>
    </w:p>
    <w:p>
      <w:pPr>
        <w:spacing w:after="200"/>
        <w:jc w:val="both"/>
      </w:pPr>
      <w:r>
        <w:rPr>
          <w:rFonts w:ascii="Calibri" w:cs="Calibri" w:eastAsia="Calibri" w:hAnsi="Calibri"/>
          <w:color w:val="262626"/>
          <w:sz w:val="22"/>
          <w:szCs w:val="22"/>
        </w:rPr>
        <w:t xml:space="preserve">Again, welcome!</w:t>
      </w:r>
    </w:p>
    <w:p>
      <w:pPr>
        <w:pStyle w:val="Heading1"/>
        <w:pageBreakBefore/>
        <w:pBdr>
          <w:bottom w:val="single" w:color="AB8A2F" w:sz="8" w:space="8"/>
        </w:pBdr>
        <w:spacing w:after="280" w:before="240"/>
        <w:jc w:val="center"/>
      </w:pPr>
      <w:r>
        <w:rPr>
          <w:rFonts w:ascii="Cambria" w:cs="Cambria" w:eastAsia="Cambria" w:hAnsi="Cambria"/>
          <w:b/>
          <w:bCs/>
          <w:color w:val="1F3864"/>
          <w:spacing w:val="10"/>
          <w:sz w:val="30"/>
          <w:szCs w:val="30"/>
        </w:rPr>
        <w:t xml:space="preserve">SECTION I - INTRODUCTION</w:t>
      </w:r>
    </w:p>
    <w:p>
      <w:pPr>
        <w:pStyle w:val="Heading2"/>
        <w:spacing w:after="120" w:before="260"/>
      </w:pPr>
      <w:r>
        <w:rPr>
          <w:rFonts w:ascii="Cambria" w:cs="Cambria" w:eastAsia="Cambria" w:hAnsi="Cambria"/>
          <w:b/>
          <w:bCs/>
          <w:color w:val="1F3864"/>
          <w:sz w:val="24"/>
          <w:szCs w:val="24"/>
        </w:rPr>
        <w:t xml:space="preserve">1.1 This Employee Handbook</w:t>
      </w:r>
    </w:p>
    <w:p>
      <w:pPr>
        <w:spacing w:after="200"/>
        <w:jc w:val="both"/>
      </w:pPr>
      <w:r>
        <w:rPr>
          <w:rFonts w:ascii="Calibri" w:cs="Calibri" w:eastAsia="Calibri" w:hAnsi="Calibri"/>
          <w:color w:val="262626"/>
          <w:sz w:val="22"/>
          <w:szCs w:val="22"/>
        </w:rPr>
        <w:t xml:space="preserve">This Employee Handbook summarizes some of [Company Name]'s (hereinafter referred to as the "Company") key expectations and employment policies. As such, it cannot provide guidance for every possible circumstance that may arise during employment and is not intended as an exhaustive resource for all Company policies. Employees who desire elaboration on specific policies should refer to official policy documentation or consult a Human Resource Manager. This Employee Handbook replaces all prior employee handbooks, employment policies, and Company rules and practices, express or implied, whether written or oral. In addition, this Employee Handbook is subject to the provisions of official Company policy documents, including insurance and benefits policies, plan documents, and applicable law. All Company employees are required to abide by the terms of this Employee Handbook as a condition of employment. The terms of individual employees' employment contracts may control over this Employee Handbook where applicable.</w:t>
      </w:r>
    </w:p>
    <w:p>
      <w:pPr>
        <w:pStyle w:val="Heading2"/>
        <w:spacing w:after="120" w:before="260"/>
      </w:pPr>
      <w:r>
        <w:rPr>
          <w:rFonts w:ascii="Cambria" w:cs="Cambria" w:eastAsia="Cambria" w:hAnsi="Cambria"/>
          <w:b/>
          <w:bCs/>
          <w:color w:val="1F3864"/>
          <w:sz w:val="24"/>
          <w:szCs w:val="24"/>
        </w:rPr>
        <w:t xml:space="preserve">1.2 Policy Changes</w:t>
      </w:r>
    </w:p>
    <w:p>
      <w:pPr>
        <w:spacing w:after="200"/>
        <w:jc w:val="both"/>
      </w:pPr>
      <w:r>
        <w:rPr>
          <w:rFonts w:ascii="Calibri" w:cs="Calibri" w:eastAsia="Calibri" w:hAnsi="Calibri"/>
          <w:color w:val="262626"/>
          <w:sz w:val="22"/>
          <w:szCs w:val="22"/>
        </w:rPr>
        <w:t xml:space="preserve">As circumstances warrant, the Company may, in its sole discretion, deviate from the terms stated herein as it sees fit. The Company has the express right to amend, modify, revoke, and add to the terms of this Employee Handbook as well as other official Company policy documentation. The terms of this Employee Handbook may only be altered through official Company written policy notices. No terms of this Employee Handbook may be altered via oral statements or other representations. The Company's interpretation of the terms stated herein is absolute. Employees that need clarification as to the Company's policy on a specific matter should consult a Human Resource Manager or such designated Company officer or manager. Each employee is responsible for remaining informed of policy changes.</w:t>
      </w:r>
    </w:p>
    <w:p>
      <w:pPr>
        <w:pStyle w:val="Heading2"/>
        <w:spacing w:after="120" w:before="260"/>
      </w:pPr>
      <w:r>
        <w:rPr>
          <w:rFonts w:ascii="Cambria" w:cs="Cambria" w:eastAsia="Cambria" w:hAnsi="Cambria"/>
          <w:b/>
          <w:bCs/>
          <w:color w:val="1F3864"/>
          <w:sz w:val="24"/>
          <w:szCs w:val="24"/>
        </w:rPr>
        <w:t xml:space="preserve">1.3 No Guarantee of Employment</w:t>
      </w:r>
    </w:p>
    <w:p>
      <w:pPr>
        <w:spacing w:after="200"/>
        <w:jc w:val="both"/>
      </w:pPr>
      <w:r>
        <w:rPr>
          <w:rFonts w:ascii="Calibri" w:cs="Calibri" w:eastAsia="Calibri" w:hAnsi="Calibri"/>
          <w:color w:val="262626"/>
          <w:sz w:val="22"/>
          <w:szCs w:val="22"/>
        </w:rPr>
        <w:t xml:space="preserve">Nothing in this Employee Handbook creates a binding employment contract between the Company and its employees or provides a guarantee of continued employment for any amount of time. At-will employment status may only be altered through an express, signed, written agreement between the Company and an employee to that specific and intended effect.</w:t>
      </w:r>
    </w:p>
    <w:p>
      <w:pPr>
        <w:pStyle w:val="Heading2"/>
        <w:spacing w:after="120" w:before="260"/>
      </w:pPr>
      <w:r>
        <w:rPr>
          <w:rFonts w:ascii="Cambria" w:cs="Cambria" w:eastAsia="Cambria" w:hAnsi="Cambria"/>
          <w:b/>
          <w:bCs/>
          <w:color w:val="1F3864"/>
          <w:sz w:val="24"/>
          <w:szCs w:val="24"/>
        </w:rPr>
        <w:t xml:space="preserve">1.4 At-Will Employment</w:t>
      </w:r>
    </w:p>
    <w:p>
      <w:pPr>
        <w:spacing w:after="200"/>
        <w:jc w:val="both"/>
      </w:pPr>
      <w:r>
        <w:rPr>
          <w:rFonts w:ascii="Calibri" w:cs="Calibri" w:eastAsia="Calibri" w:hAnsi="Calibri"/>
          <w:color w:val="262626"/>
          <w:sz w:val="22"/>
          <w:szCs w:val="22"/>
        </w:rPr>
        <w:t xml:space="preserve">Unless expressly prohibited by statute, all employees without a written employment agreement to the contrary are employed on an "at-will" basis. Either the Company or the at-will employee may conclude the employment relationship with or without advance notice at any time and for any reason, and no term in this Employee Handbook will alter or restrict the right of the Company or an at-will employee to end the employment relationship accordingly. Nothing in this Employee Handbook impairs the Company's right to make changes in employment status, including, without limitation, promotions and demotions, reassignments, transfers, and wage and benefit changes. The Company may only enter into an employment relationship that is not on an at-will basis through a written employment agreement signed by the Owner.</w:t>
      </w:r>
    </w:p>
    <w:p>
      <w:pPr>
        <w:pStyle w:val="Heading1"/>
        <w:pageBreakBefore/>
        <w:pBdr>
          <w:bottom w:val="single" w:color="AB8A2F" w:sz="8" w:space="8"/>
        </w:pBdr>
        <w:spacing w:after="280" w:before="240"/>
        <w:jc w:val="center"/>
      </w:pPr>
      <w:r>
        <w:rPr>
          <w:rFonts w:ascii="Cambria" w:cs="Cambria" w:eastAsia="Cambria" w:hAnsi="Cambria"/>
          <w:b/>
          <w:bCs/>
          <w:color w:val="1F3864"/>
          <w:spacing w:val="10"/>
          <w:sz w:val="30"/>
          <w:szCs w:val="30"/>
        </w:rPr>
        <w:t xml:space="preserve">SECTION II - EMPLOYMENT POLICIES</w:t>
      </w:r>
    </w:p>
    <w:p>
      <w:pPr>
        <w:pStyle w:val="Heading2"/>
        <w:spacing w:after="120" w:before="260"/>
      </w:pPr>
      <w:r>
        <w:rPr>
          <w:rFonts w:ascii="Cambria" w:cs="Cambria" w:eastAsia="Cambria" w:hAnsi="Cambria"/>
          <w:b/>
          <w:bCs/>
          <w:color w:val="1F3864"/>
          <w:sz w:val="24"/>
          <w:szCs w:val="24"/>
        </w:rPr>
        <w:t xml:space="preserve">2.1 Employee Classification Categories</w:t>
      </w:r>
    </w:p>
    <w:p>
      <w:pPr>
        <w:spacing w:after="200"/>
        <w:jc w:val="both"/>
      </w:pPr>
      <w:r>
        <w:rPr>
          <w:rFonts w:ascii="Calibri" w:cs="Calibri" w:eastAsia="Calibri" w:hAnsi="Calibri"/>
          <w:color w:val="262626"/>
          <w:sz w:val="22"/>
          <w:szCs w:val="22"/>
        </w:rPr>
        <w:t xml:space="preserve">Under state and federal wage and hour laws, including the Fair Labor Standards Act ("FLSA"), all Company employees are either classified as exempt or nonexempt.</w:t>
      </w:r>
    </w:p>
    <w:p>
      <w:pPr>
        <w:spacing w:after="200"/>
        <w:jc w:val="both"/>
      </w:pPr>
      <w:r>
        <w:rPr>
          <w:rFonts w:ascii="Calibri" w:cs="Calibri" w:eastAsia="Calibri" w:hAnsi="Calibri"/>
          <w:color w:val="262626"/>
          <w:sz w:val="22"/>
          <w:szCs w:val="22"/>
          <w:u w:val="single"/>
        </w:rPr>
        <w:t xml:space="preserve">Exempt Employees</w:t>
      </w:r>
      <w:r>
        <w:rPr>
          <w:rFonts w:ascii="Calibri" w:cs="Calibri" w:eastAsia="Calibri" w:hAnsi="Calibri"/>
          <w:color w:val="262626"/>
          <w:sz w:val="22"/>
          <w:szCs w:val="22"/>
        </w:rPr>
        <w:t xml:space="preserve"> - Employees that are exempted from the minimum wage and overtime provisions of the FLSA by holding positions that satisfy the criteria under the act. These employees are generally executives, managers, professionals, administrators, and technical staff who receive salaries or sales commissions.</w:t>
      </w:r>
    </w:p>
    <w:p>
      <w:pPr>
        <w:spacing w:after="200"/>
        <w:jc w:val="both"/>
      </w:pPr>
      <w:r>
        <w:rPr>
          <w:rFonts w:ascii="Calibri" w:cs="Calibri" w:eastAsia="Calibri" w:hAnsi="Calibri"/>
          <w:color w:val="262626"/>
          <w:sz w:val="22"/>
          <w:szCs w:val="22"/>
          <w:u w:val="single"/>
        </w:rPr>
        <w:t xml:space="preserve">Nonexempt Employees</w:t>
      </w:r>
      <w:r>
        <w:rPr>
          <w:rFonts w:ascii="Calibri" w:cs="Calibri" w:eastAsia="Calibri" w:hAnsi="Calibri"/>
          <w:color w:val="262626"/>
          <w:sz w:val="22"/>
          <w:szCs w:val="22"/>
        </w:rPr>
        <w:t xml:space="preserve"> - Employees who are NOT exempt under the criteria of the FLSA minimum wage and overtime provisions.</w:t>
      </w:r>
    </w:p>
    <w:p>
      <w:pPr>
        <w:spacing w:after="200"/>
        <w:jc w:val="both"/>
      </w:pPr>
      <w:r>
        <w:rPr>
          <w:rFonts w:ascii="Calibri" w:cs="Calibri" w:eastAsia="Calibri" w:hAnsi="Calibri"/>
          <w:color w:val="262626"/>
          <w:sz w:val="22"/>
          <w:szCs w:val="22"/>
        </w:rPr>
        <w:t xml:space="preserve">In addition, the following mutually exclusive classifications apply to both exempt and nonexempt employees and help determine an employee's employment status and eligibility for employee benefits, but in no way guarantee continued employment for any amount of time.</w:t>
      </w:r>
    </w:p>
    <w:p>
      <w:pPr>
        <w:spacing w:after="200"/>
        <w:jc w:val="both"/>
      </w:pPr>
      <w:r>
        <w:rPr>
          <w:rFonts w:ascii="Calibri" w:cs="Calibri" w:eastAsia="Calibri" w:hAnsi="Calibri"/>
          <w:color w:val="262626"/>
          <w:sz w:val="22"/>
          <w:szCs w:val="22"/>
          <w:u w:val="single"/>
        </w:rPr>
        <w:t xml:space="preserve">Regular Full-Time Employees</w:t>
      </w:r>
      <w:r>
        <w:rPr>
          <w:rFonts w:ascii="Calibri" w:cs="Calibri" w:eastAsia="Calibri" w:hAnsi="Calibri"/>
          <w:color w:val="262626"/>
          <w:sz w:val="22"/>
          <w:szCs w:val="22"/>
        </w:rPr>
        <w:t xml:space="preserve"> - Employees are considered full-time employees if they are normally scheduled to work at least forty (40) hours per week. These employees are generally eligible to receive Company benefits, if any, subject to the terms and conditions of each benefit plan.</w:t>
      </w:r>
    </w:p>
    <w:p>
      <w:pPr>
        <w:spacing w:after="200"/>
        <w:jc w:val="both"/>
      </w:pPr>
      <w:r>
        <w:rPr>
          <w:rFonts w:ascii="Calibri" w:cs="Calibri" w:eastAsia="Calibri" w:hAnsi="Calibri"/>
          <w:color w:val="262626"/>
          <w:sz w:val="22"/>
          <w:szCs w:val="22"/>
          <w:u w:val="single"/>
        </w:rPr>
        <w:t xml:space="preserve">Regular Part-Time Employees</w:t>
      </w:r>
      <w:r>
        <w:rPr>
          <w:rFonts w:ascii="Calibri" w:cs="Calibri" w:eastAsia="Calibri" w:hAnsi="Calibri"/>
          <w:color w:val="262626"/>
          <w:sz w:val="22"/>
          <w:szCs w:val="22"/>
        </w:rPr>
        <w:t xml:space="preserve"> - Employees who are NOT normally scheduled to work at least forty (40) hours per week or who only irregularly work forty (40) or more hours per week. These employees are NOT generally eligible to receive Company benefits.</w:t>
      </w:r>
    </w:p>
    <w:p>
      <w:pPr>
        <w:spacing w:after="200"/>
        <w:jc w:val="both"/>
      </w:pPr>
      <w:r>
        <w:rPr>
          <w:rFonts w:ascii="Calibri" w:cs="Calibri" w:eastAsia="Calibri" w:hAnsi="Calibri"/>
          <w:color w:val="262626"/>
          <w:sz w:val="22"/>
          <w:szCs w:val="22"/>
          <w:u w:val="single"/>
        </w:rPr>
        <w:t xml:space="preserve">Temporary Employees</w:t>
      </w:r>
      <w:r>
        <w:rPr>
          <w:rFonts w:ascii="Calibri" w:cs="Calibri" w:eastAsia="Calibri" w:hAnsi="Calibri"/>
          <w:color w:val="262626"/>
          <w:sz w:val="22"/>
          <w:szCs w:val="22"/>
        </w:rPr>
        <w:t xml:space="preserve"> - Full-time or part-time employees hired for a limited duration generally for three (3) months or less. These employees are typically interim replacements or hired for work on a specific project. Temporary employee work duration may be extended upon written permission; however, status as a temporary employee may only be changed by an express writing signed by authorized Company personnel. Temporary employees are employed on an at-will basis unless expressly stated otherwise in a written employment agreement with Company. As at-will employees, temporary employees may be terminated prior to the end of the initially planned work duration for any or no reason, with or without notice. Temporary employees are generally not eligible for Company benefits unless expressly stated otherwise in a written employment agreement or Company policy.</w:t>
      </w:r>
    </w:p>
    <w:p>
      <w:pPr>
        <w:spacing w:after="200"/>
        <w:jc w:val="both"/>
      </w:pPr>
      <w:r>
        <w:rPr>
          <w:rFonts w:ascii="Calibri" w:cs="Calibri" w:eastAsia="Calibri" w:hAnsi="Calibri"/>
          <w:color w:val="262626"/>
          <w:sz w:val="22"/>
          <w:szCs w:val="22"/>
        </w:rPr>
        <w:t xml:space="preserve">Employees not notified of their particular classification upon hire should inquire to a Human Resource Manager. Note that independent contractors and consultants are self- employed individuals working with the Company and not Company employees. As such, they are not entitled to receive Company benefits unless expressly provided in a written agreement between such individuals and the Company. Furthermore, these individuals will have control over the manner of completing assigned tasks, while the Company has control over assigning the tasks that independent contractors and consultants complete and defining the specific outcomes sought.</w:t>
      </w:r>
    </w:p>
    <w:p>
      <w:pPr>
        <w:pStyle w:val="Heading2"/>
        <w:spacing w:after="120" w:before="260"/>
      </w:pPr>
      <w:r>
        <w:rPr>
          <w:rFonts w:ascii="Cambria" w:cs="Cambria" w:eastAsia="Cambria" w:hAnsi="Cambria"/>
          <w:b/>
          <w:bCs/>
          <w:color w:val="1F3864"/>
          <w:sz w:val="24"/>
          <w:szCs w:val="24"/>
        </w:rPr>
        <w:t xml:space="preserve">2.2 Confidentiality</w:t>
      </w:r>
    </w:p>
    <w:p>
      <w:pPr>
        <w:spacing w:after="200"/>
        <w:jc w:val="both"/>
      </w:pPr>
      <w:r>
        <w:rPr>
          <w:rFonts w:ascii="Calibri" w:cs="Calibri" w:eastAsia="Calibri" w:hAnsi="Calibri"/>
          <w:color w:val="262626"/>
          <w:sz w:val="22"/>
          <w:szCs w:val="22"/>
        </w:rPr>
        <w:t xml:space="preserve">In order to maintain a competitive advantage in its industry, the Company requires that employees keep strictly confidential certain information related to the Company and those with which Company conducts business. Employees are prohibited from disclosing </w:t>
      </w:r>
      <w:r>
        <w:rPr>
          <w:rFonts w:ascii="Calibri" w:cs="Calibri" w:eastAsia="Calibri" w:hAnsi="Calibri"/>
          <w:b/>
          <w:bCs/>
          <w:color w:val="262626"/>
          <w:sz w:val="22"/>
          <w:szCs w:val="22"/>
        </w:rPr>
        <w:t xml:space="preserve">"Confidential Information"</w:t>
      </w:r>
      <w:r>
        <w:rPr>
          <w:rFonts w:ascii="Calibri" w:cs="Calibri" w:eastAsia="Calibri" w:hAnsi="Calibri"/>
          <w:color w:val="262626"/>
          <w:sz w:val="22"/>
          <w:szCs w:val="22"/>
        </w:rPr>
        <w:t xml:space="preserve">, as defined below, to any external parties without prior Company authorization or to other Company employees, independent contractors, or consultants that do not have a legitimate business reason to know such information. External parties are any person or entity besides Company's employees, representatives, and authorized agents. Employees must maintain confidentiality in all locations, all modes of communication, and at all times, continuing indefinitely after termination of their employment relationship with the Company. Employees are responsible for knowing what information should be treated as Confidential Information and should consult their supervisor for clarification if in doubt.</w:t>
      </w:r>
    </w:p>
    <w:p>
      <w:pPr>
        <w:spacing w:after="200"/>
        <w:jc w:val="both"/>
      </w:pPr>
      <w:r>
        <w:rPr>
          <w:rFonts w:ascii="Calibri" w:cs="Calibri" w:eastAsia="Calibri" w:hAnsi="Calibri"/>
          <w:color w:val="262626"/>
          <w:sz w:val="22"/>
          <w:szCs w:val="22"/>
        </w:rPr>
        <w:t xml:space="preserve">Confidential Information includes information that relates to the Company, its operations, or technology that is generally not known to the public and includes, without limitation, the following: trade secrets, business plans, business strategies, bids, marketing plans, financial information, costs, pricing, attorney communications, projections, and investments. Confidential Information also includes information you receive from others that the Company has an obligation to treat as confidential, including, without limitation, information from the Company's vendors, suppliers, and current and prospective customers and clients.</w:t>
      </w:r>
    </w:p>
    <w:p>
      <w:pPr>
        <w:spacing w:after="200"/>
        <w:jc w:val="both"/>
      </w:pPr>
      <w:r>
        <w:rPr>
          <w:rFonts w:ascii="Calibri" w:cs="Calibri" w:eastAsia="Calibri" w:hAnsi="Calibri"/>
          <w:color w:val="262626"/>
          <w:sz w:val="22"/>
          <w:szCs w:val="22"/>
        </w:rPr>
        <w:t xml:space="preserve">You can help the Company safeguard its Confidential Information by adhering to the following guidelines:</w:t>
      </w:r>
    </w:p>
    <w:p>
      <w:pPr>
        <w:pStyle w:val="ListParagraph"/>
        <w:numPr>
          <w:ilvl w:val="0"/>
          <w:numId w:val="1"/>
        </w:numPr>
        <w:spacing w:after="100"/>
        <w:jc w:val="both"/>
      </w:pPr>
      <w:r>
        <w:rPr>
          <w:rFonts w:ascii="Calibri" w:cs="Calibri" w:eastAsia="Calibri" w:hAnsi="Calibri"/>
          <w:color w:val="262626"/>
          <w:sz w:val="22"/>
          <w:szCs w:val="22"/>
        </w:rPr>
        <w:t xml:space="preserve">Do not discuss Confidential Information in public places.</w:t>
      </w:r>
    </w:p>
    <w:p>
      <w:pPr>
        <w:pStyle w:val="ListParagraph"/>
        <w:numPr>
          <w:ilvl w:val="0"/>
          <w:numId w:val="1"/>
        </w:numPr>
        <w:spacing w:after="100"/>
        <w:jc w:val="both"/>
      </w:pPr>
      <w:r>
        <w:rPr>
          <w:rFonts w:ascii="Calibri" w:cs="Calibri" w:eastAsia="Calibri" w:hAnsi="Calibri"/>
          <w:color w:val="262626"/>
          <w:sz w:val="22"/>
          <w:szCs w:val="22"/>
        </w:rPr>
        <w:t xml:space="preserve">When discussing Confidential Information, or matters that are potentially Confidential Information, be aware of who is around you and consider whether they have a specific need to know such information.</w:t>
      </w:r>
    </w:p>
    <w:p>
      <w:pPr>
        <w:pStyle w:val="ListParagraph"/>
        <w:numPr>
          <w:ilvl w:val="0"/>
          <w:numId w:val="1"/>
        </w:numPr>
        <w:spacing w:after="100"/>
        <w:jc w:val="both"/>
      </w:pPr>
      <w:r>
        <w:rPr>
          <w:rFonts w:ascii="Calibri" w:cs="Calibri" w:eastAsia="Calibri" w:hAnsi="Calibri"/>
          <w:color w:val="262626"/>
          <w:sz w:val="22"/>
          <w:szCs w:val="22"/>
        </w:rPr>
        <w:t xml:space="preserve">Do not take hard copies of Confidential Information off Company premises unless absolutely necessary. If you do, be sure to keep such information in a safe and secure place.</w:t>
      </w:r>
    </w:p>
    <w:p>
      <w:pPr>
        <w:pStyle w:val="ListParagraph"/>
        <w:numPr>
          <w:ilvl w:val="0"/>
          <w:numId w:val="1"/>
        </w:numPr>
        <w:spacing w:after="100"/>
        <w:jc w:val="both"/>
      </w:pPr>
      <w:r>
        <w:rPr>
          <w:rFonts w:ascii="Calibri" w:cs="Calibri" w:eastAsia="Calibri" w:hAnsi="Calibri"/>
          <w:color w:val="262626"/>
          <w:sz w:val="22"/>
          <w:szCs w:val="22"/>
        </w:rPr>
        <w:t xml:space="preserve">Keep electronically stored Confidential Information password protected and store hard copies out of sight in secure locations.</w:t>
      </w:r>
    </w:p>
    <w:p>
      <w:pPr>
        <w:pStyle w:val="ListParagraph"/>
        <w:numPr>
          <w:ilvl w:val="0"/>
          <w:numId w:val="1"/>
        </w:numPr>
        <w:spacing w:after="100"/>
        <w:jc w:val="both"/>
      </w:pPr>
      <w:r>
        <w:rPr>
          <w:rFonts w:ascii="Calibri" w:cs="Calibri" w:eastAsia="Calibri" w:hAnsi="Calibri"/>
          <w:color w:val="262626"/>
          <w:sz w:val="22"/>
          <w:szCs w:val="22"/>
        </w:rPr>
        <w:t xml:space="preserve">Shred or tear up hard copies of Confidential Information before disposing of it in the trash.</w:t>
      </w:r>
    </w:p>
    <w:p>
      <w:pPr>
        <w:pStyle w:val="ListParagraph"/>
        <w:numPr>
          <w:ilvl w:val="0"/>
          <w:numId w:val="1"/>
        </w:numPr>
        <w:spacing w:after="100"/>
        <w:jc w:val="both"/>
      </w:pPr>
      <w:r>
        <w:rPr>
          <w:rFonts w:ascii="Calibri" w:cs="Calibri" w:eastAsia="Calibri" w:hAnsi="Calibri"/>
          <w:color w:val="262626"/>
          <w:sz w:val="22"/>
          <w:szCs w:val="22"/>
        </w:rPr>
        <w:t xml:space="preserve">Do not share or disclose information in any way that could be construed as or appear to be insider trading.</w:t>
      </w:r>
    </w:p>
    <w:p>
      <w:pPr>
        <w:pStyle w:val="Heading2"/>
        <w:spacing w:after="120" w:before="260"/>
      </w:pPr>
      <w:r>
        <w:rPr>
          <w:rFonts w:ascii="Cambria" w:cs="Cambria" w:eastAsia="Cambria" w:hAnsi="Cambria"/>
          <w:b/>
          <w:bCs/>
          <w:color w:val="1F3864"/>
          <w:sz w:val="24"/>
          <w:szCs w:val="24"/>
        </w:rPr>
        <w:t xml:space="preserve">2.3 Conflicts of Interest</w:t>
      </w:r>
    </w:p>
    <w:p>
      <w:pPr>
        <w:spacing w:after="200"/>
        <w:jc w:val="both"/>
      </w:pPr>
      <w:r>
        <w:rPr>
          <w:rFonts w:ascii="Calibri" w:cs="Calibri" w:eastAsia="Calibri" w:hAnsi="Calibri"/>
          <w:color w:val="262626"/>
          <w:sz w:val="22"/>
          <w:szCs w:val="22"/>
        </w:rPr>
        <w:t xml:space="preserve">Employees are required to avoid conflicts of interest. This means employees must avoid activities, relationships, and situations that may cause them to put their personal interests ahead of the Company's. It is important that employees act in the best interests of the Company at all times, and for this reason, employees must take measures to avoid even the appearance of having conflicts of interest. You must disclose any actual or potential conflicts of interest to a Human Resource Manager, including actual or potential conflicts of interest held by another employee that such employee fails to disclose. In general, you can avoid conflicts by not using or appearing to use the Company's Confidential Information, property, or business opportunities for your own personal gain.</w:t>
      </w:r>
    </w:p>
    <w:p>
      <w:pPr>
        <w:spacing w:after="200"/>
        <w:jc w:val="both"/>
      </w:pPr>
      <w:r>
        <w:rPr>
          <w:rFonts w:ascii="Calibri" w:cs="Calibri" w:eastAsia="Calibri" w:hAnsi="Calibri"/>
          <w:color w:val="262626"/>
          <w:sz w:val="22"/>
          <w:szCs w:val="22"/>
        </w:rPr>
        <w:t xml:space="preserve">The following are examples of situations which may create, or appear to create, a conflict of interest:</w:t>
      </w:r>
    </w:p>
    <w:p>
      <w:pPr>
        <w:pStyle w:val="ListParagraph"/>
        <w:numPr>
          <w:ilvl w:val="0"/>
          <w:numId w:val="1"/>
        </w:numPr>
        <w:spacing w:after="100"/>
        <w:jc w:val="both"/>
      </w:pPr>
      <w:r>
        <w:rPr>
          <w:rFonts w:ascii="Calibri" w:cs="Calibri" w:eastAsia="Calibri" w:hAnsi="Calibri"/>
          <w:color w:val="262626"/>
          <w:sz w:val="22"/>
          <w:szCs w:val="22"/>
        </w:rPr>
        <w:t xml:space="preserve">Situations where you may have a personal financial interest in transactions or business activities of the Company or the Company's competitors, clients, customers, or suppliers.</w:t>
      </w:r>
    </w:p>
    <w:p>
      <w:pPr>
        <w:pStyle w:val="ListParagraph"/>
        <w:numPr>
          <w:ilvl w:val="0"/>
          <w:numId w:val="1"/>
        </w:numPr>
        <w:spacing w:after="100"/>
        <w:jc w:val="both"/>
      </w:pPr>
      <w:r>
        <w:rPr>
          <w:rFonts w:ascii="Calibri" w:cs="Calibri" w:eastAsia="Calibri" w:hAnsi="Calibri"/>
          <w:color w:val="262626"/>
          <w:sz w:val="22"/>
          <w:szCs w:val="22"/>
        </w:rPr>
        <w:t xml:space="preserve">Situations where, although you do not have a personal financial interest, you may nonetheless obtain some other personal gain or advantage resulting from transactions or business activities of the Company or the Company's competitors, clients, customers, or suppliers.</w:t>
      </w:r>
    </w:p>
    <w:p>
      <w:pPr>
        <w:pStyle w:val="ListParagraph"/>
        <w:numPr>
          <w:ilvl w:val="0"/>
          <w:numId w:val="1"/>
        </w:numPr>
        <w:spacing w:after="100"/>
        <w:jc w:val="both"/>
      </w:pPr>
      <w:r>
        <w:rPr>
          <w:rFonts w:ascii="Calibri" w:cs="Calibri" w:eastAsia="Calibri" w:hAnsi="Calibri"/>
          <w:color w:val="262626"/>
          <w:sz w:val="22"/>
          <w:szCs w:val="22"/>
        </w:rPr>
        <w:t xml:space="preserve">Situations where you consult for, or otherwise have a separate business relationship with, a Company competitor, client, customer, or supplier outside of your normal employment role for the Company.</w:t>
      </w:r>
    </w:p>
    <w:p>
      <w:pPr>
        <w:pStyle w:val="ListParagraph"/>
        <w:numPr>
          <w:ilvl w:val="0"/>
          <w:numId w:val="1"/>
        </w:numPr>
        <w:spacing w:after="100"/>
        <w:jc w:val="both"/>
      </w:pPr>
      <w:r>
        <w:rPr>
          <w:rFonts w:ascii="Calibri" w:cs="Calibri" w:eastAsia="Calibri" w:hAnsi="Calibri"/>
          <w:color w:val="262626"/>
          <w:sz w:val="22"/>
          <w:szCs w:val="22"/>
        </w:rPr>
        <w:t xml:space="preserve">Accepting any benefit, including gifts, services, entertainment, or favors, from a Company competitor, client, customer, supplier, government entity, or other organization in connection with your relationship with the Company outside of your regular employment benefits from the Company.</w:t>
      </w:r>
    </w:p>
    <w:p>
      <w:pPr>
        <w:pStyle w:val="ListParagraph"/>
        <w:numPr>
          <w:ilvl w:val="0"/>
          <w:numId w:val="1"/>
        </w:numPr>
        <w:spacing w:after="100"/>
        <w:jc w:val="both"/>
      </w:pPr>
      <w:r>
        <w:rPr>
          <w:rFonts w:ascii="Calibri" w:cs="Calibri" w:eastAsia="Calibri" w:hAnsi="Calibri"/>
          <w:color w:val="262626"/>
          <w:sz w:val="22"/>
          <w:szCs w:val="22"/>
        </w:rPr>
        <w:t xml:space="preserve">Situations where you are responsible for hiring, managing, or otherwise working with your own family members or persons of close relation to you, whether such persons are other employees or have a different business relationship with the Company, for instance as contractors, consultants, clients, customers, or suppliers.</w:t>
      </w:r>
    </w:p>
    <w:p>
      <w:pPr>
        <w:spacing w:after="200"/>
        <w:jc w:val="both"/>
      </w:pPr>
      <w:r>
        <w:rPr>
          <w:rFonts w:ascii="Calibri" w:cs="Calibri" w:eastAsia="Calibri" w:hAnsi="Calibri"/>
          <w:color w:val="262626"/>
          <w:sz w:val="22"/>
          <w:szCs w:val="22"/>
        </w:rPr>
        <w:t xml:space="preserve">You are required to consult your Human Resource Manager if you are unsure about whether you have a conflict of interest or the appearance of a conflict of interest. When a conflict of interest is found to exist, or appears to exist, you must work with a Human Resource Manager to remove yourself from the situation as much as possible, including creating an effective screening plan, if necessary.</w:t>
      </w:r>
    </w:p>
    <w:p>
      <w:pPr>
        <w:pStyle w:val="Heading2"/>
        <w:spacing w:after="120" w:before="260"/>
      </w:pPr>
      <w:r>
        <w:rPr>
          <w:rFonts w:ascii="Cambria" w:cs="Cambria" w:eastAsia="Cambria" w:hAnsi="Cambria"/>
          <w:b/>
          <w:bCs/>
          <w:color w:val="1F3864"/>
          <w:sz w:val="24"/>
          <w:szCs w:val="24"/>
        </w:rPr>
        <w:t xml:space="preserve">2.4 Employment of Relatives and Personal Relationships</w:t>
      </w:r>
    </w:p>
    <w:p>
      <w:pPr>
        <w:spacing w:after="200"/>
        <w:jc w:val="both"/>
      </w:pPr>
      <w:r>
        <w:rPr>
          <w:rFonts w:ascii="Calibri" w:cs="Calibri" w:eastAsia="Calibri" w:hAnsi="Calibri"/>
          <w:color w:val="262626"/>
          <w:sz w:val="22"/>
          <w:szCs w:val="22"/>
        </w:rPr>
        <w:t xml:space="preserve">Nepotism and favoritism may jeopardize Company operations and success. Therefore, employees are prohibited from supervising, reporting on, or otherwise working with their relatives or persons holding close personal relationships outside of their employment with the Company, except where such relationships are disclosed to and approved by a Human Resource Manager. To protect its business interests, the Company has the right to apply this policy whether or not relatives or persons holding close personal relationships hold supervisory or reporting positions in relation to each other. For purposes of this policy, "Relatives" include spouses, children, adopted children, domestic partners, parents, siblings, grandparents, uncles, aunts, cousins, nieces, nephews, step relatives, brothers- and sisters-in-law, mothers- and fathers-in-law, and relatives of domestic partners. "Close personal relationships" includes relationships with persons with whom you share a household, date, or have personally known for an extended period of time outside of your employment with the Company.</w:t>
      </w:r>
    </w:p>
    <w:p>
      <w:pPr>
        <w:spacing w:after="200"/>
        <w:jc w:val="both"/>
      </w:pPr>
      <w:r>
        <w:rPr>
          <w:rFonts w:ascii="Calibri" w:cs="Calibri" w:eastAsia="Calibri" w:hAnsi="Calibri"/>
          <w:color w:val="262626"/>
          <w:sz w:val="22"/>
          <w:szCs w:val="22"/>
        </w:rPr>
        <w:t xml:space="preserve">In order to safeguard Company interests, you must disclose any relatives or close personal relationships that exist or may exist with other Company employees, contractors, consultants, clients, customers, or suppliers. You should also disclose this fact if, during your employment, you become a relative or in a close personal relationship with another employee, contractor, consultant, client, customer, or supplier, for instance, through marriage or dating.</w:t>
      </w:r>
    </w:p>
    <w:p>
      <w:pPr>
        <w:spacing w:after="200"/>
        <w:jc w:val="both"/>
      </w:pPr>
      <w:r>
        <w:rPr>
          <w:rFonts w:ascii="Calibri" w:cs="Calibri" w:eastAsia="Calibri" w:hAnsi="Calibri"/>
          <w:color w:val="262626"/>
          <w:sz w:val="22"/>
          <w:szCs w:val="22"/>
        </w:rPr>
        <w:t xml:space="preserve">A Human Resource Manager may approve your working with relatives or persons holding close personal relationships where such relationships do not create substantial conflicts of interest threatening the wellbeing of Company operations or activities, for instance, by creating potential supervisory, morale, safety, fairness, or public relations problems. Where possible, the Company will strive to neutralize such conflicts of interests without impairing the benefits you receive from the Company; however, the Company reserves the right to take any action necessary to remove conflicts of interest that threaten Company interests.</w:t>
      </w:r>
    </w:p>
    <w:p>
      <w:pPr>
        <w:pStyle w:val="Heading2"/>
        <w:spacing w:after="120" w:before="260"/>
      </w:pPr>
      <w:r>
        <w:rPr>
          <w:rFonts w:ascii="Cambria" w:cs="Cambria" w:eastAsia="Cambria" w:hAnsi="Cambria"/>
          <w:b/>
          <w:bCs/>
          <w:color w:val="1F3864"/>
          <w:sz w:val="24"/>
          <w:szCs w:val="24"/>
        </w:rPr>
        <w:t xml:space="preserve">2.5 Employment of Minors</w:t>
      </w:r>
    </w:p>
    <w:p>
      <w:pPr>
        <w:spacing w:after="200"/>
        <w:jc w:val="both"/>
      </w:pPr>
      <w:r>
        <w:rPr>
          <w:rFonts w:ascii="Calibri" w:cs="Calibri" w:eastAsia="Calibri" w:hAnsi="Calibri"/>
          <w:color w:val="262626"/>
          <w:sz w:val="22"/>
          <w:szCs w:val="22"/>
        </w:rPr>
        <w:t xml:space="preserve">The Company is regulated by and adheres to state and federal child labor laws including those of the FLSA, which is designed to protect minor employees' health, safety, and educational opportunities while employed. Among other things, these laws prohibit employment of minors less than 14 years old for non-agricultural jobs as well as restricting minors' maximum work hours and occupation in hazardous positions. The FLSA also sets subminimum wage rates for specific classes of minors, students, and disabled persons. If you think you may fall into one of these classes, notify a Human Resource Manager to discuss your options with the Company for ensuring adherence to these laws.</w:t>
      </w:r>
    </w:p>
    <w:p>
      <w:pPr>
        <w:pStyle w:val="Heading2"/>
        <w:spacing w:after="120" w:before="260"/>
      </w:pPr>
      <w:r>
        <w:rPr>
          <w:rFonts w:ascii="Cambria" w:cs="Cambria" w:eastAsia="Cambria" w:hAnsi="Cambria"/>
          <w:b/>
          <w:bCs/>
          <w:color w:val="1F3864"/>
          <w:sz w:val="24"/>
          <w:szCs w:val="24"/>
        </w:rPr>
        <w:t xml:space="preserve">2.6 Employee Files</w:t>
      </w:r>
    </w:p>
    <w:p>
      <w:pPr>
        <w:spacing w:after="200"/>
        <w:jc w:val="both"/>
      </w:pPr>
      <w:r>
        <w:rPr>
          <w:rFonts w:ascii="Calibri" w:cs="Calibri" w:eastAsia="Calibri" w:hAnsi="Calibri"/>
          <w:color w:val="262626"/>
          <w:sz w:val="22"/>
          <w:szCs w:val="22"/>
        </w:rPr>
        <w:t xml:space="preserve">The Company maintains confidential employee records and files according to law. Supervisors and managers may only have access to an employee's file with a legitimate business need to know and as permitted by state law. Unless otherwise required by state law, current and former employees may generally be granted access to their files upon providing reasonable notice.</w:t>
      </w:r>
    </w:p>
    <w:p>
      <w:pPr>
        <w:spacing w:after="200"/>
        <w:jc w:val="both"/>
      </w:pPr>
      <w:r>
        <w:rPr>
          <w:rFonts w:ascii="Calibri" w:cs="Calibri" w:eastAsia="Calibri" w:hAnsi="Calibri"/>
          <w:color w:val="262626"/>
          <w:sz w:val="22"/>
          <w:szCs w:val="22"/>
        </w:rPr>
        <w:t xml:space="preserve">All employee files must be reviewed under supervision of the records keeper during regular business hours inside of the office or department where they are normally stored and may not be taken off company property. You may not tamper or remove any part of your employee file; however, you may make copies of any information you have provided to the Company that have your signature affixed, as permitted by state law.</w:t>
      </w:r>
    </w:p>
    <w:p>
      <w:pPr>
        <w:spacing w:after="200"/>
        <w:jc w:val="both"/>
      </w:pPr>
      <w:r>
        <w:rPr>
          <w:rFonts w:ascii="Calibri" w:cs="Calibri" w:eastAsia="Calibri" w:hAnsi="Calibri"/>
          <w:color w:val="262626"/>
          <w:sz w:val="22"/>
          <w:szCs w:val="22"/>
        </w:rPr>
        <w:t xml:space="preserve">Should you dispute any item in your file, you are permitted to make a signed and dated written statement of your dispute that will become part of your file as well.</w:t>
      </w:r>
    </w:p>
    <w:p>
      <w:pPr>
        <w:spacing w:after="200"/>
        <w:jc w:val="both"/>
      </w:pPr>
      <w:r>
        <w:rPr>
          <w:rFonts w:ascii="Calibri" w:cs="Calibri" w:eastAsia="Calibri" w:hAnsi="Calibri"/>
          <w:color w:val="262626"/>
          <w:sz w:val="22"/>
          <w:szCs w:val="22"/>
        </w:rPr>
        <w:t xml:space="preserve">The Company will grant government agents and entities limited access to employee files when and as required by law.</w:t>
      </w:r>
    </w:p>
    <w:p>
      <w:pPr>
        <w:spacing w:after="200"/>
        <w:jc w:val="both"/>
      </w:pPr>
      <w:r>
        <w:rPr>
          <w:rFonts w:ascii="Calibri" w:cs="Calibri" w:eastAsia="Calibri" w:hAnsi="Calibri"/>
          <w:color w:val="262626"/>
          <w:sz w:val="22"/>
          <w:szCs w:val="22"/>
        </w:rPr>
        <w:t xml:space="preserve">An employee file is comprised of documents and information related to each employee's relationship with the Company, including among other items the employment application, employment history verification documents, resumes, background checks, emergency contact information, contracts of employment, tax forms, payroll and benefits information, and performance reviews, if any of these should exist and according to Company policy.</w:t>
      </w:r>
    </w:p>
    <w:p>
      <w:pPr>
        <w:spacing w:after="200"/>
        <w:jc w:val="both"/>
      </w:pPr>
      <w:r>
        <w:rPr>
          <w:rFonts w:ascii="Calibri" w:cs="Calibri" w:eastAsia="Calibri" w:hAnsi="Calibri"/>
          <w:color w:val="262626"/>
          <w:sz w:val="22"/>
          <w:szCs w:val="22"/>
        </w:rPr>
        <w:t xml:space="preserve">You are required to notify a Human Resources or Payroll Manager, as applicable, should any information previously provided to the Company change, including information provided on an employment application or form, insurance form, or tax form. Misrepresenting information in your employee file or failing to correct a known mistake in your file, is grounds for discipline, possibly including immediate termination.</w:t>
      </w:r>
    </w:p>
    <w:p>
      <w:pPr>
        <w:spacing w:after="200"/>
        <w:jc w:val="both"/>
      </w:pPr>
      <w:r>
        <w:rPr>
          <w:rFonts w:ascii="Calibri" w:cs="Calibri" w:eastAsia="Calibri" w:hAnsi="Calibri"/>
          <w:color w:val="262626"/>
          <w:sz w:val="22"/>
          <w:szCs w:val="22"/>
        </w:rPr>
        <w:t xml:space="preserve">At the Company's sole discretion, you may provide a written and signed release for the Company to disclose information in your employee file to an outside entity requesting access.</w:t>
      </w:r>
    </w:p>
    <w:p>
      <w:pPr>
        <w:spacing w:after="200"/>
        <w:jc w:val="both"/>
      </w:pPr>
      <w:r>
        <w:rPr>
          <w:rFonts w:ascii="Calibri" w:cs="Calibri" w:eastAsia="Calibri" w:hAnsi="Calibri"/>
          <w:color w:val="262626"/>
          <w:sz w:val="22"/>
          <w:szCs w:val="22"/>
        </w:rPr>
        <w:t xml:space="preserve">All employment verification requests must be directed in writing to [Company Name]:</w:t>
      </w:r>
    </w:p>
    <w:p>
      <w:pPr>
        <w:spacing w:after="60"/>
        <w:ind w:left="720"/>
        <w:jc w:val="left"/>
      </w:pPr>
      <w:r>
        <w:rPr>
          <w:rFonts w:ascii="Calibri" w:cs="Calibri" w:eastAsia="Calibri" w:hAnsi="Calibri"/>
          <w:b/>
          <w:bCs/>
          <w:color w:val="262626"/>
          <w:sz w:val="22"/>
          <w:szCs w:val="22"/>
        </w:rPr>
        <w:t xml:space="preserve">Employment Verification Request</w:t>
      </w:r>
    </w:p>
    <w:p>
      <w:pPr>
        <w:spacing w:after="60"/>
        <w:ind w:left="720"/>
        <w:jc w:val="left"/>
      </w:pPr>
      <w:r>
        <w:rPr>
          <w:rFonts w:ascii="Calibri" w:cs="Calibri" w:eastAsia="Calibri" w:hAnsi="Calibri"/>
          <w:b w:val="false"/>
          <w:bCs w:val="false"/>
          <w:color w:val="262626"/>
          <w:sz w:val="22"/>
          <w:szCs w:val="22"/>
        </w:rPr>
        <w:t xml:space="preserve">[Company Name]</w:t>
      </w:r>
    </w:p>
    <w:p>
      <w:pPr>
        <w:spacing w:after="60"/>
        <w:ind w:left="720"/>
        <w:jc w:val="left"/>
      </w:pPr>
      <w:r>
        <w:rPr>
          <w:rFonts w:ascii="Calibri" w:cs="Calibri" w:eastAsia="Calibri" w:hAnsi="Calibri"/>
          <w:b w:val="false"/>
          <w:bCs w:val="false"/>
          <w:color w:val="262626"/>
          <w:sz w:val="22"/>
          <w:szCs w:val="22"/>
        </w:rPr>
        <w:t xml:space="preserve">[Street Address]</w:t>
      </w:r>
    </w:p>
    <w:p>
      <w:pPr>
        <w:spacing w:after="60"/>
        <w:ind w:left="720"/>
        <w:jc w:val="left"/>
      </w:pPr>
      <w:r>
        <w:rPr>
          <w:rFonts w:ascii="Calibri" w:cs="Calibri" w:eastAsia="Calibri" w:hAnsi="Calibri"/>
          <w:b w:val="false"/>
          <w:bCs w:val="false"/>
          <w:color w:val="262626"/>
          <w:sz w:val="22"/>
          <w:szCs w:val="22"/>
        </w:rPr>
        <w:t xml:space="preserve">[City, State ZIP]</w:t>
      </w:r>
    </w:p>
    <w:p>
      <w:pPr>
        <w:spacing w:after="60"/>
        <w:ind w:left="720"/>
        <w:jc w:val="left"/>
      </w:pPr>
      <w:r>
        <w:rPr>
          <w:rFonts w:ascii="Calibri" w:cs="Calibri" w:eastAsia="Calibri" w:hAnsi="Calibri"/>
          <w:b w:val="false"/>
          <w:bCs w:val="false"/>
          <w:color w:val="262626"/>
          <w:sz w:val="22"/>
          <w:szCs w:val="22"/>
        </w:rPr>
        <w:t xml:space="preserve">Email: [hr@company.com]</w:t>
      </w:r>
    </w:p>
    <w:p>
      <w:pPr>
        <w:pStyle w:val="Heading2"/>
        <w:spacing w:after="120" w:before="260"/>
      </w:pPr>
      <w:r>
        <w:rPr>
          <w:rFonts w:ascii="Cambria" w:cs="Cambria" w:eastAsia="Cambria" w:hAnsi="Cambria"/>
          <w:b/>
          <w:bCs/>
          <w:color w:val="1F3864"/>
          <w:sz w:val="24"/>
          <w:szCs w:val="24"/>
        </w:rPr>
        <w:t xml:space="preserve">2.7 Background and Reference Checks</w:t>
      </w:r>
    </w:p>
    <w:p>
      <w:pPr>
        <w:spacing w:after="200"/>
        <w:jc w:val="both"/>
      </w:pPr>
      <w:r>
        <w:rPr>
          <w:rFonts w:ascii="Calibri" w:cs="Calibri" w:eastAsia="Calibri" w:hAnsi="Calibri"/>
          <w:color w:val="262626"/>
          <w:sz w:val="22"/>
          <w:szCs w:val="22"/>
        </w:rPr>
        <w:t xml:space="preserve">The Company may conduct various background and reference checks on potential or current employees. The information collected will become part of the employee's file and may include verification of information provided during the hiring process, resume, employment verification, criminal record, driving records, and credit report, depending upon the type of position sought.</w:t>
      </w:r>
    </w:p>
    <w:p>
      <w:pPr>
        <w:spacing w:after="200"/>
        <w:jc w:val="both"/>
      </w:pPr>
      <w:r>
        <w:rPr>
          <w:rFonts w:ascii="Calibri" w:cs="Calibri" w:eastAsia="Calibri" w:hAnsi="Calibri"/>
          <w:color w:val="262626"/>
          <w:sz w:val="22"/>
          <w:szCs w:val="22"/>
        </w:rPr>
        <w:t xml:space="preserve">Any employment offer or offer for promotion or reassignment to another position made by the Company is contingent on verification as to the accuracy of the information provided by the potential or current employee.</w:t>
      </w:r>
    </w:p>
    <w:p>
      <w:pPr>
        <w:spacing w:after="200"/>
        <w:jc w:val="both"/>
      </w:pPr>
      <w:r>
        <w:rPr>
          <w:rFonts w:ascii="Calibri" w:cs="Calibri" w:eastAsia="Calibri" w:hAnsi="Calibri"/>
          <w:color w:val="262626"/>
          <w:sz w:val="22"/>
          <w:szCs w:val="22"/>
        </w:rPr>
        <w:t xml:space="preserve">As background and reference checks are part of each employee's file, such information is kept confidential and may only be reviewed by those involved with hiring and personnel decision processes or Company managers having a legitimate business need to know.</w:t>
      </w:r>
    </w:p>
    <w:p>
      <w:pPr>
        <w:spacing w:after="200"/>
        <w:jc w:val="both"/>
      </w:pPr>
      <w:r>
        <w:rPr>
          <w:rFonts w:ascii="Calibri" w:cs="Calibri" w:eastAsia="Calibri" w:hAnsi="Calibri"/>
          <w:color w:val="262626"/>
          <w:sz w:val="22"/>
          <w:szCs w:val="22"/>
        </w:rPr>
        <w:t xml:space="preserve">Should you be denied employment based on information obtained from a background or reference check, then the Company will provide you with a copy of such report(s) and allow you an opportunity to dispute such information.</w:t>
      </w:r>
    </w:p>
    <w:p>
      <w:pPr>
        <w:spacing w:after="200"/>
        <w:jc w:val="both"/>
      </w:pPr>
      <w:r>
        <w:rPr>
          <w:rFonts w:ascii="Calibri" w:cs="Calibri" w:eastAsia="Calibri" w:hAnsi="Calibri"/>
          <w:color w:val="262626"/>
          <w:sz w:val="22"/>
          <w:szCs w:val="22"/>
        </w:rPr>
        <w:t xml:space="preserve">Background and reference checks may be conducted on current employees in order to assess them for continued employment, promotion, or reassignment, as permitted by state and federal law.</w:t>
      </w:r>
    </w:p>
    <w:p>
      <w:pPr>
        <w:pStyle w:val="Heading2"/>
        <w:spacing w:after="120" w:before="260"/>
      </w:pPr>
      <w:r>
        <w:rPr>
          <w:rFonts w:ascii="Cambria" w:cs="Cambria" w:eastAsia="Cambria" w:hAnsi="Cambria"/>
          <w:b/>
          <w:bCs/>
          <w:color w:val="1F3864"/>
          <w:sz w:val="24"/>
          <w:szCs w:val="24"/>
        </w:rPr>
        <w:t xml:space="preserve">2.8 Healthcare Information</w:t>
      </w:r>
    </w:p>
    <w:p>
      <w:pPr>
        <w:spacing w:after="200"/>
        <w:jc w:val="both"/>
      </w:pPr>
      <w:r>
        <w:rPr>
          <w:rFonts w:ascii="Calibri" w:cs="Calibri" w:eastAsia="Calibri" w:hAnsi="Calibri"/>
          <w:color w:val="262626"/>
          <w:sz w:val="22"/>
          <w:szCs w:val="22"/>
        </w:rPr>
        <w:t xml:space="preserve">Information related to an employee's healthcare enrollment or plan will be managed according to the Company's policy for conformance with the Health Insurance Portability and Accountability Act (HIPPA), as applicable. The Company does not regularly maintain records of its employees' private healthcare information, and any such information voluntarily shared with the Company by an employee will be kept confidential.</w:t>
      </w:r>
    </w:p>
    <w:p>
      <w:pPr>
        <w:pStyle w:val="Heading2"/>
        <w:spacing w:after="120" w:before="260"/>
      </w:pPr>
      <w:r>
        <w:rPr>
          <w:rFonts w:ascii="Cambria" w:cs="Cambria" w:eastAsia="Cambria" w:hAnsi="Cambria"/>
          <w:b/>
          <w:bCs/>
          <w:color w:val="1F3864"/>
          <w:sz w:val="24"/>
          <w:szCs w:val="24"/>
        </w:rPr>
        <w:t xml:space="preserve">2.9 Immigration Reform and Control Act (I-9)</w:t>
      </w:r>
    </w:p>
    <w:p>
      <w:pPr>
        <w:spacing w:after="200"/>
        <w:jc w:val="both"/>
      </w:pPr>
      <w:r>
        <w:rPr>
          <w:rFonts w:ascii="Calibri" w:cs="Calibri" w:eastAsia="Calibri" w:hAnsi="Calibri"/>
          <w:color w:val="262626"/>
          <w:sz w:val="22"/>
          <w:szCs w:val="22"/>
        </w:rPr>
        <w:t xml:space="preserve">In compliance with the Immigration Reform and Control Act of 1986, every employee must complete the U.S. Citizenship and Immigration Services (USCIS) Form I-9 no later than the first day of hire in order to verify identity and employment authorization. The Company will verify proper completion of Form I-9. You will verify your identity and eligibility by providing documentation as specified on the last page of the form.</w:t>
      </w:r>
    </w:p>
    <w:p>
      <w:pPr>
        <w:spacing w:after="200"/>
        <w:jc w:val="both"/>
      </w:pPr>
      <w:r>
        <w:rPr>
          <w:rFonts w:ascii="Calibri" w:cs="Calibri" w:eastAsia="Calibri" w:hAnsi="Calibri"/>
          <w:color w:val="262626"/>
          <w:sz w:val="22"/>
          <w:szCs w:val="22"/>
        </w:rPr>
        <w:t xml:space="preserve">The Company will not discriminate on the basis of citizenship status or national origin in connection with the employment eligibility verification and re-verification processes or any part of the E-Verify process. The Company will avoid discrimination in connection with these processes, by:</w:t>
      </w:r>
    </w:p>
    <w:p>
      <w:pPr>
        <w:pStyle w:val="ListParagraph"/>
        <w:numPr>
          <w:ilvl w:val="0"/>
          <w:numId w:val="1"/>
        </w:numPr>
        <w:spacing w:after="100"/>
        <w:jc w:val="both"/>
      </w:pPr>
      <w:r>
        <w:rPr>
          <w:rFonts w:ascii="Calibri" w:cs="Calibri" w:eastAsia="Calibri" w:hAnsi="Calibri"/>
          <w:color w:val="262626"/>
          <w:sz w:val="22"/>
          <w:szCs w:val="22"/>
        </w:rPr>
        <w:t xml:space="preserve">honoring documentation that on its face reasonably appears to be genuine, relates to the person, and satisfies the requirements of 8 U.S.C. § 1324a(b);</w:t>
      </w:r>
    </w:p>
    <w:p>
      <w:pPr>
        <w:pStyle w:val="ListParagraph"/>
        <w:numPr>
          <w:ilvl w:val="0"/>
          <w:numId w:val="1"/>
        </w:numPr>
        <w:spacing w:after="100"/>
        <w:jc w:val="both"/>
      </w:pPr>
      <w:r>
        <w:rPr>
          <w:rFonts w:ascii="Calibri" w:cs="Calibri" w:eastAsia="Calibri" w:hAnsi="Calibri"/>
          <w:color w:val="262626"/>
          <w:sz w:val="22"/>
          <w:szCs w:val="22"/>
        </w:rPr>
        <w:t xml:space="preserve">not requesting more or different documents than are required by law; and</w:t>
      </w:r>
    </w:p>
    <w:p>
      <w:pPr>
        <w:pStyle w:val="ListParagraph"/>
        <w:numPr>
          <w:ilvl w:val="0"/>
          <w:numId w:val="1"/>
        </w:numPr>
        <w:spacing w:after="100"/>
        <w:jc w:val="both"/>
      </w:pPr>
      <w:r>
        <w:rPr>
          <w:rFonts w:ascii="Calibri" w:cs="Calibri" w:eastAsia="Calibri" w:hAnsi="Calibri"/>
          <w:color w:val="262626"/>
          <w:sz w:val="22"/>
          <w:szCs w:val="22"/>
        </w:rPr>
        <w:t xml:space="preserve">permitting all employees to present any document or combination of documents acceptable by law.</w:t>
      </w:r>
    </w:p>
    <w:p>
      <w:pPr>
        <w:spacing w:after="200"/>
        <w:jc w:val="both"/>
      </w:pPr>
      <w:r>
        <w:rPr>
          <w:rFonts w:ascii="Calibri" w:cs="Calibri" w:eastAsia="Calibri" w:hAnsi="Calibri"/>
          <w:color w:val="262626"/>
          <w:sz w:val="22"/>
          <w:szCs w:val="22"/>
        </w:rPr>
        <w:t xml:space="preserve">If any applicant or employee feels they have been discriminated or retaliated against in connection with the hiring, firing, or employment eligibility verification, re-verification, or E-Verify processes, that individual has the right to contact and/or file a charge with the U.S. Department of Justice, Civil Rights Division, Immigrant and Employee Rights Section (“IER”). The IER's worker hotline is 1-(800)-255-7688 and website address is https://www.justice.gov/ier.</w:t>
      </w:r>
    </w:p>
    <w:p>
      <w:pPr>
        <w:spacing w:after="200"/>
        <w:jc w:val="both"/>
      </w:pPr>
      <w:r>
        <w:rPr>
          <w:rFonts w:ascii="Calibri" w:cs="Calibri" w:eastAsia="Calibri" w:hAnsi="Calibri"/>
          <w:color w:val="262626"/>
          <w:sz w:val="22"/>
          <w:szCs w:val="22"/>
        </w:rPr>
        <w:t xml:space="preserve">The Company will not take any reprisal action against an employee for having opposed any employment practice made unlawful by 8 U.S.C. §1324b, or for filing any charge, or participating in any lawful manner in any investigation or action under 8 U.S.C. §1324b.</w:t>
      </w:r>
    </w:p>
    <w:p>
      <w:pPr>
        <w:pStyle w:val="Heading2"/>
        <w:spacing w:after="120" w:before="260"/>
      </w:pPr>
      <w:r>
        <w:rPr>
          <w:rFonts w:ascii="Cambria" w:cs="Cambria" w:eastAsia="Cambria" w:hAnsi="Cambria"/>
          <w:b/>
          <w:bCs/>
          <w:color w:val="1F3864"/>
          <w:sz w:val="24"/>
          <w:szCs w:val="24"/>
        </w:rPr>
        <w:t xml:space="preserve">2.10 Political Views</w:t>
      </w:r>
    </w:p>
    <w:p>
      <w:pPr>
        <w:spacing w:after="200"/>
        <w:jc w:val="both"/>
      </w:pPr>
      <w:r>
        <w:rPr>
          <w:rFonts w:ascii="Calibri" w:cs="Calibri" w:eastAsia="Calibri" w:hAnsi="Calibri"/>
          <w:color w:val="262626"/>
          <w:sz w:val="22"/>
          <w:szCs w:val="22"/>
        </w:rPr>
        <w:t xml:space="preserve">Employees have the right to express political views and otherwise engage in political activities and freedoms outside of their role for Company. The Company will not discriminate against employees based on their engaging in legal political activities or their affiliation with a particular political view or group. However, all employees have a responsibility to ensure that the political views they communicate, and political activities engaged in are seen as separate from the Company's and their role as a Company employee.</w:t>
      </w:r>
    </w:p>
    <w:p>
      <w:pPr>
        <w:pStyle w:val="Heading2"/>
        <w:spacing w:after="120" w:before="260"/>
      </w:pPr>
      <w:r>
        <w:rPr>
          <w:rFonts w:ascii="Cambria" w:cs="Cambria" w:eastAsia="Cambria" w:hAnsi="Cambria"/>
          <w:b/>
          <w:bCs/>
          <w:color w:val="1F3864"/>
          <w:sz w:val="24"/>
          <w:szCs w:val="24"/>
        </w:rPr>
        <w:t xml:space="preserve">2.11 Termination and Change of Employment Status</w:t>
      </w:r>
    </w:p>
    <w:p>
      <w:pPr>
        <w:spacing w:after="200"/>
        <w:jc w:val="both"/>
      </w:pPr>
      <w:r>
        <w:rPr>
          <w:rFonts w:ascii="Calibri" w:cs="Calibri" w:eastAsia="Calibri" w:hAnsi="Calibri"/>
          <w:color w:val="262626"/>
          <w:sz w:val="22"/>
          <w:szCs w:val="22"/>
        </w:rPr>
        <w:t xml:space="preserve">A change in your employment status may occur for different reasons, including termination by the Company, resignation, abandonment, reassignment, or retirement. Should a change in employment status occur, wages will only accrue up to your effective date of separation with the Company, unless contrary to a written employment contract or state law.</w:t>
      </w:r>
    </w:p>
    <w:p>
      <w:pPr>
        <w:pStyle w:val="ListParagraph"/>
        <w:numPr>
          <w:ilvl w:val="0"/>
          <w:numId w:val="1"/>
        </w:numPr>
        <w:spacing w:after="100"/>
        <w:jc w:val="both"/>
      </w:pPr>
      <w:r>
        <w:rPr>
          <w:rFonts w:ascii="Calibri" w:cs="Calibri" w:eastAsia="Calibri" w:hAnsi="Calibri"/>
          <w:color w:val="262626"/>
          <w:sz w:val="22"/>
          <w:szCs w:val="22"/>
        </w:rPr>
        <w:t xml:space="preserve">Exit Interviews – Employees may be asked to complete an exit interview upon separation of employment. This interview will provide the employee an opportunity to discuss the reasons for leaving, job satisfaction, work environment, benefits, etc.</w:t>
      </w:r>
    </w:p>
    <w:p>
      <w:pPr>
        <w:pStyle w:val="ListParagraph"/>
        <w:numPr>
          <w:ilvl w:val="0"/>
          <w:numId w:val="1"/>
        </w:numPr>
        <w:spacing w:after="100"/>
        <w:jc w:val="both"/>
      </w:pPr>
      <w:r>
        <w:rPr>
          <w:rFonts w:ascii="Calibri" w:cs="Calibri" w:eastAsia="Calibri" w:hAnsi="Calibri"/>
          <w:color w:val="262626"/>
          <w:sz w:val="22"/>
          <w:szCs w:val="22"/>
        </w:rPr>
        <w:t xml:space="preserve">Termination by the Company - Unless expressly prohibited by statute, all employees without a written employment agreement to the contrary are employed on an "at-will" basis. This means that the Company may conclude the employment relationship with or without advance notice at any time and for any reason. Awarded, unused PTO will not be paid out in the event of involuntary separation.</w:t>
      </w:r>
    </w:p>
    <w:p>
      <w:pPr>
        <w:pStyle w:val="ListParagraph"/>
        <w:numPr>
          <w:ilvl w:val="0"/>
          <w:numId w:val="1"/>
        </w:numPr>
        <w:spacing w:after="100"/>
        <w:jc w:val="both"/>
      </w:pPr>
      <w:r>
        <w:rPr>
          <w:rFonts w:ascii="Calibri" w:cs="Calibri" w:eastAsia="Calibri" w:hAnsi="Calibri"/>
          <w:color w:val="262626"/>
          <w:sz w:val="22"/>
          <w:szCs w:val="22"/>
        </w:rPr>
        <w:t xml:space="preserve">Resignation - If you are an at-will employee, you may choose to conclude the employment relationship at any time and for any reason. If you are considering resignation, you are encouraged to consult your supervisor in order to discuss whether other options are available to accommodate your needs. If you do decide to resign, the Company asks that you provide at least two (2) weeks' advance written notice of your departure. Employees who fail to provide the full requested advance notice may be subject to forfeiture of accrued benefits including vacation, paid time off, or other benefits at Company's discretion and according to state law.</w:t>
      </w:r>
    </w:p>
    <w:p>
      <w:pPr>
        <w:spacing w:after="200"/>
        <w:jc w:val="both"/>
      </w:pPr>
      <w:r>
        <w:rPr>
          <w:rFonts w:ascii="Calibri" w:cs="Calibri" w:eastAsia="Calibri" w:hAnsi="Calibri"/>
          <w:color w:val="262626"/>
          <w:sz w:val="22"/>
          <w:szCs w:val="22"/>
        </w:rPr>
        <w:t xml:space="preserve">In addition, such employees who fail to provide the full requested advance notice may be deemed ineligible for future rehire, at the discretion of the Company.</w:t>
      </w:r>
    </w:p>
    <w:p>
      <w:pPr>
        <w:spacing w:after="200"/>
        <w:jc w:val="both"/>
      </w:pPr>
      <w:r>
        <w:rPr>
          <w:rFonts w:ascii="Calibri" w:cs="Calibri" w:eastAsia="Calibri" w:hAnsi="Calibri"/>
          <w:color w:val="262626"/>
          <w:sz w:val="22"/>
          <w:szCs w:val="22"/>
        </w:rPr>
        <w:t xml:space="preserve">At the Company's sole discretion and business needs under the circumstances, the Company may choose to require your immediate departure. The Company reserves the right to change an employee’s job duties and responsibilities during their resignation period.</w:t>
      </w:r>
    </w:p>
    <w:p>
      <w:pPr>
        <w:spacing w:after="200"/>
        <w:jc w:val="both"/>
      </w:pPr>
      <w:r>
        <w:rPr>
          <w:rFonts w:ascii="Calibri" w:cs="Calibri" w:eastAsia="Calibri" w:hAnsi="Calibri"/>
          <w:color w:val="262626"/>
          <w:sz w:val="22"/>
          <w:szCs w:val="22"/>
        </w:rPr>
        <w:t xml:space="preserve">In the event of voluntary resignation of employment, accrued, unused PTO will be paid if the employee meets the guidelines below:</w:t>
      </w:r>
    </w:p>
    <w:p>
      <w:pPr>
        <w:pStyle w:val="ListParagraph"/>
        <w:numPr>
          <w:ilvl w:val="0"/>
          <w:numId w:val="1"/>
        </w:numPr>
        <w:spacing w:after="100"/>
        <w:jc w:val="both"/>
      </w:pPr>
      <w:r>
        <w:rPr>
          <w:rFonts w:ascii="Calibri" w:cs="Calibri" w:eastAsia="Calibri" w:hAnsi="Calibri"/>
          <w:color w:val="262626"/>
          <w:sz w:val="22"/>
          <w:szCs w:val="22"/>
        </w:rPr>
        <w:t xml:space="preserve">The employee provides two weeks’ notice of resignation;</w:t>
      </w:r>
    </w:p>
    <w:p>
      <w:pPr>
        <w:pStyle w:val="ListParagraph"/>
        <w:numPr>
          <w:ilvl w:val="0"/>
          <w:numId w:val="1"/>
        </w:numPr>
        <w:spacing w:after="100"/>
        <w:jc w:val="both"/>
      </w:pPr>
      <w:r>
        <w:rPr>
          <w:rFonts w:ascii="Calibri" w:cs="Calibri" w:eastAsia="Calibri" w:hAnsi="Calibri"/>
          <w:color w:val="262626"/>
          <w:sz w:val="22"/>
          <w:szCs w:val="22"/>
        </w:rPr>
        <w:t xml:space="preserve">The employee works the two weeks’ notice period; and</w:t>
      </w:r>
    </w:p>
    <w:p>
      <w:pPr>
        <w:pStyle w:val="ListParagraph"/>
        <w:numPr>
          <w:ilvl w:val="0"/>
          <w:numId w:val="1"/>
        </w:numPr>
        <w:spacing w:after="100"/>
        <w:jc w:val="both"/>
      </w:pPr>
      <w:r>
        <w:rPr>
          <w:rFonts w:ascii="Calibri" w:cs="Calibri" w:eastAsia="Calibri" w:hAnsi="Calibri"/>
          <w:color w:val="262626"/>
          <w:sz w:val="22"/>
          <w:szCs w:val="22"/>
        </w:rPr>
        <w:t xml:space="preserve">The employee has not received verbal or written disciplinary action within the six (6) months prior to submitting their notice of resignation.</w:t>
      </w:r>
    </w:p>
    <w:p>
      <w:pPr>
        <w:spacing w:after="200"/>
        <w:jc w:val="both"/>
      </w:pPr>
      <w:r>
        <w:rPr>
          <w:rFonts w:ascii="Calibri" w:cs="Calibri" w:eastAsia="Calibri" w:hAnsi="Calibri"/>
          <w:color w:val="262626"/>
          <w:sz w:val="22"/>
          <w:szCs w:val="22"/>
        </w:rPr>
        <w:t xml:space="preserve">Should the company accept the employee’s resignation effective immediately; unused PTO will be paid as long as the remaining guidelines have been met.</w:t>
      </w:r>
    </w:p>
    <w:p>
      <w:pPr>
        <w:pStyle w:val="ListParagraph"/>
        <w:numPr>
          <w:ilvl w:val="0"/>
          <w:numId w:val="1"/>
        </w:numPr>
        <w:spacing w:after="100"/>
        <w:jc w:val="both"/>
      </w:pPr>
      <w:r>
        <w:rPr>
          <w:rFonts w:ascii="Calibri" w:cs="Calibri" w:eastAsia="Calibri" w:hAnsi="Calibri"/>
          <w:color w:val="262626"/>
          <w:sz w:val="22"/>
          <w:szCs w:val="22"/>
        </w:rPr>
        <w:t xml:space="preserve">Abandonment - Abandonment occurs where an employee fails to be present during scheduled work hours for one (1) or more consecutive days without prior approval for the absence. If you are considering abandonment, you are encouraged to consult your supervisor in order to discuss whether other options are available to accommodate your needs. Awarded, unused PTO will not be paid out in the event of involuntary separation.</w:t>
      </w:r>
    </w:p>
    <w:p>
      <w:pPr>
        <w:pStyle w:val="ListParagraph"/>
        <w:numPr>
          <w:ilvl w:val="0"/>
          <w:numId w:val="1"/>
        </w:numPr>
        <w:spacing w:after="100"/>
        <w:jc w:val="both"/>
      </w:pPr>
      <w:r>
        <w:rPr>
          <w:rFonts w:ascii="Calibri" w:cs="Calibri" w:eastAsia="Calibri" w:hAnsi="Calibri"/>
          <w:color w:val="262626"/>
          <w:sz w:val="22"/>
          <w:szCs w:val="22"/>
        </w:rPr>
        <w:t xml:space="preserve">Reassignment - Based on Company needs, your employment status may occasionally change through the Company reassigning you to a different shift, department, or location, unless you have a written employment contract to the contrary. The Company may choose to take into consideration your requests concerning reassignment.</w:t>
      </w:r>
    </w:p>
    <w:p>
      <w:pPr>
        <w:pStyle w:val="ListParagraph"/>
        <w:numPr>
          <w:ilvl w:val="0"/>
          <w:numId w:val="1"/>
        </w:numPr>
        <w:spacing w:after="100"/>
        <w:jc w:val="both"/>
      </w:pPr>
      <w:r>
        <w:rPr>
          <w:rFonts w:ascii="Calibri" w:cs="Calibri" w:eastAsia="Calibri" w:hAnsi="Calibri"/>
          <w:color w:val="262626"/>
          <w:sz w:val="22"/>
          <w:szCs w:val="22"/>
        </w:rPr>
        <w:t xml:space="preserve">Retirement - Employees seeking to retire are requested to provide at least four (4) weeks' advance written notice to a Human Resource Manager. This will allow the Company sufficient time to finalize any payroll and benefits issues, determine and prepare for any hiring needs, and wrap up all other outstanding employment matters related to the planned retirement.</w:t>
      </w:r>
    </w:p>
    <w:p>
      <w:pPr>
        <w:pStyle w:val="Heading2"/>
        <w:spacing w:after="120" w:before="260"/>
      </w:pPr>
      <w:r>
        <w:rPr>
          <w:rFonts w:ascii="Cambria" w:cs="Cambria" w:eastAsia="Cambria" w:hAnsi="Cambria"/>
          <w:b/>
          <w:bCs/>
          <w:color w:val="1F3864"/>
          <w:sz w:val="24"/>
          <w:szCs w:val="24"/>
        </w:rPr>
        <w:t xml:space="preserve">2.12 Return of Company Property</w:t>
      </w:r>
    </w:p>
    <w:p>
      <w:pPr>
        <w:spacing w:after="200"/>
        <w:jc w:val="both"/>
      </w:pPr>
      <w:r>
        <w:rPr>
          <w:rFonts w:ascii="Calibri" w:cs="Calibri" w:eastAsia="Calibri" w:hAnsi="Calibri"/>
          <w:color w:val="262626"/>
          <w:sz w:val="22"/>
          <w:szCs w:val="22"/>
        </w:rPr>
        <w:t xml:space="preserve">Employees must return all Company property in their possession upon ending employment with the Company. Unless otherwise notified, Company property includes ID cards, uniforms, cell phones, laptops, electronics, office supplies, and all other tangible items in your possession that the Company owns. The Company may deduct from the final paycheck the value of all unreturned Company property, in accordance with state law.</w:t>
      </w:r>
    </w:p>
    <w:p>
      <w:pPr>
        <w:pStyle w:val="Heading2"/>
        <w:spacing w:after="120" w:before="260"/>
      </w:pPr>
      <w:r>
        <w:rPr>
          <w:rFonts w:ascii="Cambria" w:cs="Cambria" w:eastAsia="Cambria" w:hAnsi="Cambria"/>
          <w:b/>
          <w:bCs/>
          <w:color w:val="1F3864"/>
          <w:sz w:val="24"/>
          <w:szCs w:val="24"/>
        </w:rPr>
        <w:t xml:space="preserve">2.13 Rehire</w:t>
      </w:r>
    </w:p>
    <w:p>
      <w:pPr>
        <w:spacing w:after="200"/>
        <w:jc w:val="both"/>
      </w:pPr>
      <w:r>
        <w:rPr>
          <w:rFonts w:ascii="Calibri" w:cs="Calibri" w:eastAsia="Calibri" w:hAnsi="Calibri"/>
          <w:color w:val="262626"/>
          <w:sz w:val="22"/>
          <w:szCs w:val="22"/>
        </w:rPr>
        <w:t xml:space="preserve">To be rehired, former employees must have separated employment in good standing with the Company. Employees lose good standing when the reason for separation is based on a policy violation. Former employees in good standing are still required to submit to the Company's regular hiring process and screening, including, at the Company's discretion, submitting an employment application and completing any required exams. Hiring managers seeking to hire former employees must submit a request for review and approval from a Human Resource Manager prior to hiring. Except where expressly stated to the contrary in a written employment agreement, former employees who are rehired will begin accruing benefits at the same rate and in the same manner as new employees, and tenure for all purposes will be calculated starting from the date of rehire.</w:t>
      </w:r>
    </w:p>
    <w:p>
      <w:pPr>
        <w:pStyle w:val="Heading2"/>
        <w:spacing w:after="120" w:before="260"/>
      </w:pPr>
      <w:r>
        <w:rPr>
          <w:rFonts w:ascii="Cambria" w:cs="Cambria" w:eastAsia="Cambria" w:hAnsi="Cambria"/>
          <w:b/>
          <w:bCs/>
          <w:color w:val="1F3864"/>
          <w:sz w:val="24"/>
          <w:szCs w:val="24"/>
        </w:rPr>
        <w:t xml:space="preserve">2.14 Labor Unions</w:t>
      </w:r>
    </w:p>
    <w:p>
      <w:pPr>
        <w:spacing w:after="200"/>
        <w:jc w:val="both"/>
      </w:pPr>
      <w:r>
        <w:rPr>
          <w:rFonts w:ascii="Calibri" w:cs="Calibri" w:eastAsia="Calibri" w:hAnsi="Calibri"/>
          <w:color w:val="262626"/>
          <w:sz w:val="22"/>
          <w:szCs w:val="22"/>
        </w:rPr>
        <w:t xml:space="preserve">The Company recognizes all sanctioned labor unions and their role in representing the interests of the Company's unionized employees. This Employee Handbook does not impair or otherwise alter any terms or conditions of the collective bargaining agreements held by such unions.</w:t>
      </w:r>
    </w:p>
    <w:p>
      <w:pPr>
        <w:pStyle w:val="Heading2"/>
        <w:spacing w:after="120" w:before="260"/>
      </w:pPr>
      <w:r>
        <w:rPr>
          <w:rFonts w:ascii="Cambria" w:cs="Cambria" w:eastAsia="Cambria" w:hAnsi="Cambria"/>
          <w:b/>
          <w:bCs/>
          <w:color w:val="1F3864"/>
          <w:sz w:val="24"/>
          <w:szCs w:val="24"/>
        </w:rPr>
        <w:t xml:space="preserve">2.15 Expenses</w:t>
      </w:r>
    </w:p>
    <w:p>
      <w:pPr>
        <w:spacing w:after="200"/>
        <w:jc w:val="both"/>
      </w:pPr>
      <w:r>
        <w:rPr>
          <w:rFonts w:ascii="Calibri" w:cs="Calibri" w:eastAsia="Calibri" w:hAnsi="Calibri"/>
          <w:color w:val="262626"/>
          <w:sz w:val="22"/>
          <w:szCs w:val="22"/>
        </w:rPr>
        <w:t xml:space="preserve">[Company Name] may, at its discretion, cover the cost of items needed in order to work for the Company. The Company may pay for items such as an employee’s TWIC card, Port Pass, physical examination, CDL certification card, work boots, uniforms, and other similar items. Should an employee leave [Company Name] within one (1) year from the time of the purchase, the company reserves the right to deduct the cost of such items from the employee’s final paycheck. All deductions will be done in compliance with State and Federal wage laws and will not bring the employee’s pay rate below minimum wage.</w:t>
      </w:r>
    </w:p>
    <w:p>
      <w:pPr>
        <w:pStyle w:val="Heading1"/>
        <w:pageBreakBefore/>
        <w:pBdr>
          <w:bottom w:val="single" w:color="AB8A2F" w:sz="8" w:space="8"/>
        </w:pBdr>
        <w:spacing w:after="280" w:before="240"/>
        <w:jc w:val="center"/>
      </w:pPr>
      <w:r>
        <w:rPr>
          <w:rFonts w:ascii="Cambria" w:cs="Cambria" w:eastAsia="Cambria" w:hAnsi="Cambria"/>
          <w:b/>
          <w:bCs/>
          <w:color w:val="1F3864"/>
          <w:spacing w:val="10"/>
          <w:sz w:val="30"/>
          <w:szCs w:val="30"/>
        </w:rPr>
        <w:t xml:space="preserve">SECTION III - PAYROLL PRACTICES</w:t>
      </w:r>
    </w:p>
    <w:p>
      <w:pPr>
        <w:pStyle w:val="Heading2"/>
        <w:spacing w:after="120" w:before="260"/>
      </w:pPr>
      <w:r>
        <w:rPr>
          <w:rFonts w:ascii="Cambria" w:cs="Cambria" w:eastAsia="Cambria" w:hAnsi="Cambria"/>
          <w:b/>
          <w:bCs/>
          <w:color w:val="1F3864"/>
          <w:sz w:val="24"/>
          <w:szCs w:val="24"/>
        </w:rPr>
        <w:t xml:space="preserve">3.1 Payment of Wages</w:t>
      </w:r>
    </w:p>
    <w:p>
      <w:pPr>
        <w:spacing w:after="200"/>
        <w:jc w:val="both"/>
      </w:pPr>
      <w:r>
        <w:rPr>
          <w:rFonts w:ascii="Calibri" w:cs="Calibri" w:eastAsia="Calibri" w:hAnsi="Calibri"/>
          <w:color w:val="262626"/>
          <w:sz w:val="22"/>
          <w:szCs w:val="22"/>
        </w:rPr>
        <w:t xml:space="preserve">Employees are paid weekly for their regular wages due. Payday will fall on Friday each week. Employees will be paid on the last business day prior to any payday that happens to fall on a weekend or holiday. Employees are encouraged to use direct deposit to receive their paycheck. Employees will receive any direct deposit of wages in a savings or checking account at the financial institution of their choosing. Employees that do not elect to use direct deposit will be paid by live check.</w:t>
      </w:r>
    </w:p>
    <w:p>
      <w:pPr>
        <w:spacing w:after="200"/>
        <w:jc w:val="both"/>
      </w:pPr>
      <w:r>
        <w:rPr>
          <w:rFonts w:ascii="Calibri" w:cs="Calibri" w:eastAsia="Calibri" w:hAnsi="Calibri"/>
          <w:color w:val="262626"/>
          <w:sz w:val="22"/>
          <w:szCs w:val="22"/>
        </w:rPr>
        <w:t xml:space="preserve">You must submit a new Form W-4 to a Human Resource Manager if your marital status changes or you need any updates to your payroll tax withholding.</w:t>
      </w:r>
    </w:p>
    <w:p>
      <w:pPr>
        <w:pStyle w:val="Heading2"/>
        <w:spacing w:after="120" w:before="260"/>
      </w:pPr>
      <w:r>
        <w:rPr>
          <w:rFonts w:ascii="Cambria" w:cs="Cambria" w:eastAsia="Cambria" w:hAnsi="Cambria"/>
          <w:b/>
          <w:bCs/>
          <w:color w:val="1F3864"/>
          <w:sz w:val="24"/>
          <w:szCs w:val="24"/>
        </w:rPr>
        <w:t xml:space="preserve">3.2 Overtime Pay</w:t>
      </w:r>
    </w:p>
    <w:p>
      <w:pPr>
        <w:spacing w:after="200"/>
        <w:jc w:val="both"/>
      </w:pPr>
      <w:r>
        <w:rPr>
          <w:rFonts w:ascii="Calibri" w:cs="Calibri" w:eastAsia="Calibri" w:hAnsi="Calibri"/>
          <w:color w:val="262626"/>
          <w:sz w:val="22"/>
          <w:szCs w:val="22"/>
        </w:rPr>
        <w:t xml:space="preserve">Employees classified as nonexempt will be paid overtime according to the FLSA and state law. Your supervisor must approve all overtime in advance. You are expected to comply with requests to work overtime during especially busy times and according to Company needs.</w:t>
      </w:r>
    </w:p>
    <w:p>
      <w:pPr>
        <w:spacing w:after="200"/>
        <w:jc w:val="both"/>
      </w:pPr>
      <w:r>
        <w:rPr>
          <w:rFonts w:ascii="Calibri" w:cs="Calibri" w:eastAsia="Calibri" w:hAnsi="Calibri"/>
          <w:color w:val="262626"/>
          <w:sz w:val="22"/>
          <w:szCs w:val="22"/>
        </w:rPr>
        <w:t xml:space="preserve">Florida state law sets the standard work week at forty (40) hours. Non-exempt employees earn overtime pay for all hours worked in excess of the standard work week. Overtime will be paid at one and one-half times your normal pay rate. The workweek is calculated beginning at 12:00 a.m. on Monday morning and ending at 11:59 p.m. on Sunday night but may be changed according to Company discretion. Only actual hours worked will be counted for overtime pay. Meal breaks and time off for holidays, vacation leave, personal leave, sick leave, and other leaves of absence will not be used to calculate overtime.</w:t>
      </w:r>
    </w:p>
    <w:p>
      <w:pPr>
        <w:pStyle w:val="Heading2"/>
        <w:spacing w:after="120" w:before="260"/>
      </w:pPr>
      <w:r>
        <w:rPr>
          <w:rFonts w:ascii="Cambria" w:cs="Cambria" w:eastAsia="Cambria" w:hAnsi="Cambria"/>
          <w:b/>
          <w:bCs/>
          <w:color w:val="1F3864"/>
          <w:sz w:val="24"/>
          <w:szCs w:val="24"/>
        </w:rPr>
        <w:t xml:space="preserve">3.3 Deductions</w:t>
      </w:r>
    </w:p>
    <w:p>
      <w:pPr>
        <w:spacing w:after="200"/>
        <w:jc w:val="both"/>
      </w:pPr>
      <w:r>
        <w:rPr>
          <w:rFonts w:ascii="Calibri" w:cs="Calibri" w:eastAsia="Calibri" w:hAnsi="Calibri"/>
          <w:color w:val="262626"/>
          <w:sz w:val="22"/>
          <w:szCs w:val="22"/>
        </w:rPr>
        <w:t xml:space="preserve">All employers are required to make certain deductions from your earnings on your behalf. The amounts withheld will vary according to how much is earned, marital status, government employment regulations, and other factors. These mandatory deductions are made until the maximum amount is reached. Deductions from your pay will be made according to federal and state law. This may include deductions for Federal Income Tax Withholding, City and State Income Tax, if applicable, Social Security Tax, Medicare Taxes, State Disability Insurance, if applicable, garnishments pursuant to valid court orders, and other deductions pursuant to law. Other deductions th at may be made from an employee’s paycheck, with his or her permission, include Credit Union Deposits,</w:t>
      </w:r>
    </w:p>
    <w:p>
      <w:pPr>
        <w:spacing w:after="200"/>
        <w:jc w:val="both"/>
      </w:pPr>
      <w:r>
        <w:rPr>
          <w:rFonts w:ascii="Calibri" w:cs="Calibri" w:eastAsia="Calibri" w:hAnsi="Calibri"/>
          <w:color w:val="262626"/>
          <w:sz w:val="22"/>
          <w:szCs w:val="22"/>
        </w:rPr>
        <w:t xml:space="preserve">Health, Vision &amp; Dental Benefits, Pre-tax deductions for Medical and Dependent Care under a Flexible Spending Account, and Others at the employee’s request and approved by the Company.</w:t>
      </w:r>
    </w:p>
    <w:p>
      <w:pPr>
        <w:spacing w:after="200"/>
        <w:jc w:val="both"/>
      </w:pPr>
      <w:r>
        <w:rPr>
          <w:rFonts w:ascii="Calibri" w:cs="Calibri" w:eastAsia="Calibri" w:hAnsi="Calibri"/>
          <w:color w:val="262626"/>
          <w:sz w:val="22"/>
          <w:szCs w:val="22"/>
        </w:rPr>
        <w:t xml:space="preserve">Additionally, the Company may be required by law to recognize certain court orders, liens, wage garnishments and other such documents. In the event status changes occur, you should obtain copies of relevant court orders and immediately forward them to the Company with any changes.</w:t>
      </w:r>
    </w:p>
    <w:p>
      <w:pPr>
        <w:spacing w:after="200"/>
        <w:jc w:val="both"/>
      </w:pPr>
      <w:r>
        <w:rPr>
          <w:rFonts w:ascii="Calibri" w:cs="Calibri" w:eastAsia="Calibri" w:hAnsi="Calibri"/>
          <w:color w:val="262626"/>
          <w:sz w:val="22"/>
          <w:szCs w:val="22"/>
        </w:rPr>
        <w:t xml:space="preserve">Employees are covered under the provisions of the Federal Insurance Contribution Act (“FICA”). Social Security tax (“FICA”) is deducted from an employee’s pay in two (2) segments – Social Security tax and Medicare tax. The amount of deduction from the employee’s wages is matched by the Company and credited towards the employee’s social security benefits. Contact the local social security office for further details or if assistance is needed.</w:t>
      </w:r>
    </w:p>
    <w:p>
      <w:pPr>
        <w:spacing w:after="200"/>
        <w:jc w:val="both"/>
      </w:pPr>
      <w:r>
        <w:rPr>
          <w:rFonts w:ascii="Calibri" w:cs="Calibri" w:eastAsia="Calibri" w:hAnsi="Calibri"/>
          <w:color w:val="262626"/>
          <w:sz w:val="22"/>
          <w:szCs w:val="22"/>
        </w:rPr>
        <w:t xml:space="preserve">All payroll changes must be submitted in writing.</w:t>
      </w:r>
    </w:p>
    <w:p>
      <w:pPr>
        <w:pStyle w:val="Heading2"/>
        <w:spacing w:after="120" w:before="260"/>
      </w:pPr>
      <w:r>
        <w:rPr>
          <w:rFonts w:ascii="Cambria" w:cs="Cambria" w:eastAsia="Cambria" w:hAnsi="Cambria"/>
          <w:b/>
          <w:bCs/>
          <w:color w:val="1F3864"/>
          <w:sz w:val="24"/>
          <w:szCs w:val="24"/>
        </w:rPr>
        <w:t xml:space="preserve">3.4 Deductions from Pay for Exempt Employees</w:t>
      </w:r>
    </w:p>
    <w:p>
      <w:pPr>
        <w:spacing w:after="200"/>
        <w:jc w:val="both"/>
      </w:pPr>
      <w:r>
        <w:rPr>
          <w:rFonts w:ascii="Calibri" w:cs="Calibri" w:eastAsia="Calibri" w:hAnsi="Calibri"/>
          <w:color w:val="262626"/>
          <w:sz w:val="22"/>
          <w:szCs w:val="22"/>
        </w:rPr>
        <w:t xml:space="preserve">It is the Company’s policy and practice to accurately compensate employees and to do so in compliance with all applicable state and federal laws. To ensure proper payment and that no improper deductions are made, employees must review pay stubs promptly to identify and report all errors. Employees classified as exempt salaried employees will receive a salary which is intended to compensate them for all hours they may work. This salary will be established at the time of hire or classification as an exempt employee. While it may be subject to review and modification from time to time, such as during salary review times, the salary will be a predetermined amount that will not be subject to deductions for variations in the quantity or quality of the work performed.</w:t>
      </w:r>
    </w:p>
    <w:p>
      <w:pPr>
        <w:spacing w:after="200"/>
        <w:jc w:val="both"/>
      </w:pPr>
      <w:r>
        <w:rPr>
          <w:rFonts w:ascii="Calibri" w:cs="Calibri" w:eastAsia="Calibri" w:hAnsi="Calibri"/>
          <w:color w:val="262626"/>
          <w:sz w:val="22"/>
          <w:szCs w:val="22"/>
        </w:rPr>
        <w:t xml:space="preserve">Under federal and state law, salary is subject to certain deductions. For example, unless state law requires otherwise, salary can be reduced for the following reasons:</w:t>
      </w:r>
    </w:p>
    <w:p>
      <w:pPr>
        <w:pStyle w:val="ListParagraph"/>
        <w:numPr>
          <w:ilvl w:val="0"/>
          <w:numId w:val="1"/>
        </w:numPr>
        <w:spacing w:after="100"/>
        <w:jc w:val="both"/>
      </w:pPr>
      <w:r>
        <w:rPr>
          <w:rFonts w:ascii="Calibri" w:cs="Calibri" w:eastAsia="Calibri" w:hAnsi="Calibri"/>
          <w:color w:val="262626"/>
          <w:sz w:val="22"/>
          <w:szCs w:val="22"/>
        </w:rPr>
        <w:t xml:space="preserve">full-day absences for personal reasons;</w:t>
      </w:r>
    </w:p>
    <w:p>
      <w:pPr>
        <w:pStyle w:val="ListParagraph"/>
        <w:numPr>
          <w:ilvl w:val="0"/>
          <w:numId w:val="1"/>
        </w:numPr>
        <w:spacing w:after="100"/>
        <w:jc w:val="both"/>
      </w:pPr>
      <w:r>
        <w:rPr>
          <w:rFonts w:ascii="Calibri" w:cs="Calibri" w:eastAsia="Calibri" w:hAnsi="Calibri"/>
          <w:color w:val="262626"/>
          <w:sz w:val="22"/>
          <w:szCs w:val="22"/>
        </w:rPr>
        <w:t xml:space="preserve">full-day absences for sickness or disability;</w:t>
      </w:r>
    </w:p>
    <w:p>
      <w:pPr>
        <w:pStyle w:val="ListParagraph"/>
        <w:numPr>
          <w:ilvl w:val="0"/>
          <w:numId w:val="1"/>
        </w:numPr>
        <w:spacing w:after="100"/>
        <w:jc w:val="both"/>
      </w:pPr>
      <w:r>
        <w:rPr>
          <w:rFonts w:ascii="Calibri" w:cs="Calibri" w:eastAsia="Calibri" w:hAnsi="Calibri"/>
          <w:color w:val="262626"/>
          <w:sz w:val="22"/>
          <w:szCs w:val="22"/>
        </w:rPr>
        <w:t xml:space="preserve">full-day disciplinary suspensions for infractions of our written policies and procedures;</w:t>
      </w:r>
    </w:p>
    <w:p>
      <w:pPr>
        <w:pStyle w:val="ListParagraph"/>
        <w:numPr>
          <w:ilvl w:val="0"/>
          <w:numId w:val="1"/>
        </w:numPr>
        <w:spacing w:after="100"/>
        <w:jc w:val="both"/>
      </w:pPr>
      <w:r>
        <w:rPr>
          <w:rFonts w:ascii="Calibri" w:cs="Calibri" w:eastAsia="Calibri" w:hAnsi="Calibri"/>
          <w:color w:val="262626"/>
          <w:sz w:val="22"/>
          <w:szCs w:val="22"/>
        </w:rPr>
        <w:t xml:space="preserve">Family and Medical Leave Act absences (either full- or partial-day absences);</w:t>
      </w:r>
    </w:p>
    <w:p>
      <w:pPr>
        <w:pStyle w:val="ListParagraph"/>
        <w:numPr>
          <w:ilvl w:val="0"/>
          <w:numId w:val="1"/>
        </w:numPr>
        <w:spacing w:after="100"/>
        <w:jc w:val="both"/>
      </w:pPr>
      <w:r>
        <w:rPr>
          <w:rFonts w:ascii="Calibri" w:cs="Calibri" w:eastAsia="Calibri" w:hAnsi="Calibri"/>
          <w:color w:val="262626"/>
          <w:sz w:val="22"/>
          <w:szCs w:val="22"/>
        </w:rPr>
        <w:t xml:space="preserve">to offset amounts received as payment from the court for jury and witness fees or from the military as military pay;</w:t>
      </w:r>
    </w:p>
    <w:p>
      <w:pPr>
        <w:pStyle w:val="ListParagraph"/>
        <w:numPr>
          <w:ilvl w:val="0"/>
          <w:numId w:val="1"/>
        </w:numPr>
        <w:spacing w:after="100"/>
        <w:jc w:val="both"/>
      </w:pPr>
      <w:r>
        <w:rPr>
          <w:rFonts w:ascii="Calibri" w:cs="Calibri" w:eastAsia="Calibri" w:hAnsi="Calibri"/>
          <w:color w:val="262626"/>
          <w:sz w:val="22"/>
          <w:szCs w:val="22"/>
        </w:rPr>
        <w:t xml:space="preserve">the first or last week of employment in the event the employee works less than a full week; and</w:t>
      </w:r>
    </w:p>
    <w:p>
      <w:pPr>
        <w:pStyle w:val="ListParagraph"/>
        <w:numPr>
          <w:ilvl w:val="0"/>
          <w:numId w:val="1"/>
        </w:numPr>
        <w:spacing w:after="100"/>
        <w:jc w:val="both"/>
      </w:pPr>
      <w:r>
        <w:rPr>
          <w:rFonts w:ascii="Calibri" w:cs="Calibri" w:eastAsia="Calibri" w:hAnsi="Calibri"/>
          <w:color w:val="262626"/>
          <w:sz w:val="22"/>
          <w:szCs w:val="22"/>
        </w:rPr>
        <w:t xml:space="preserve">any full work week in which the employee does not perform any work.</w:t>
      </w:r>
    </w:p>
    <w:p>
      <w:pPr>
        <w:spacing w:after="200"/>
        <w:jc w:val="both"/>
      </w:pPr>
      <w:r>
        <w:rPr>
          <w:rFonts w:ascii="Calibri" w:cs="Calibri" w:eastAsia="Calibri" w:hAnsi="Calibri"/>
          <w:color w:val="262626"/>
          <w:sz w:val="22"/>
          <w:szCs w:val="22"/>
        </w:rPr>
        <w:t xml:space="preserve">Salary may also be reduced for certain types of deductions such as a portion of health, dental or life insurance premiums; state, federal or local taxes; social security; or voluntary contributions to a 401(k) or pension plan.</w:t>
      </w:r>
    </w:p>
    <w:p>
      <w:pPr>
        <w:spacing w:after="200"/>
        <w:jc w:val="both"/>
      </w:pPr>
      <w:r>
        <w:rPr>
          <w:rFonts w:ascii="Calibri" w:cs="Calibri" w:eastAsia="Calibri" w:hAnsi="Calibri"/>
          <w:color w:val="262626"/>
          <w:sz w:val="22"/>
          <w:szCs w:val="22"/>
        </w:rPr>
        <w:t xml:space="preserve">In any work week in which the employee performed any work, salary will not be reduced for any of the following reasons:</w:t>
      </w:r>
    </w:p>
    <w:p>
      <w:pPr>
        <w:pStyle w:val="ListParagraph"/>
        <w:numPr>
          <w:ilvl w:val="0"/>
          <w:numId w:val="1"/>
        </w:numPr>
        <w:spacing w:after="100"/>
        <w:jc w:val="both"/>
      </w:pPr>
      <w:r>
        <w:rPr>
          <w:rFonts w:ascii="Calibri" w:cs="Calibri" w:eastAsia="Calibri" w:hAnsi="Calibri"/>
          <w:color w:val="262626"/>
          <w:sz w:val="22"/>
          <w:szCs w:val="22"/>
        </w:rPr>
        <w:t xml:space="preserve">partial day absences for personal reasons, sickness or disability, except under the Family and Medical Leave Act or during the first and last week of employment;</w:t>
      </w:r>
    </w:p>
    <w:p>
      <w:pPr>
        <w:pStyle w:val="ListParagraph"/>
        <w:numPr>
          <w:ilvl w:val="0"/>
          <w:numId w:val="1"/>
        </w:numPr>
        <w:spacing w:after="100"/>
        <w:jc w:val="both"/>
      </w:pPr>
      <w:r>
        <w:rPr>
          <w:rFonts w:ascii="Calibri" w:cs="Calibri" w:eastAsia="Calibri" w:hAnsi="Calibri"/>
          <w:color w:val="262626"/>
          <w:sz w:val="22"/>
          <w:szCs w:val="22"/>
        </w:rPr>
        <w:t xml:space="preserve">an absence because the employer has decided to close a facility on a scheduled workday;</w:t>
      </w:r>
    </w:p>
    <w:p>
      <w:pPr>
        <w:pStyle w:val="ListParagraph"/>
        <w:numPr>
          <w:ilvl w:val="0"/>
          <w:numId w:val="1"/>
        </w:numPr>
        <w:spacing w:after="100"/>
        <w:jc w:val="both"/>
      </w:pPr>
      <w:r>
        <w:rPr>
          <w:rFonts w:ascii="Calibri" w:cs="Calibri" w:eastAsia="Calibri" w:hAnsi="Calibri"/>
          <w:color w:val="262626"/>
          <w:sz w:val="22"/>
          <w:szCs w:val="22"/>
        </w:rPr>
        <w:t xml:space="preserve">absences for jury duty, attendance as a witness, or military leave in any week in which the employee performed any work (subject to any offsets as set forth above); and</w:t>
      </w:r>
    </w:p>
    <w:p>
      <w:pPr>
        <w:pStyle w:val="ListParagraph"/>
        <w:numPr>
          <w:ilvl w:val="0"/>
          <w:numId w:val="1"/>
        </w:numPr>
        <w:spacing w:after="100"/>
        <w:jc w:val="both"/>
      </w:pPr>
      <w:r>
        <w:rPr>
          <w:rFonts w:ascii="Calibri" w:cs="Calibri" w:eastAsia="Calibri" w:hAnsi="Calibri"/>
          <w:color w:val="262626"/>
          <w:sz w:val="22"/>
          <w:szCs w:val="22"/>
        </w:rPr>
        <w:t xml:space="preserve">any other deductions prohibited by state or federal law.</w:t>
      </w:r>
    </w:p>
    <w:p>
      <w:pPr>
        <w:spacing w:after="200"/>
        <w:jc w:val="both"/>
      </w:pPr>
      <w:r>
        <w:rPr>
          <w:rFonts w:ascii="Calibri" w:cs="Calibri" w:eastAsia="Calibri" w:hAnsi="Calibri"/>
          <w:color w:val="262626"/>
          <w:sz w:val="22"/>
          <w:szCs w:val="22"/>
        </w:rPr>
        <w:t xml:space="preserve">However, unless state law provides otherwise, deductions may be made to accrued leave for full-or partial-day absences for personal reasons, sickness or disability.</w:t>
      </w:r>
    </w:p>
    <w:p>
      <w:pPr>
        <w:spacing w:after="200"/>
        <w:jc w:val="both"/>
      </w:pPr>
      <w:r>
        <w:rPr>
          <w:rFonts w:ascii="Calibri" w:cs="Calibri" w:eastAsia="Calibri" w:hAnsi="Calibri"/>
          <w:color w:val="262626"/>
          <w:sz w:val="22"/>
          <w:szCs w:val="22"/>
        </w:rPr>
        <w:t xml:space="preserve">If the employee believes he or she has been subject to any improper deductions, the employee should immediately report the matter to a supervisor. If the supervisor is unavailable or if the employee believes it would be inappropriate to contact that person (or if the employee has not received a prompt and fully acceptable reply), he or she should immediately contact a Human Resource Manager. Any person electing to utilize this complaint resolution procedure will be treated courteously and the complaint will be handled as swiftly as possible.</w:t>
      </w:r>
    </w:p>
    <w:p>
      <w:pPr>
        <w:spacing w:after="200"/>
        <w:jc w:val="both"/>
      </w:pPr>
      <w:r>
        <w:rPr>
          <w:rFonts w:ascii="Calibri" w:cs="Calibri" w:eastAsia="Calibri" w:hAnsi="Calibri"/>
          <w:color w:val="262626"/>
          <w:sz w:val="22"/>
          <w:szCs w:val="22"/>
        </w:rPr>
        <w:t xml:space="preserve">The registering of a complaint or participation in an investigation in good faith will in no way be used against the employee; nor will it have an adverse impact on the individual’s employment status. Retaliation will not be tolerated and should be reported to the Company’s Human Resources Department.</w:t>
      </w:r>
    </w:p>
    <w:p>
      <w:pPr>
        <w:spacing w:after="200"/>
        <w:jc w:val="both"/>
      </w:pPr>
      <w:r>
        <w:rPr>
          <w:rFonts w:ascii="Calibri" w:cs="Calibri" w:eastAsia="Calibri" w:hAnsi="Calibri"/>
          <w:color w:val="262626"/>
          <w:sz w:val="22"/>
          <w:szCs w:val="22"/>
        </w:rPr>
        <w:t xml:space="preserve">In the event an improper deduction was made, you will be promptly reimbursed in full.</w:t>
      </w:r>
    </w:p>
    <w:p>
      <w:pPr>
        <w:pStyle w:val="Heading2"/>
        <w:spacing w:after="120" w:before="260"/>
      </w:pPr>
      <w:r>
        <w:rPr>
          <w:rFonts w:ascii="Cambria" w:cs="Cambria" w:eastAsia="Cambria" w:hAnsi="Cambria"/>
          <w:b/>
          <w:bCs/>
          <w:color w:val="1F3864"/>
          <w:sz w:val="24"/>
          <w:szCs w:val="24"/>
        </w:rPr>
        <w:t xml:space="preserve">3.5 Faithful Performance</w:t>
      </w:r>
    </w:p>
    <w:p>
      <w:pPr>
        <w:spacing w:after="200"/>
        <w:jc w:val="both"/>
      </w:pPr>
      <w:r>
        <w:rPr>
          <w:rFonts w:ascii="Calibri" w:cs="Calibri" w:eastAsia="Calibri" w:hAnsi="Calibri"/>
          <w:color w:val="262626"/>
          <w:sz w:val="22"/>
          <w:szCs w:val="22"/>
        </w:rPr>
        <w:t xml:space="preserve">All employees are expected to promote the Company's business interests at all times and to devote their full time and attention during working hours to faithfully and efficiently performing their assigned duties to the fullest extent possible within their individual means and talents.</w:t>
      </w:r>
    </w:p>
    <w:p>
      <w:pPr>
        <w:pStyle w:val="Heading2"/>
        <w:spacing w:after="120" w:before="260"/>
      </w:pPr>
      <w:r>
        <w:rPr>
          <w:rFonts w:ascii="Cambria" w:cs="Cambria" w:eastAsia="Cambria" w:hAnsi="Cambria"/>
          <w:b/>
          <w:bCs/>
          <w:color w:val="1F3864"/>
          <w:sz w:val="24"/>
          <w:szCs w:val="24"/>
        </w:rPr>
        <w:t xml:space="preserve">3.6 Outside Work</w:t>
      </w:r>
    </w:p>
    <w:p>
      <w:pPr>
        <w:spacing w:after="200"/>
        <w:jc w:val="both"/>
      </w:pPr>
      <w:r>
        <w:rPr>
          <w:rFonts w:ascii="Calibri" w:cs="Calibri" w:eastAsia="Calibri" w:hAnsi="Calibri"/>
          <w:color w:val="262626"/>
          <w:sz w:val="22"/>
          <w:szCs w:val="22"/>
        </w:rPr>
        <w:t xml:space="preserve">Employees may hold other jobs or engage in work outside of their role with the Company so long as such outside work does not have a negative impact on fulfilling their responsibilities to the Company. Furthermore, any outside work must not conflict or compete with Company interests or be conducted during an employee's scheduled work time. Employees engaging in outside work must notify their supervisor or manager so that the Company can determine if such work presents a problem or a conflict with Company interests.</w:t>
      </w:r>
    </w:p>
    <w:p>
      <w:pPr>
        <w:spacing w:after="200"/>
        <w:jc w:val="both"/>
      </w:pPr>
      <w:r>
        <w:rPr>
          <w:rFonts w:ascii="Calibri" w:cs="Calibri" w:eastAsia="Calibri" w:hAnsi="Calibri"/>
          <w:color w:val="262626"/>
          <w:sz w:val="22"/>
          <w:szCs w:val="22"/>
        </w:rPr>
        <w:t xml:space="preserve">No employee may engage in any outside work for customers or clients that the Company would normally expect to perform. Employees are prohibited from using Confidential Information or Company tools, equipment, or other property for outside work.</w:t>
      </w:r>
    </w:p>
    <w:p>
      <w:pPr>
        <w:spacing w:after="200"/>
        <w:jc w:val="both"/>
      </w:pPr>
      <w:r>
        <w:rPr>
          <w:rFonts w:ascii="Calibri" w:cs="Calibri" w:eastAsia="Calibri" w:hAnsi="Calibri"/>
          <w:color w:val="262626"/>
          <w:sz w:val="22"/>
          <w:szCs w:val="22"/>
        </w:rPr>
        <w:t xml:space="preserve">Employees may not use outside work as an excuse for failing to perform their responsibilities to the Company, for poor job performance, or for failing to be present during scheduled work hours.</w:t>
      </w:r>
    </w:p>
    <w:p>
      <w:pPr>
        <w:spacing w:after="200"/>
        <w:jc w:val="both"/>
      </w:pPr>
      <w:r>
        <w:rPr>
          <w:rFonts w:ascii="Calibri" w:cs="Calibri" w:eastAsia="Calibri" w:hAnsi="Calibri"/>
          <w:color w:val="262626"/>
          <w:sz w:val="22"/>
          <w:szCs w:val="22"/>
        </w:rPr>
        <w:t xml:space="preserve">Therefore, Employees should refrain from taking on any outside work that may demand too much of their time, energy, or attention. The Company may ask you to stop or decrease your involvement in any outside work that becomes a detriment to job performance. Employees are prohibited from using any allotted time for leaves of absence to engage in outside work.</w:t>
      </w:r>
    </w:p>
    <w:p>
      <w:pPr>
        <w:spacing w:after="200"/>
        <w:jc w:val="both"/>
      </w:pPr>
      <w:r>
        <w:rPr>
          <w:rFonts w:ascii="Calibri" w:cs="Calibri" w:eastAsia="Calibri" w:hAnsi="Calibri"/>
          <w:color w:val="262626"/>
          <w:sz w:val="22"/>
          <w:szCs w:val="22"/>
        </w:rPr>
        <w:t xml:space="preserve">Outside work includes any work outside of your obligations to the Company for which you are compensated, monetarily or otherwise, including self-employment. Outside work also includes service on a board or commission for a public entity or governing body, whether or not you are paid or otherwise compensated for such work.</w:t>
      </w:r>
    </w:p>
    <w:p>
      <w:pPr>
        <w:pStyle w:val="Heading2"/>
        <w:spacing w:after="120" w:before="260"/>
      </w:pPr>
      <w:r>
        <w:rPr>
          <w:rFonts w:ascii="Cambria" w:cs="Cambria" w:eastAsia="Cambria" w:hAnsi="Cambria"/>
          <w:b/>
          <w:bCs/>
          <w:color w:val="1F3864"/>
          <w:sz w:val="24"/>
          <w:szCs w:val="24"/>
        </w:rPr>
        <w:t xml:space="preserve">3.7 Travel Expenses and Pay</w:t>
      </w:r>
    </w:p>
    <w:p>
      <w:pPr>
        <w:spacing w:after="200"/>
        <w:jc w:val="both"/>
      </w:pPr>
      <w:r>
        <w:rPr>
          <w:rFonts w:ascii="Calibri" w:cs="Calibri" w:eastAsia="Calibri" w:hAnsi="Calibri"/>
          <w:color w:val="262626"/>
          <w:sz w:val="22"/>
          <w:szCs w:val="22"/>
        </w:rPr>
        <w:t xml:space="preserve">The Company reimburses employees' reasonable expenses incurred while traveling on Company business. Employees may only travel on Company business when authorized and should verify which travel expenses are eligible for reimbursement prior to making travel arrangements.</w:t>
      </w:r>
    </w:p>
    <w:p>
      <w:pPr>
        <w:spacing w:after="200"/>
        <w:jc w:val="both"/>
      </w:pPr>
      <w:r>
        <w:rPr>
          <w:rFonts w:ascii="Calibri" w:cs="Calibri" w:eastAsia="Calibri" w:hAnsi="Calibri"/>
          <w:color w:val="262626"/>
          <w:sz w:val="22"/>
          <w:szCs w:val="22"/>
        </w:rPr>
        <w:t xml:space="preserve">While traveling, employees must keep a detailed report of their business activities and the expenses they incur, including supporting documentation such as receipts. Employees must submit their expense reports within seven (7) days of their return from travel or as otherwise requested by the Company when traveling for extended periods of time.</w:t>
      </w:r>
    </w:p>
    <w:p>
      <w:pPr>
        <w:spacing w:after="200"/>
        <w:jc w:val="both"/>
      </w:pPr>
      <w:r>
        <w:rPr>
          <w:rFonts w:ascii="Calibri" w:cs="Calibri" w:eastAsia="Calibri" w:hAnsi="Calibri"/>
          <w:color w:val="262626"/>
          <w:sz w:val="22"/>
          <w:szCs w:val="22"/>
        </w:rPr>
        <w:t xml:space="preserve">Please use discretion while traveling to keep your expenses at a minimum and to avoid inappropriate expenses. You may not be reimbursed for expenses that are excessive or improper under the circumstances.</w:t>
      </w:r>
    </w:p>
    <w:p>
      <w:pPr>
        <w:spacing w:after="200"/>
        <w:jc w:val="both"/>
      </w:pPr>
      <w:r>
        <w:rPr>
          <w:rFonts w:ascii="Calibri" w:cs="Calibri" w:eastAsia="Calibri" w:hAnsi="Calibri"/>
          <w:color w:val="262626"/>
          <w:sz w:val="22"/>
          <w:szCs w:val="22"/>
        </w:rPr>
        <w:t xml:space="preserve">Nonexempt employees will be paid for travel while on Company business according to federal and state law. Exempt employees will be paid their normal salary while traveling for the company.</w:t>
      </w:r>
    </w:p>
    <w:p>
      <w:pPr>
        <w:pStyle w:val="Heading3"/>
        <w:spacing w:after="120" w:before="260"/>
        <w:ind w:left="360"/>
      </w:pPr>
      <w:r>
        <w:rPr>
          <w:rFonts w:ascii="Cambria" w:cs="Cambria" w:eastAsia="Cambria" w:hAnsi="Cambria"/>
          <w:b/>
          <w:bCs/>
          <w:color w:val="1F3864"/>
          <w:sz w:val="24"/>
          <w:szCs w:val="24"/>
        </w:rPr>
        <w:t xml:space="preserve">3.7a Mileage Reimbursement</w:t>
      </w:r>
    </w:p>
    <w:p>
      <w:pPr>
        <w:spacing w:after="200"/>
        <w:jc w:val="both"/>
      </w:pPr>
      <w:r>
        <w:rPr>
          <w:rFonts w:ascii="Calibri" w:cs="Calibri" w:eastAsia="Calibri" w:hAnsi="Calibri"/>
          <w:color w:val="262626"/>
          <w:sz w:val="22"/>
          <w:szCs w:val="22"/>
        </w:rPr>
        <w:t xml:space="preserve">Eligible employees, defined as those who do not receive reimbursement via a fuel reimbursement and who travel on company business using their personal vehicles, will be reimbursed for mileage at the current Internal Revenue Service (IRS) standard mileage rate for all eligible business-related travel. The IRS mileage rate is typically adjusted annually in December for the following calendar year.</w:t>
      </w:r>
    </w:p>
    <w:p>
      <w:pPr>
        <w:spacing w:after="200"/>
        <w:jc w:val="both"/>
      </w:pPr>
      <w:r>
        <w:rPr>
          <w:rFonts w:ascii="Calibri" w:cs="Calibri" w:eastAsia="Calibri" w:hAnsi="Calibri"/>
          <w:color w:val="262626"/>
          <w:sz w:val="22"/>
          <w:szCs w:val="22"/>
        </w:rPr>
        <w:t xml:space="preserve">Requests for mileage reimbursement must include specific information regarding the travel for which reimbursement is sought, as required by the Company's mileage reimbursement form.</w:t>
      </w:r>
    </w:p>
    <w:p>
      <w:pPr>
        <w:spacing w:after="200"/>
        <w:jc w:val="both"/>
      </w:pPr>
      <w:r>
        <w:rPr>
          <w:rFonts w:ascii="Calibri" w:cs="Calibri" w:eastAsia="Calibri" w:hAnsi="Calibri"/>
          <w:color w:val="262626"/>
          <w:sz w:val="22"/>
          <w:szCs w:val="22"/>
        </w:rPr>
        <w:t xml:space="preserve">Mileage reimbursement will be processed quarterly. Mileage incurred during the prior quarter must be submitted on or before the 5th day of the following month. All requests must accurately reflect only legitimate business-related travel. Employees are responsible for ensuring that all reported mileage is accurate and complete.</w:t>
      </w:r>
    </w:p>
    <w:p>
      <w:pPr>
        <w:spacing w:after="200"/>
        <w:jc w:val="both"/>
      </w:pPr>
      <w:r>
        <w:rPr>
          <w:rFonts w:ascii="Calibri" w:cs="Calibri" w:eastAsia="Calibri" w:hAnsi="Calibri"/>
          <w:color w:val="262626"/>
          <w:sz w:val="22"/>
          <w:szCs w:val="22"/>
        </w:rPr>
        <w:t xml:space="preserve">Any employee found to have knowingly submitted inaccurate or falsified mileage for reimbursement will be subject to disciplinary action, up to and including termination of employment.</w:t>
      </w:r>
    </w:p>
    <w:p>
      <w:pPr>
        <w:pStyle w:val="Heading2"/>
        <w:spacing w:after="120" w:before="260"/>
      </w:pPr>
      <w:r>
        <w:rPr>
          <w:rFonts w:ascii="Cambria" w:cs="Cambria" w:eastAsia="Cambria" w:hAnsi="Cambria"/>
          <w:b/>
          <w:bCs/>
          <w:color w:val="1F3864"/>
          <w:sz w:val="24"/>
          <w:szCs w:val="24"/>
        </w:rPr>
        <w:t xml:space="preserve">3.8 Breaks</w:t>
      </w:r>
    </w:p>
    <w:p>
      <w:pPr>
        <w:spacing w:after="200"/>
        <w:jc w:val="both"/>
      </w:pPr>
      <w:r>
        <w:rPr>
          <w:rFonts w:ascii="Calibri" w:cs="Calibri" w:eastAsia="Calibri" w:hAnsi="Calibri"/>
          <w:color w:val="262626"/>
          <w:sz w:val="22"/>
          <w:szCs w:val="22"/>
        </w:rPr>
        <w:t xml:space="preserve">Non-exempt employees must record the time work begins and ends, as well as the beginning and ending time of any departure from work for any non-work-related reason or unpaid lunch breaks. Drivers do not receive breaks but are permitted to make a quick stop during the day in order to grab a bite to eat and/or to use the restroom. Non-drivers and/or other designated employees will receive a thirty (30) minute unpaid break for lunch. Employees who receive an unpaid lunch break will be completely relieved of their duties during this break.</w:t>
      </w:r>
    </w:p>
    <w:p>
      <w:pPr>
        <w:pStyle w:val="Heading2"/>
        <w:spacing w:after="120" w:before="260"/>
      </w:pPr>
      <w:r>
        <w:rPr>
          <w:rFonts w:ascii="Cambria" w:cs="Cambria" w:eastAsia="Cambria" w:hAnsi="Cambria"/>
          <w:b/>
          <w:bCs/>
          <w:color w:val="1F3864"/>
          <w:sz w:val="24"/>
          <w:szCs w:val="24"/>
        </w:rPr>
        <w:t xml:space="preserve">3.9 Lactation Breaks</w:t>
      </w:r>
    </w:p>
    <w:p>
      <w:pPr>
        <w:spacing w:after="200"/>
        <w:jc w:val="both"/>
      </w:pPr>
      <w:r>
        <w:rPr>
          <w:rFonts w:ascii="Calibri" w:cs="Calibri" w:eastAsia="Calibri" w:hAnsi="Calibri"/>
          <w:color w:val="262626"/>
          <w:sz w:val="22"/>
          <w:szCs w:val="22"/>
        </w:rPr>
        <w:t xml:space="preserve">Federal law requires an employee with a nursing child to receive a reasonable amount of break time to express breast milk for her child for up to one (1) year after a child's birth at any time when the employee needs to do so. You will receive pay when taking breaks for such purposes.</w:t>
      </w:r>
    </w:p>
    <w:p>
      <w:pPr>
        <w:spacing w:after="200"/>
        <w:jc w:val="both"/>
      </w:pPr>
      <w:r>
        <w:rPr>
          <w:rFonts w:ascii="Calibri" w:cs="Calibri" w:eastAsia="Calibri" w:hAnsi="Calibri"/>
          <w:color w:val="262626"/>
          <w:sz w:val="22"/>
          <w:szCs w:val="22"/>
        </w:rPr>
        <w:t xml:space="preserve">The Company will provide a private, safe, and sanitary place other than a bathroom or toilet stall to express milk. The Company reserves the right to suspend this benefit if it would impose an undue hardship by causing the company significant difficulty or expense when considered in relation to the size, financial resources, nature, or structure of the employer's business.</w:t>
      </w:r>
    </w:p>
    <w:p>
      <w:pPr>
        <w:pStyle w:val="Heading2"/>
        <w:spacing w:after="120" w:before="260"/>
      </w:pPr>
      <w:r>
        <w:rPr>
          <w:rFonts w:ascii="Cambria" w:cs="Cambria" w:eastAsia="Cambria" w:hAnsi="Cambria"/>
          <w:b/>
          <w:bCs/>
          <w:color w:val="1F3864"/>
          <w:sz w:val="24"/>
          <w:szCs w:val="24"/>
        </w:rPr>
        <w:t xml:space="preserve">3.10 Time Reporting</w:t>
      </w:r>
    </w:p>
    <w:p>
      <w:pPr>
        <w:spacing w:after="200"/>
        <w:jc w:val="both"/>
      </w:pPr>
      <w:r>
        <w:rPr>
          <w:rFonts w:ascii="Calibri" w:cs="Calibri" w:eastAsia="Calibri" w:hAnsi="Calibri"/>
          <w:color w:val="262626"/>
          <w:sz w:val="22"/>
          <w:szCs w:val="22"/>
        </w:rPr>
        <w:t xml:space="preserve">Employees are required to keep accurate and complete time records of daily hours worked through the timekeeping system provided or used by Company. Employees must not count any meal breaks or off-duty time toward hours worked. Non-exempt employees must record the time work begins and ends, as well as the beginning and ending time of any departure from work for any non-work-related reason or unpaid lunch breaks. Exempt employees are required to record their daily work attendance and report full days of absence from work for reasons such as leaves of absence, sick leave or personal business. It is prohibited to falsify or alter time records, including those of a co-worker, without permission from a supervisor, and doing so may result in discipline or termination.</w:t>
      </w:r>
    </w:p>
    <w:p>
      <w:pPr>
        <w:spacing w:after="200"/>
        <w:jc w:val="both"/>
      </w:pPr>
      <w:r>
        <w:rPr>
          <w:rFonts w:ascii="Calibri" w:cs="Calibri" w:eastAsia="Calibri" w:hAnsi="Calibri"/>
          <w:color w:val="262626"/>
          <w:sz w:val="22"/>
          <w:szCs w:val="22"/>
        </w:rPr>
        <w:t xml:space="preserve">Time worked is recorded for payroll purposes by rounding to the nearest quarter hour. One workday consists of 24 hours beginning at 12:00am and ending at 11:59pm. Each work week begins on Sunday at 12:00am and ends on Saturday at 11:59pm.</w:t>
      </w:r>
    </w:p>
    <w:p>
      <w:pPr>
        <w:spacing w:after="200"/>
        <w:jc w:val="both"/>
      </w:pPr>
      <w:r>
        <w:rPr>
          <w:rFonts w:ascii="Calibri" w:cs="Calibri" w:eastAsia="Calibri" w:hAnsi="Calibri"/>
          <w:color w:val="262626"/>
          <w:sz w:val="22"/>
          <w:szCs w:val="22"/>
        </w:rPr>
        <w:t xml:space="preserve">It is the employee's responsibility to acknowledge time records to certify the accuracy of all time recorded. Any errors in the time record should be reported immediately to a supervisor, who will attempt to correct legitimate errors. Under no condition is an employee to work “OFF THE CLOCK.” Managers are prohibited from permitting or requiring employees to work “off the clock.” If you are asked to work “off the clock,” contact the Company’s Human Resources Department. Violating this policy may result in disciplinary action up to and including discharge.</w:t>
      </w:r>
    </w:p>
    <w:p>
      <w:pPr>
        <w:pStyle w:val="Heading2"/>
        <w:spacing w:after="120" w:before="260"/>
      </w:pPr>
      <w:r>
        <w:rPr>
          <w:rFonts w:ascii="Cambria" w:cs="Cambria" w:eastAsia="Cambria" w:hAnsi="Cambria"/>
          <w:b/>
          <w:bCs/>
          <w:color w:val="1F3864"/>
          <w:sz w:val="24"/>
          <w:szCs w:val="24"/>
        </w:rPr>
        <w:t xml:space="preserve">3.11 Attendance</w:t>
      </w:r>
    </w:p>
    <w:p>
      <w:pPr>
        <w:spacing w:after="200"/>
        <w:jc w:val="both"/>
      </w:pPr>
      <w:r>
        <w:rPr>
          <w:rFonts w:ascii="Calibri" w:cs="Calibri" w:eastAsia="Calibri" w:hAnsi="Calibri"/>
          <w:color w:val="262626"/>
          <w:sz w:val="22"/>
          <w:szCs w:val="22"/>
        </w:rPr>
        <w:t xml:space="preserve">The Company's success relies on employees arriving on time and regularly attending work. You must notify your supervisor in advance of your scheduled starting time if you will not be able to attend work that day for any reason or will be arriving late. Failure to notify your supervisor in advance will result in an unexcused absence, which is serious misconduct. The Company may consider your job abandoned and your employment status voluntarily resigned for any unexcused absence of one (1) or more consecutive days. You must also receive prior supervisor approval should you need to leave work early for any reason. Employees who display a pattern of excessive absences or tardiness may be disciplined despite not having used all of their accrued leave.</w:t>
      </w:r>
    </w:p>
    <w:p>
      <w:pPr>
        <w:pStyle w:val="Heading2"/>
        <w:spacing w:after="120" w:before="260"/>
      </w:pPr>
      <w:r>
        <w:rPr>
          <w:rFonts w:ascii="Cambria" w:cs="Cambria" w:eastAsia="Cambria" w:hAnsi="Cambria"/>
          <w:b/>
          <w:bCs/>
          <w:color w:val="1F3864"/>
          <w:sz w:val="24"/>
          <w:szCs w:val="24"/>
        </w:rPr>
        <w:t xml:space="preserve">3.12 Emergencies and Inclement Weather</w:t>
      </w:r>
    </w:p>
    <w:p>
      <w:pPr>
        <w:spacing w:after="200"/>
        <w:jc w:val="both"/>
      </w:pPr>
      <w:r>
        <w:rPr>
          <w:rFonts w:ascii="Calibri" w:cs="Calibri" w:eastAsia="Calibri" w:hAnsi="Calibri"/>
          <w:color w:val="262626"/>
          <w:sz w:val="22"/>
          <w:szCs w:val="22"/>
        </w:rPr>
        <w:t xml:space="preserve">In the event that bad weather or other conditions make it dangerous or impossible to travel to work, notify your supervisor as soon as you determine that you will not be able to arrive on time. You are expected to report to work as soon as travel conditions have improved. If bad weather or other emergency causes the Company to close its offices for the day, we will make every effort to notify you. When in doubt as to whether work will be cancelled, contact a supervisor or manager. Employees who maintain a position that is critical to the operation of the business will be paid for time missed when the business closes due to an emergency or inclement weather.</w:t>
      </w:r>
    </w:p>
    <w:p>
      <w:pPr>
        <w:spacing w:after="200"/>
        <w:jc w:val="both"/>
      </w:pPr>
      <w:r>
        <w:rPr>
          <w:rFonts w:ascii="Calibri" w:cs="Calibri" w:eastAsia="Calibri" w:hAnsi="Calibri"/>
          <w:color w:val="262626"/>
          <w:sz w:val="22"/>
          <w:szCs w:val="22"/>
        </w:rPr>
        <w:t xml:space="preserve">Questions or concerns related to this policy should be directed to your immediate supervisor or the Owner of the Company.</w:t>
      </w:r>
    </w:p>
    <w:p>
      <w:pPr>
        <w:pStyle w:val="Heading2"/>
        <w:spacing w:after="120" w:before="260"/>
      </w:pPr>
      <w:r>
        <w:rPr>
          <w:rFonts w:ascii="Cambria" w:cs="Cambria" w:eastAsia="Cambria" w:hAnsi="Cambria"/>
          <w:b/>
          <w:bCs/>
          <w:color w:val="1F3864"/>
          <w:sz w:val="24"/>
          <w:szCs w:val="24"/>
        </w:rPr>
        <w:t xml:space="preserve">3.13 Performance Reviews and Pay Increases</w:t>
      </w:r>
    </w:p>
    <w:p>
      <w:pPr>
        <w:spacing w:after="200"/>
        <w:jc w:val="both"/>
      </w:pPr>
      <w:r>
        <w:rPr>
          <w:rFonts w:ascii="Calibri" w:cs="Calibri" w:eastAsia="Calibri" w:hAnsi="Calibri"/>
          <w:color w:val="262626"/>
          <w:sz w:val="22"/>
          <w:szCs w:val="22"/>
        </w:rPr>
        <w:t xml:space="preserve">A formal performance review will be conducted every six (6) months. This will provide an opportunity to review your past performance in order to recognize your strengths, target weaknesses and areas for improvement, and identify specific goals going forward. Any written performance reviews will become part of the employee file.</w:t>
      </w:r>
    </w:p>
    <w:p>
      <w:pPr>
        <w:spacing w:after="200"/>
        <w:jc w:val="both"/>
      </w:pPr>
      <w:r>
        <w:rPr>
          <w:rFonts w:ascii="Calibri" w:cs="Calibri" w:eastAsia="Calibri" w:hAnsi="Calibri"/>
          <w:color w:val="262626"/>
          <w:sz w:val="22"/>
          <w:szCs w:val="22"/>
        </w:rPr>
        <w:t xml:space="preserve">Employees receiving a performance review will not necessarily receive an increase in pay. Pay increases are based on several factors, including overall department and Company business performance, and will not always directly reflect on an employee's performance. Besides formal performance reviews, employees are encouraged to regularly have informal discussions with their supervisors about their strengths, weaknesses, and goals, in order to monitor their performance. Pay increases may be implemented at other times besides during performance reviews but must always be preapproved by a Human Resources or Payroll Manager to ensure that the requested increase aligns with Company policy and is in the Company's best interest.</w:t>
      </w:r>
    </w:p>
    <w:p>
      <w:pPr>
        <w:spacing w:after="200"/>
        <w:jc w:val="both"/>
      </w:pPr>
      <w:r>
        <w:rPr>
          <w:rFonts w:ascii="Calibri" w:cs="Calibri" w:eastAsia="Calibri" w:hAnsi="Calibri"/>
          <w:color w:val="262626"/>
          <w:sz w:val="22"/>
          <w:szCs w:val="22"/>
        </w:rPr>
        <w:t xml:space="preserve">Periodic pay bonuses are not guaranteed to employees and are at the discretion of management. If paid by the Company, these will be based on your individual performance and Company profitability. Bonuses are meant to incentivize employees to exceed expectations and constantly perform to the best of their abilities. This will help ensure that the Company stays competitive in its market.</w:t>
      </w:r>
    </w:p>
    <w:p>
      <w:pPr>
        <w:pStyle w:val="Heading2"/>
        <w:spacing w:after="120" w:before="260"/>
      </w:pPr>
      <w:r>
        <w:rPr>
          <w:rFonts w:ascii="Cambria" w:cs="Cambria" w:eastAsia="Cambria" w:hAnsi="Cambria"/>
          <w:b/>
          <w:bCs/>
          <w:color w:val="1F3864"/>
          <w:sz w:val="24"/>
          <w:szCs w:val="24"/>
        </w:rPr>
        <w:t xml:space="preserve">3.14 Payroll Policies</w:t>
      </w:r>
    </w:p>
    <w:p>
      <w:pPr>
        <w:spacing w:after="200"/>
        <w:jc w:val="both"/>
      </w:pPr>
      <w:r>
        <w:rPr>
          <w:rFonts w:ascii="Calibri" w:cs="Calibri" w:eastAsia="Calibri" w:hAnsi="Calibri"/>
          <w:color w:val="262626"/>
          <w:sz w:val="22"/>
          <w:szCs w:val="22"/>
        </w:rPr>
        <w:t xml:space="preserve">The Company reserves the right to change payroll policies and practices, including those stated above, after providing prior written notice to employees and in accordance with state law.</w:t>
      </w:r>
    </w:p>
    <w:p>
      <w:pPr>
        <w:pStyle w:val="Heading1"/>
        <w:pageBreakBefore/>
        <w:pBdr>
          <w:bottom w:val="single" w:color="AB8A2F" w:sz="8" w:space="8"/>
        </w:pBdr>
        <w:spacing w:after="280" w:before="240"/>
        <w:jc w:val="center"/>
      </w:pPr>
      <w:r>
        <w:rPr>
          <w:rFonts w:ascii="Cambria" w:cs="Cambria" w:eastAsia="Cambria" w:hAnsi="Cambria"/>
          <w:b/>
          <w:bCs/>
          <w:color w:val="1F3864"/>
          <w:spacing w:val="10"/>
          <w:sz w:val="30"/>
          <w:szCs w:val="30"/>
        </w:rPr>
        <w:t xml:space="preserve">SECTION IV - STANDARDS OF CONDUCT</w:t>
      </w:r>
    </w:p>
    <w:p>
      <w:pPr>
        <w:pStyle w:val="Heading2"/>
        <w:spacing w:after="120" w:before="260"/>
      </w:pPr>
      <w:r>
        <w:rPr>
          <w:rFonts w:ascii="Cambria" w:cs="Cambria" w:eastAsia="Cambria" w:hAnsi="Cambria"/>
          <w:b/>
          <w:bCs/>
          <w:color w:val="1F3864"/>
          <w:sz w:val="24"/>
          <w:szCs w:val="24"/>
        </w:rPr>
        <w:t xml:space="preserve">4.1 Complaint and Problem-Solving Procedure</w:t>
      </w:r>
    </w:p>
    <w:p>
      <w:pPr>
        <w:spacing w:after="200"/>
        <w:jc w:val="both"/>
      </w:pPr>
      <w:r>
        <w:rPr>
          <w:rFonts w:ascii="Calibri" w:cs="Calibri" w:eastAsia="Calibri" w:hAnsi="Calibri"/>
          <w:color w:val="262626"/>
          <w:sz w:val="22"/>
          <w:szCs w:val="22"/>
        </w:rPr>
        <w:t xml:space="preserve">We recognize that occasionally employees may experience dissatisfaction and that misunderstandings may arise. We encourage a quick and reasonable resolution of any problems or complaints. The following steps are suggested guidelines for the employee to ensure that any problem or complaint is effectively and efficiently handled. (If an employee has a complaint of discrimination or harassment, the employee must use the procedure set forth in the Equal Employment Opportunity and Non-Harassment Policy sections of this handbook.)</w:t>
      </w:r>
    </w:p>
    <w:p>
      <w:pPr>
        <w:spacing w:after="200"/>
        <w:jc w:val="both"/>
      </w:pPr>
      <w:r>
        <w:rPr>
          <w:rFonts w:ascii="Calibri" w:cs="Calibri" w:eastAsia="Calibri" w:hAnsi="Calibri"/>
          <w:color w:val="262626"/>
          <w:sz w:val="22"/>
          <w:szCs w:val="22"/>
        </w:rPr>
        <w:t xml:space="preserve">STEP 1: If possible and appropriate, problems should first be discussed with the immediate supervisor.</w:t>
      </w:r>
    </w:p>
    <w:p>
      <w:pPr>
        <w:spacing w:after="200"/>
        <w:jc w:val="both"/>
      </w:pPr>
      <w:r>
        <w:rPr>
          <w:rFonts w:ascii="Calibri" w:cs="Calibri" w:eastAsia="Calibri" w:hAnsi="Calibri"/>
          <w:color w:val="262626"/>
          <w:sz w:val="22"/>
          <w:szCs w:val="22"/>
        </w:rPr>
        <w:t xml:space="preserve">STEP 2: If the problem is not resolved between the employee and the immediate supervisor, or if an employee does not want to discuss the problem/complaint with the supervisor, the employee should request a meeting with the next level of supervision, or a manager of the work site location.</w:t>
      </w:r>
    </w:p>
    <w:p>
      <w:pPr>
        <w:spacing w:after="200"/>
        <w:jc w:val="both"/>
      </w:pPr>
      <w:r>
        <w:rPr>
          <w:rFonts w:ascii="Calibri" w:cs="Calibri" w:eastAsia="Calibri" w:hAnsi="Calibri"/>
          <w:color w:val="262626"/>
          <w:sz w:val="22"/>
          <w:szCs w:val="22"/>
        </w:rPr>
        <w:t xml:space="preserve">STEP 3: If, after following the above steps the problem still has not been resolved to the employee’s satisfaction, the employee may contact the Company’s Human Resources Department.</w:t>
      </w:r>
    </w:p>
    <w:p>
      <w:pPr>
        <w:spacing w:after="200"/>
        <w:jc w:val="both"/>
      </w:pPr>
      <w:r>
        <w:rPr>
          <w:rFonts w:ascii="Calibri" w:cs="Calibri" w:eastAsia="Calibri" w:hAnsi="Calibri"/>
          <w:color w:val="262626"/>
          <w:sz w:val="22"/>
          <w:szCs w:val="22"/>
        </w:rPr>
        <w:t xml:space="preserve">We recognize that not every problem can be resolved to everyone’s total satisfaction, but through understanding and open discussion, you and management can develop trust and confidence in each other. If your complaint is related to discrimination or harassment, you must follow the procedures found in the Non-Harassment section of this handbook.</w:t>
      </w:r>
    </w:p>
    <w:p>
      <w:pPr>
        <w:pStyle w:val="Heading2"/>
        <w:spacing w:after="120" w:before="260"/>
      </w:pPr>
      <w:r>
        <w:rPr>
          <w:rFonts w:ascii="Cambria" w:cs="Cambria" w:eastAsia="Cambria" w:hAnsi="Cambria"/>
          <w:b/>
          <w:bCs/>
          <w:color w:val="1F3864"/>
          <w:sz w:val="24"/>
          <w:szCs w:val="24"/>
        </w:rPr>
        <w:t xml:space="preserve">4.2 Equal Employment Opportunity</w:t>
      </w:r>
    </w:p>
    <w:p>
      <w:pPr>
        <w:spacing w:after="200"/>
        <w:jc w:val="both"/>
      </w:pPr>
      <w:r>
        <w:rPr>
          <w:rFonts w:ascii="Calibri" w:cs="Calibri" w:eastAsia="Calibri" w:hAnsi="Calibri"/>
          <w:color w:val="262626"/>
          <w:sz w:val="22"/>
          <w:szCs w:val="22"/>
        </w:rPr>
        <w:t xml:space="preserve">The Company provides equal employment opportunities (EEO) in all our employment practices to all employees and applicants for employment without regard to race, color,</w:t>
      </w:r>
    </w:p>
    <w:p>
      <w:pPr>
        <w:spacing w:after="200"/>
        <w:jc w:val="both"/>
      </w:pPr>
      <w:r>
        <w:rPr>
          <w:rFonts w:ascii="Calibri" w:cs="Calibri" w:eastAsia="Calibri" w:hAnsi="Calibri"/>
          <w:color w:val="262626"/>
          <w:sz w:val="22"/>
          <w:szCs w:val="22"/>
        </w:rPr>
        <w:t xml:space="preserve">religion, creed, national origin, ancestry, gender, gender expression, age, sex, sexual orientation, gender identity, disability, genetic information, marital status, veteran or military status, citizenship, arrest record, pregnancy or any other category protected by federal, state, or local laws. This includes prohibiting unlawful discrimination against those associated with or perceived to belong to a protected class, whether or not an employee actually falls into such class. The Company's EEO practices are upheld in every location that it operates and in all aspects of the employment relationship, including hiring, recruiting, placement, transfer, promotion, compensation, discipline, termination, layoff, recall, training, and leaves of absence.</w:t>
      </w:r>
    </w:p>
    <w:p>
      <w:pPr>
        <w:spacing w:after="200"/>
        <w:jc w:val="both"/>
      </w:pPr>
      <w:r>
        <w:rPr>
          <w:rFonts w:ascii="Calibri" w:cs="Calibri" w:eastAsia="Calibri" w:hAnsi="Calibri"/>
          <w:color w:val="262626"/>
          <w:sz w:val="22"/>
          <w:szCs w:val="22"/>
        </w:rPr>
        <w:t xml:space="preserve">EEO violations must be taken seriously, and all employees must make every effort to uphold and support the Company's EEO policy. This includes reporting all instances of discrimination or harassment to a Company manager. It is the Company's policy to promptly investigate any reported instance in a thorough manner. The Company forbids any retaliation against those who report or investigate discrimination or harassment. Employees with protected characteristics under EEO law, such as those with disabilities or seeking accommodation of their religious practices, should notify the Company well in advance of their need for accommodation. The Company will take reasonable measures to accommodate such employees' needs. The employee may also contact the Company's Human Resources Department.</w:t>
      </w:r>
    </w:p>
    <w:p>
      <w:pPr>
        <w:spacing w:after="200"/>
        <w:jc w:val="both"/>
      </w:pPr>
      <w:r>
        <w:rPr>
          <w:rFonts w:ascii="Calibri" w:cs="Calibri" w:eastAsia="Calibri" w:hAnsi="Calibri"/>
          <w:color w:val="262626"/>
          <w:sz w:val="22"/>
          <w:szCs w:val="22"/>
        </w:rPr>
        <w:t xml:space="preserve">If at any time during the application process or during the period of your employment you are subject to any type of discrimination, you must contact your immediate supervisor or next level manager. You may also contact the Company's Human Resources Department.</w:t>
      </w:r>
    </w:p>
    <w:p>
      <w:pPr>
        <w:spacing w:after="200"/>
        <w:jc w:val="both"/>
      </w:pPr>
      <w:r>
        <w:rPr>
          <w:rFonts w:ascii="Calibri" w:cs="Calibri" w:eastAsia="Calibri" w:hAnsi="Calibri"/>
          <w:color w:val="262626"/>
          <w:sz w:val="22"/>
          <w:szCs w:val="22"/>
        </w:rPr>
        <w:t xml:space="preserve">The Company will not allow any form of retaliation against individuals who raise issues of equal employment opportunity. If an employee feels he or she has been subjected to any such retaliation, he or she should bring it to the attention of their immediate supervisor or the next level manager. To ensure the workplace is free of artificial barriers, violation of this policy including any improper retaliatory conduct will lead to discipline, up to and including discharge. All employees must cooperate with all investigations.</w:t>
      </w:r>
    </w:p>
    <w:p>
      <w:pPr>
        <w:pStyle w:val="Heading2"/>
        <w:spacing w:after="120" w:before="260"/>
      </w:pPr>
      <w:r>
        <w:rPr>
          <w:rFonts w:ascii="Cambria" w:cs="Cambria" w:eastAsia="Cambria" w:hAnsi="Cambria"/>
          <w:b/>
          <w:bCs/>
          <w:color w:val="1F3864"/>
          <w:sz w:val="24"/>
          <w:szCs w:val="24"/>
        </w:rPr>
        <w:t xml:space="preserve">4.3 Americans with Disabilities Act</w:t>
      </w:r>
    </w:p>
    <w:p>
      <w:pPr>
        <w:spacing w:after="200"/>
        <w:jc w:val="both"/>
      </w:pPr>
      <w:r>
        <w:rPr>
          <w:rFonts w:ascii="Calibri" w:cs="Calibri" w:eastAsia="Calibri" w:hAnsi="Calibri"/>
          <w:color w:val="262626"/>
          <w:sz w:val="22"/>
          <w:szCs w:val="22"/>
        </w:rPr>
        <w:t xml:space="preserve">In accordance with the Americans with Disabilities Act ("ADA") as amended by the ADA Amendments Act ("ADAAA") the Company does not discriminate against qualified employees with disabilities in any aspect of their employment and provides reasonable accommodations to such individuals as required by law so that they may perform the essential job duties of the position. The Company is fully committed to upholding the Americans with Disabilities Act (ADA) and any amendments or laws related thereto. In compliance with the ADA, the Company does not discriminate against qualified</w:t>
      </w:r>
    </w:p>
    <w:p>
      <w:pPr>
        <w:spacing w:after="200"/>
        <w:jc w:val="both"/>
      </w:pPr>
      <w:r>
        <w:rPr>
          <w:rFonts w:ascii="Calibri" w:cs="Calibri" w:eastAsia="Calibri" w:hAnsi="Calibri"/>
          <w:color w:val="262626"/>
          <w:sz w:val="22"/>
          <w:szCs w:val="22"/>
        </w:rPr>
        <w:t xml:space="preserve">individuals in recruitment, hiring, promotions, training, pay, social activities, and other privileges of employment. The Company also does not ask prohibited questions related to an applicant's disability prior to making a job offer.</w:t>
      </w:r>
    </w:p>
    <w:p>
      <w:pPr>
        <w:spacing w:after="200"/>
        <w:jc w:val="both"/>
      </w:pPr>
      <w:r>
        <w:rPr>
          <w:rFonts w:ascii="Calibri" w:cs="Calibri" w:eastAsia="Calibri" w:hAnsi="Calibri"/>
          <w:color w:val="262626"/>
          <w:sz w:val="22"/>
          <w:szCs w:val="22"/>
        </w:rPr>
        <w:t xml:space="preserve">The Company provides reasonable accommodations for known physical or mental limitations of qualified individuals that bring their needs to the Company's attention, unless it would cause the Company undue hardship. If you are currently disabled or become disabled while employed, you should notify a Human Resource Manager to discuss any questions you may have and to request disability leave or accommodations that will enable you to perform the essential functions of your job. The Company reserves the right to require that you provide certification from your healthcare provider of your disability and your need for accommodation. If disability leave is necessary, the Company will work with you to determine how to best accommodate your needs while also balancing Company needs.</w:t>
      </w:r>
    </w:p>
    <w:p>
      <w:pPr>
        <w:spacing w:after="200"/>
        <w:jc w:val="both"/>
      </w:pPr>
      <w:r>
        <w:rPr>
          <w:rFonts w:ascii="Calibri" w:cs="Calibri" w:eastAsia="Calibri" w:hAnsi="Calibri"/>
          <w:color w:val="262626"/>
          <w:sz w:val="22"/>
          <w:szCs w:val="22"/>
        </w:rPr>
        <w:t xml:space="preserve">The Genetic Information Nondiscrimination Act of 2008 ("GINA") prohibits employers and other entities covered by GINA Title II from requesting or requiring genetic information of an individual or family member of an individual, except as specifically allowed by this law. To comply with this law, we are asking that you not provide any genetic information when responding to requests for medical information/certification. "Genetic Information" as defined by GINA, includes an individual's family medical history, the results of an individual's or family member's genetic tests, the fact that an individual or an individual's family member sought or received genetic services, and genetic information of a fetus carried by an individual or an individual's family member or an embryo lawfully held by an individual or family member receiving assistive reproductive services. If you believe you have been discriminated against under the ADA or ADAAA, you must bring your concern directly to your immediate supervisor or upper level management, if appropriate. If there is a determination that discrimination has occurred, appropriate remedial action will be taken. You will not be retaliated against for filing a good-faith complaint. Issues involving the ADA and ADAAA will be kept as confidential as possible under the circumstances.</w:t>
      </w:r>
    </w:p>
    <w:p>
      <w:pPr>
        <w:pStyle w:val="Heading2"/>
        <w:spacing w:after="120" w:before="260"/>
      </w:pPr>
      <w:r>
        <w:rPr>
          <w:rFonts w:ascii="Cambria" w:cs="Cambria" w:eastAsia="Cambria" w:hAnsi="Cambria"/>
          <w:b/>
          <w:bCs/>
          <w:color w:val="1F3864"/>
          <w:sz w:val="24"/>
          <w:szCs w:val="24"/>
        </w:rPr>
        <w:t xml:space="preserve">4.4 Anti-Harassment Policy</w:t>
      </w:r>
    </w:p>
    <w:p>
      <w:pPr>
        <w:spacing w:after="200"/>
        <w:jc w:val="both"/>
      </w:pPr>
      <w:r>
        <w:rPr>
          <w:rFonts w:ascii="Calibri" w:cs="Calibri" w:eastAsia="Calibri" w:hAnsi="Calibri"/>
          <w:color w:val="262626"/>
          <w:sz w:val="22"/>
          <w:szCs w:val="22"/>
        </w:rPr>
        <w:t xml:space="preserve">The Company aims to create a work environment free of harassment wherein employees treat each other with respect and courtesy. Therefore, the Company prohibits its employees from engaging in unlawful harassment against individuals on the basis of race, color, creed, national origin, religion, gender, sexual orientation, pregnancy, genetic information, age, physical or mental disability, veteran status, marital status, or any other protected classification under federal, state, or local law. Conduct considered harassment is defined below. This policy applies in all work settings, whether or not occurring on Company property, and to all aspects of the employment relationship, including hiring, recruiting, placement, transfer, promotion, compensation, discipline, termination, layoff, recall, training, and leaves of absence. It also applies to all applicants for hire and</w:t>
      </w:r>
    </w:p>
    <w:p>
      <w:pPr>
        <w:spacing w:after="200"/>
        <w:jc w:val="both"/>
      </w:pPr>
      <w:r>
        <w:rPr>
          <w:rFonts w:ascii="Calibri" w:cs="Calibri" w:eastAsia="Calibri" w:hAnsi="Calibri"/>
          <w:color w:val="262626"/>
          <w:sz w:val="22"/>
          <w:szCs w:val="22"/>
        </w:rPr>
        <w:t xml:space="preserve">employees, whether or not the conduct is directed at a fellow employee or to an outside party, such as an independent contractor, vendor, supplier, customer, or any other party that conducts business with the Company. Furthermore, the Company aims to protect its employees from workplace harassment by nonemployees and will take appropriate steps to remedy any such harassment.</w:t>
      </w:r>
    </w:p>
    <w:p>
      <w:pPr>
        <w:spacing w:after="200"/>
        <w:jc w:val="both"/>
      </w:pPr>
      <w:r>
        <w:rPr>
          <w:rFonts w:ascii="Calibri" w:cs="Calibri" w:eastAsia="Calibri" w:hAnsi="Calibri"/>
          <w:color w:val="262626"/>
          <w:sz w:val="22"/>
          <w:szCs w:val="22"/>
        </w:rPr>
        <w:t xml:space="preserve">Employees violating this policy are subject to discipline, including possible termination.</w:t>
      </w:r>
    </w:p>
    <w:p>
      <w:pPr>
        <w:spacing w:after="200"/>
        <w:jc w:val="both"/>
      </w:pPr>
      <w:r>
        <w:rPr>
          <w:rFonts w:ascii="Calibri" w:cs="Calibri" w:eastAsia="Calibri" w:hAnsi="Calibri"/>
          <w:color w:val="262626"/>
          <w:sz w:val="22"/>
          <w:szCs w:val="22"/>
        </w:rPr>
        <w:t xml:space="preserve">Instances of harassment are serious matters, and all employees must make every effort to uphold and support the Company's anti-harassment policy. This includes reporting all instances of harassment to a Company manager. It is the Company's policy to promptly investigate any reported instance in a thorough manner. The Company forbids any retaliation against those who report or investigate harassment.</w:t>
      </w:r>
    </w:p>
    <w:p>
      <w:pPr>
        <w:spacing w:after="120" w:before="220"/>
      </w:pPr>
      <w:r>
        <w:rPr>
          <w:rFonts w:ascii="Cambria" w:cs="Cambria" w:eastAsia="Cambria" w:hAnsi="Cambria"/>
          <w:b/>
          <w:bCs/>
          <w:color w:val="1F3864"/>
          <w:sz w:val="22"/>
          <w:szCs w:val="22"/>
        </w:rPr>
        <w:t xml:space="preserve">Harassment Defined</w:t>
      </w:r>
    </w:p>
    <w:p>
      <w:pPr>
        <w:spacing w:after="200"/>
        <w:jc w:val="both"/>
      </w:pPr>
      <w:r>
        <w:rPr>
          <w:rFonts w:ascii="Calibri" w:cs="Calibri" w:eastAsia="Calibri" w:hAnsi="Calibri"/>
          <w:color w:val="262626"/>
          <w:sz w:val="22"/>
          <w:szCs w:val="22"/>
        </w:rPr>
        <w:t xml:space="preserve">Harassment on the basis of any other protected characteristic is also strictly prohibited. Under this policy, harassment is defined as verbal, written, or physical conduct that denigrates or shows hostility or aversion toward an individual because of his/her race, color, religion, gender, sexual orientation, national origin, age, disability, marital status, citizenship, genetic information, or any other characteristic protected by law or that of his/her relatives, friends, or associates, and that a) has the purpose or effect of creating an intimidating, hostile, or offensive work environment; b) has the purpose or effect of unreasonably interfering with an individual's work performance; or c) otherwise adversely affects an individual's employment opportunities.</w:t>
      </w:r>
    </w:p>
    <w:p>
      <w:pPr>
        <w:spacing w:after="200"/>
        <w:jc w:val="both"/>
      </w:pPr>
      <w:r>
        <w:rPr>
          <w:rFonts w:ascii="Calibri" w:cs="Calibri" w:eastAsia="Calibri" w:hAnsi="Calibri"/>
          <w:color w:val="262626"/>
          <w:sz w:val="22"/>
          <w:szCs w:val="22"/>
        </w:rPr>
        <w:t xml:space="preserve">Harassment includes, but is not limited to, verbal abuse, epithets, slurs, or negative stereotyping; humiliating behaviors, threatening, intimidating, or hostile acts; denigrating jokes; and written or graphic material that denigrates or shows hostility or aversion toward an individual or group and that is circulated in a work setting, whether by being posted on Company premises or communicated via e-mail, phone, text messages, online forums, or other means. This policy also extends to behaviors that may constitute bullying in the workplace that are not based on a protected category. The prohibition against harassment applies to employees at every level of the Company including upper management personnel.</w:t>
      </w:r>
    </w:p>
    <w:p>
      <w:pPr>
        <w:spacing w:after="120" w:before="220"/>
      </w:pPr>
      <w:r>
        <w:rPr>
          <w:rFonts w:ascii="Cambria" w:cs="Cambria" w:eastAsia="Cambria" w:hAnsi="Cambria"/>
          <w:b/>
          <w:bCs/>
          <w:color w:val="1F3864"/>
          <w:sz w:val="22"/>
          <w:szCs w:val="22"/>
        </w:rPr>
        <w:t xml:space="preserve">Sexual Harassment Defined</w:t>
      </w:r>
    </w:p>
    <w:p>
      <w:pPr>
        <w:spacing w:after="200"/>
        <w:jc w:val="both"/>
      </w:pPr>
      <w:r>
        <w:rPr>
          <w:rFonts w:ascii="Calibri" w:cs="Calibri" w:eastAsia="Calibri" w:hAnsi="Calibri"/>
          <w:color w:val="262626"/>
          <w:sz w:val="22"/>
          <w:szCs w:val="22"/>
        </w:rPr>
        <w:t xml:space="preserve">Sexual harassment constitutes discrimination and is illegal under federal, state, and local laws. It is the Company’s policy to prohibit harassment of any employee by any supervisor, employee, customer or vendor on the basis of actual or perceived sex or gender. The purpose of this policy is not to regulate personal morality within the Company. It is to ensure that at the Company all employees are free from sexual harassment. The</w:t>
      </w:r>
    </w:p>
    <w:p>
      <w:pPr>
        <w:spacing w:after="200"/>
        <w:jc w:val="both"/>
      </w:pPr>
      <w:r>
        <w:rPr>
          <w:rFonts w:ascii="Calibri" w:cs="Calibri" w:eastAsia="Calibri" w:hAnsi="Calibri"/>
          <w:color w:val="262626"/>
          <w:sz w:val="22"/>
          <w:szCs w:val="22"/>
        </w:rPr>
        <w:t xml:space="preserve">prohibition against harassment applies to employees at every level of the Company including upper management personnel.</w:t>
      </w:r>
    </w:p>
    <w:p>
      <w:pPr>
        <w:spacing w:after="200"/>
        <w:jc w:val="both"/>
      </w:pPr>
      <w:r>
        <w:rPr>
          <w:rFonts w:ascii="Calibri" w:cs="Calibri" w:eastAsia="Calibri" w:hAnsi="Calibri"/>
          <w:color w:val="262626"/>
          <w:sz w:val="22"/>
          <w:szCs w:val="22"/>
        </w:rPr>
        <w:t xml:space="preserve">For the purposes of this policy, sexual harassment is defined, as in the Equal Employment Opportunity Commission Guidelines, as unwelcome sexual advances, requests for sexual favors and other verbal or physical conduct of a sexual nature, when, for example a) submission to such conduct is made either explicitly or implicitly a term or condition of an individual's employment; b) submission to or rejection of such conduct by an individual is used as the basis for employment decisions affecting such individual; or c) such conduct has the purpose or effect of unreasonably interfering with an individual's work performance or creating an intimidating, hostile, or offensive working environment.</w:t>
      </w:r>
    </w:p>
    <w:p>
      <w:pPr>
        <w:spacing w:after="200"/>
        <w:jc w:val="both"/>
      </w:pPr>
      <w:r>
        <w:rPr>
          <w:rFonts w:ascii="Calibri" w:cs="Calibri" w:eastAsia="Calibri" w:hAnsi="Calibri"/>
          <w:color w:val="262626"/>
          <w:sz w:val="22"/>
          <w:szCs w:val="22"/>
        </w:rPr>
        <w:t xml:space="preserve">Sexual harassment may include a range of subtle and not-so-subtle behaviors and may involve individuals of the same or different gender. Depending on the circumstances, these behaviors may include unwanted sexual advances or requests for sexual favors; sexual jokes and innuendo; verbal abuse of a sexual nature; commentary about an individual's body, sexual prowess, or sexual deficiencies; leering or whistling; repeated uninvited physical contact or touching, such as patting, pinching, or grabbing another's body; insulting or obscene comments or gestures; displays in the workplace of sexually suggestive objects or pictures; and other physical, verbal, written, or visual conduct of a sexual nature regardless of the rank, position, gender, or sexual orientation of those involved. Sexual harassment may occur through transmission using the Company's electronic communications system or through other online conduct. Sex-based harassment, that is, harassment not involving sexual activity or language (e.g., male manager yells only at female employees and not males), may also constitute discrimination if it is severe or pervasive and directed at employees because of their sex.</w:t>
      </w:r>
    </w:p>
    <w:p>
      <w:pPr>
        <w:spacing w:after="120" w:before="220"/>
      </w:pPr>
      <w:r>
        <w:rPr>
          <w:rFonts w:ascii="Cambria" w:cs="Cambria" w:eastAsia="Cambria" w:hAnsi="Cambria"/>
          <w:b/>
          <w:bCs/>
          <w:color w:val="1F3864"/>
          <w:sz w:val="22"/>
          <w:szCs w:val="22"/>
        </w:rPr>
        <w:t xml:space="preserve">Harassment and Discrimination Complaint Procedure</w:t>
      </w:r>
    </w:p>
    <w:p>
      <w:pPr>
        <w:spacing w:after="200"/>
        <w:jc w:val="both"/>
      </w:pPr>
      <w:r>
        <w:rPr>
          <w:rFonts w:ascii="Calibri" w:cs="Calibri" w:eastAsia="Calibri" w:hAnsi="Calibri"/>
          <w:color w:val="262626"/>
          <w:sz w:val="22"/>
          <w:szCs w:val="22"/>
        </w:rPr>
        <w:t xml:space="preserve">In order to maintain a safe and enjoyable work environment, it is imperative that any employee who believes that he or she has been the victim or witness of harassment or discrimination, as prohibited by this policy or law, should immediately report such behavior to a Human Resource Manager. Discrimination or harassment should be reported whether engaged in by an employee, independent contractor, vendor, supplier, customer, or any other party that conducts business with Company.</w:t>
      </w:r>
    </w:p>
    <w:p>
      <w:pPr>
        <w:spacing w:after="200"/>
        <w:jc w:val="both"/>
      </w:pPr>
      <w:r>
        <w:rPr>
          <w:rFonts w:ascii="Calibri" w:cs="Calibri" w:eastAsia="Calibri" w:hAnsi="Calibri"/>
          <w:color w:val="262626"/>
          <w:sz w:val="22"/>
          <w:szCs w:val="22"/>
        </w:rPr>
        <w:t xml:space="preserve">Many times, individuals are not even aware that their behavior is harmful to others. If they feel comfortable doing so, victims and witnesses of harassment or discrimination have the option to first seek to remedy the situation informally by notifying the offending party that his or her actions are not welcome and are believed to constitute a violation of Company policy. If warranted by the situation, this type of open and frank discussion can</w:t>
      </w:r>
    </w:p>
    <w:p>
      <w:pPr>
        <w:spacing w:after="200"/>
        <w:jc w:val="both"/>
      </w:pPr>
      <w:r>
        <w:rPr>
          <w:rFonts w:ascii="Calibri" w:cs="Calibri" w:eastAsia="Calibri" w:hAnsi="Calibri"/>
          <w:color w:val="262626"/>
          <w:sz w:val="22"/>
          <w:szCs w:val="22"/>
        </w:rPr>
        <w:t xml:space="preserve">help resolve problems before they escalate to the point of irreparably harming working relationships. However, victims and witnesses who do not feel comfortable trying to resolve the problem verbally should immediately report the offending behavior to a Human Resource Manager and provide as much of the following information as possible: the alleged harasser(s), alleged victim(s), and any witnesses; the date(s) of the alleged harassment; the location(s) of the alleged harassment; and a description of the alleged harassment.</w:t>
      </w:r>
    </w:p>
    <w:p>
      <w:pPr>
        <w:spacing w:after="200"/>
        <w:jc w:val="both"/>
      </w:pPr>
      <w:r>
        <w:rPr>
          <w:rFonts w:ascii="Calibri" w:cs="Calibri" w:eastAsia="Calibri" w:hAnsi="Calibri"/>
          <w:color w:val="262626"/>
          <w:sz w:val="22"/>
          <w:szCs w:val="22"/>
        </w:rPr>
        <w:t xml:space="preserve">Upon receiving a report of harassment or discrimination, the Company will promptly complete an investigation to determine the merits of the allegations, discover the nature and extent of the improper behavior, and, if necessary, determine the proper corrective action to take, which may include termination. The Company may take any legal steps it believes are necessary in making its investigation, which may include, without limitation, reviewing electronic communications and conducting interviews of any individuals who may have information relevant to the allegations. The Company will make every effort to keep the investigation as confidential as possible under the circumstances while still being as thorough in its efforts as is necessary to do its due diligence. All employees are required to cooperate and be forthcoming in assisting with the Company's investigations, and any employee possessing information that may be helpful should notify a Human Resource Manager.</w:t>
      </w:r>
    </w:p>
    <w:p>
      <w:pPr>
        <w:spacing w:after="200"/>
        <w:jc w:val="both"/>
      </w:pPr>
      <w:r>
        <w:rPr>
          <w:rFonts w:ascii="Calibri" w:cs="Calibri" w:eastAsia="Calibri" w:hAnsi="Calibri"/>
          <w:color w:val="262626"/>
          <w:sz w:val="22"/>
          <w:szCs w:val="22"/>
        </w:rPr>
        <w:t xml:space="preserve">Employees should not refrain from reporting harassment or discrimination or cooperating in investigations for fear of reprisal. Retaliation against those who report or cooperate in investigations is strictly prohibited in any form. Freedom to report and cooperate in investigations is an essential component of enforcing the Company's anti-harassment and discrimination policies. Therefore, employees who report or cooperate in investigations must not receive any ill treatment or disadvantage due to their participation in helping enforce Company policy. Employees who are victims or witnesses of retaliation are encouraged to report retaliation to a Human Resource Manager. Reports of retaliation will be investigated, and corrective action will be taken, according to the same harassment and discrimination procedures outlined above.</w:t>
      </w:r>
    </w:p>
    <w:p>
      <w:pPr>
        <w:spacing w:after="200"/>
        <w:jc w:val="both"/>
      </w:pPr>
      <w:r>
        <w:rPr>
          <w:rFonts w:ascii="Calibri" w:cs="Calibri" w:eastAsia="Calibri" w:hAnsi="Calibri"/>
          <w:color w:val="262626"/>
          <w:sz w:val="22"/>
          <w:szCs w:val="22"/>
        </w:rPr>
        <w:t xml:space="preserve">Similarly, intentionally false or malicious reports of harassment, discrimination, or retaliation that Company becomes aware of will be investigated, and corrective action will be taken, according to the procedures.</w:t>
      </w:r>
    </w:p>
    <w:p>
      <w:pPr>
        <w:spacing w:after="200"/>
        <w:jc w:val="both"/>
      </w:pPr>
      <w:r>
        <w:rPr>
          <w:rFonts w:ascii="Calibri" w:cs="Calibri" w:eastAsia="Calibri" w:hAnsi="Calibri"/>
          <w:color w:val="262626"/>
          <w:sz w:val="22"/>
          <w:szCs w:val="22"/>
        </w:rPr>
        <w:t xml:space="preserve">Victims and alleged offenders who still do not agree with the final resolution of a complaint may seek legal remedy by contacting the state or federal agency responsible for enforcing such matters.</w:t>
      </w:r>
    </w:p>
    <w:p>
      <w:pPr>
        <w:pStyle w:val="Heading2"/>
        <w:spacing w:after="120" w:before="260"/>
      </w:pPr>
      <w:r>
        <w:rPr>
          <w:rFonts w:ascii="Cambria" w:cs="Cambria" w:eastAsia="Cambria" w:hAnsi="Cambria"/>
          <w:b/>
          <w:bCs/>
          <w:color w:val="1F3864"/>
          <w:sz w:val="24"/>
          <w:szCs w:val="24"/>
        </w:rPr>
        <w:t xml:space="preserve">4.5 Standards of Conduct and Discipline</w:t>
      </w:r>
    </w:p>
    <w:p>
      <w:pPr>
        <w:spacing w:after="200"/>
        <w:jc w:val="both"/>
      </w:pPr>
      <w:r>
        <w:rPr>
          <w:rFonts w:ascii="Calibri" w:cs="Calibri" w:eastAsia="Calibri" w:hAnsi="Calibri"/>
          <w:color w:val="262626"/>
          <w:sz w:val="22"/>
          <w:szCs w:val="22"/>
        </w:rPr>
        <w:t xml:space="preserve">All employees are responsible for knowing and abiding by Company rules and policies. The Company prides itself on its ability to meet high standards of ethical and personal conduct throughout its operations. Therefore, you are expected to maintain the highest ethical standards and perform your duties in good faith and to the best of your abilities at all times when engaged in Company business.</w:t>
      </w:r>
    </w:p>
    <w:p>
      <w:pPr>
        <w:spacing w:after="200"/>
        <w:jc w:val="both"/>
      </w:pPr>
      <w:r>
        <w:rPr>
          <w:rFonts w:ascii="Calibri" w:cs="Calibri" w:eastAsia="Calibri" w:hAnsi="Calibri"/>
          <w:color w:val="262626"/>
          <w:sz w:val="22"/>
          <w:szCs w:val="22"/>
        </w:rPr>
        <w:t xml:space="preserve">Where warranted under the circumstances, the Company will seek to use progressive discipline to correct, improve upon, and prevent future recurrences of conduct falling below our standards. At the Company's discretion, progressive discipline may proceed along the following line: verbal warning, written warning, conduct evaluation period, suspension with or without pay, demotion, reassignment, and termination. A conduct evaluation period, if instituted for an employee, will be a set period not to exceed ninety (90) days in which the employee will receive counseling and monitoring by a supervisor with the aim of targeting possible causes and correcting the poor performance. Depending upon the employee's performance during the conduct evaluation period, further discipline or corrective action may occur at the end of the period, including termination.</w:t>
      </w:r>
    </w:p>
    <w:p>
      <w:pPr>
        <w:spacing w:after="200"/>
        <w:jc w:val="both"/>
      </w:pPr>
      <w:r>
        <w:rPr>
          <w:rFonts w:ascii="Calibri" w:cs="Calibri" w:eastAsia="Calibri" w:hAnsi="Calibri"/>
          <w:color w:val="262626"/>
          <w:sz w:val="22"/>
          <w:szCs w:val="22"/>
        </w:rPr>
        <w:t xml:space="preserve">The Company reserves the right to combine, skip, or reorder any steps in the process depending upon the nature of the offenses and the circumstances. Note that this means that the Company has the right to immediately terminate an employee without warning or the use of progressive discipline should the circumstances call for such action. When determining the appropriate discipline for a given instance the Company may consider, at its discretion, any of the following factors, without limitation: the employee's prior history of poor conduct with the Company, the employee's work record and level of commitment to Company goals, the number of repeated instances of the particular offense, the amount of counseling and/or training received in order to prevent such offenses, the impact the offense has on the Company's performance or perception in the marketplace, and the level of egregiousness and purposeful intention to violate Company policy. Note that supervisors and others who fail to report violations or who withhold relevant information concerning a policy violation will be disciplined as is warranted under the circumstances.</w:t>
      </w:r>
    </w:p>
    <w:p>
      <w:pPr>
        <w:spacing w:after="200"/>
        <w:jc w:val="both"/>
      </w:pPr>
      <w:r>
        <w:rPr>
          <w:rFonts w:ascii="Calibri" w:cs="Calibri" w:eastAsia="Calibri" w:hAnsi="Calibri"/>
          <w:color w:val="262626"/>
          <w:sz w:val="22"/>
          <w:szCs w:val="22"/>
        </w:rPr>
        <w:t xml:space="preserve">At the Company's discretion, Employees may be disciplined or terminated for violating any Company policy or rule. Misconduct can take many forms, and it is impossible for us to provide you with a comprehensive list of prohibited behaviors. Therefore, the list below is only illustrative and is intended to give you notice of some of the Company's general expectations concerning standards of conduct; the Company may always discipline or terminate employees for engaging in any conduct it deems inappropriate. Employees are expected to use good judgment in all their actions and to consult their supervisors or a Human Resource Manager if there is any doubt as to whether their intended conduct falls below Company standards.</w:t>
      </w:r>
    </w:p>
    <w:p>
      <w:pPr>
        <w:spacing w:after="200"/>
        <w:jc w:val="both"/>
      </w:pPr>
      <w:r>
        <w:rPr>
          <w:rFonts w:ascii="Calibri" w:cs="Calibri" w:eastAsia="Calibri" w:hAnsi="Calibri"/>
          <w:color w:val="262626"/>
          <w:sz w:val="22"/>
          <w:szCs w:val="22"/>
        </w:rPr>
        <w:t xml:space="preserve">Examples of misconduct that may result in discipline or termination include, but are not limited to, the following:</w:t>
      </w:r>
    </w:p>
    <w:p>
      <w:pPr>
        <w:pStyle w:val="ListParagraph"/>
        <w:numPr>
          <w:ilvl w:val="0"/>
          <w:numId w:val="1"/>
        </w:numPr>
        <w:spacing w:after="100"/>
        <w:jc w:val="both"/>
      </w:pPr>
      <w:r>
        <w:rPr>
          <w:rFonts w:ascii="Calibri" w:cs="Calibri" w:eastAsia="Calibri" w:hAnsi="Calibri"/>
          <w:color w:val="262626"/>
          <w:sz w:val="22"/>
          <w:szCs w:val="22"/>
        </w:rPr>
        <w:t xml:space="preserve">Obtaining employment on the bias of false or misleading information.</w:t>
      </w:r>
    </w:p>
    <w:p>
      <w:pPr>
        <w:pStyle w:val="ListParagraph"/>
        <w:numPr>
          <w:ilvl w:val="0"/>
          <w:numId w:val="1"/>
        </w:numPr>
        <w:spacing w:after="100"/>
        <w:jc w:val="both"/>
      </w:pPr>
      <w:r>
        <w:rPr>
          <w:rFonts w:ascii="Calibri" w:cs="Calibri" w:eastAsia="Calibri" w:hAnsi="Calibri"/>
          <w:color w:val="262626"/>
          <w:sz w:val="22"/>
          <w:szCs w:val="22"/>
        </w:rPr>
        <w:t xml:space="preserve">Unsatisfactory job performance, including poor quality or quantity of work.</w:t>
      </w:r>
    </w:p>
    <w:p>
      <w:pPr>
        <w:pStyle w:val="ListParagraph"/>
        <w:numPr>
          <w:ilvl w:val="0"/>
          <w:numId w:val="1"/>
        </w:numPr>
        <w:spacing w:after="100"/>
        <w:jc w:val="both"/>
      </w:pPr>
      <w:r>
        <w:rPr>
          <w:rFonts w:ascii="Calibri" w:cs="Calibri" w:eastAsia="Calibri" w:hAnsi="Calibri"/>
          <w:color w:val="262626"/>
          <w:sz w:val="22"/>
          <w:szCs w:val="22"/>
        </w:rPr>
        <w:t xml:space="preserve">Engaging in insubordination or disobedience to the legitimate orders of a supervisor.</w:t>
      </w:r>
    </w:p>
    <w:p>
      <w:pPr>
        <w:pStyle w:val="ListParagraph"/>
        <w:numPr>
          <w:ilvl w:val="0"/>
          <w:numId w:val="1"/>
        </w:numPr>
        <w:spacing w:after="100"/>
        <w:jc w:val="both"/>
      </w:pPr>
      <w:r>
        <w:rPr>
          <w:rFonts w:ascii="Calibri" w:cs="Calibri" w:eastAsia="Calibri" w:hAnsi="Calibri"/>
          <w:color w:val="262626"/>
          <w:sz w:val="22"/>
          <w:szCs w:val="22"/>
        </w:rPr>
        <w:t xml:space="preserve">Failure to perform assigned job duties.</w:t>
      </w:r>
    </w:p>
    <w:p>
      <w:pPr>
        <w:pStyle w:val="ListParagraph"/>
        <w:numPr>
          <w:ilvl w:val="0"/>
          <w:numId w:val="1"/>
        </w:numPr>
        <w:spacing w:after="100"/>
        <w:jc w:val="both"/>
      </w:pPr>
      <w:r>
        <w:rPr>
          <w:rFonts w:ascii="Calibri" w:cs="Calibri" w:eastAsia="Calibri" w:hAnsi="Calibri"/>
          <w:color w:val="262626"/>
          <w:sz w:val="22"/>
          <w:szCs w:val="22"/>
        </w:rPr>
        <w:t xml:space="preserve">Repeatedly arriving tardy or starting work late.</w:t>
      </w:r>
    </w:p>
    <w:p>
      <w:pPr>
        <w:pStyle w:val="ListParagraph"/>
        <w:numPr>
          <w:ilvl w:val="0"/>
          <w:numId w:val="1"/>
        </w:numPr>
        <w:spacing w:after="100"/>
        <w:jc w:val="both"/>
      </w:pPr>
      <w:r>
        <w:rPr>
          <w:rFonts w:ascii="Calibri" w:cs="Calibri" w:eastAsia="Calibri" w:hAnsi="Calibri"/>
          <w:color w:val="262626"/>
          <w:sz w:val="22"/>
          <w:szCs w:val="22"/>
        </w:rPr>
        <w:t xml:space="preserve">Repeated unexcused absences or other violation of the Attendance Policy.</w:t>
      </w:r>
    </w:p>
    <w:p>
      <w:pPr>
        <w:pStyle w:val="ListParagraph"/>
        <w:numPr>
          <w:ilvl w:val="0"/>
          <w:numId w:val="1"/>
        </w:numPr>
        <w:spacing w:after="100"/>
        <w:jc w:val="both"/>
      </w:pPr>
      <w:r>
        <w:rPr>
          <w:rFonts w:ascii="Calibri" w:cs="Calibri" w:eastAsia="Calibri" w:hAnsi="Calibri"/>
          <w:color w:val="262626"/>
          <w:sz w:val="22"/>
          <w:szCs w:val="22"/>
        </w:rPr>
        <w:t xml:space="preserve">Falsifying time records or failure to accurately record time worked, including time records for another employee.</w:t>
      </w:r>
    </w:p>
    <w:p>
      <w:pPr>
        <w:pStyle w:val="ListParagraph"/>
        <w:numPr>
          <w:ilvl w:val="0"/>
          <w:numId w:val="1"/>
        </w:numPr>
        <w:spacing w:after="100"/>
        <w:jc w:val="both"/>
      </w:pPr>
      <w:r>
        <w:rPr>
          <w:rFonts w:ascii="Calibri" w:cs="Calibri" w:eastAsia="Calibri" w:hAnsi="Calibri"/>
          <w:color w:val="262626"/>
          <w:sz w:val="22"/>
          <w:szCs w:val="22"/>
        </w:rPr>
        <w:t xml:space="preserve">Dishonest behavior.</w:t>
      </w:r>
    </w:p>
    <w:p>
      <w:pPr>
        <w:pStyle w:val="ListParagraph"/>
        <w:numPr>
          <w:ilvl w:val="0"/>
          <w:numId w:val="1"/>
        </w:numPr>
        <w:spacing w:after="100"/>
        <w:jc w:val="both"/>
      </w:pPr>
      <w:r>
        <w:rPr>
          <w:rFonts w:ascii="Calibri" w:cs="Calibri" w:eastAsia="Calibri" w:hAnsi="Calibri"/>
          <w:color w:val="262626"/>
          <w:sz w:val="22"/>
          <w:szCs w:val="22"/>
        </w:rPr>
        <w:t xml:space="preserve">Violation of the Anti-Harassment Policy.</w:t>
      </w:r>
    </w:p>
    <w:p>
      <w:pPr>
        <w:pStyle w:val="ListParagraph"/>
        <w:numPr>
          <w:ilvl w:val="0"/>
          <w:numId w:val="1"/>
        </w:numPr>
        <w:spacing w:after="100"/>
        <w:jc w:val="both"/>
      </w:pPr>
      <w:r>
        <w:rPr>
          <w:rFonts w:ascii="Calibri" w:cs="Calibri" w:eastAsia="Calibri" w:hAnsi="Calibri"/>
          <w:color w:val="262626"/>
          <w:sz w:val="22"/>
          <w:szCs w:val="22"/>
        </w:rPr>
        <w:t xml:space="preserve">Disorderly conduct, fighting, threatening or disrupting the work of others or violations of the Workplace Violence Policy.</w:t>
      </w:r>
    </w:p>
    <w:p>
      <w:pPr>
        <w:pStyle w:val="ListParagraph"/>
        <w:numPr>
          <w:ilvl w:val="0"/>
          <w:numId w:val="1"/>
        </w:numPr>
        <w:spacing w:after="100"/>
        <w:jc w:val="both"/>
      </w:pPr>
      <w:r>
        <w:rPr>
          <w:rFonts w:ascii="Calibri" w:cs="Calibri" w:eastAsia="Calibri" w:hAnsi="Calibri"/>
          <w:color w:val="262626"/>
          <w:sz w:val="22"/>
          <w:szCs w:val="22"/>
        </w:rPr>
        <w:t xml:space="preserve">Violating Company procedures or instructions.</w:t>
      </w:r>
    </w:p>
    <w:p>
      <w:pPr>
        <w:pStyle w:val="ListParagraph"/>
        <w:numPr>
          <w:ilvl w:val="0"/>
          <w:numId w:val="1"/>
        </w:numPr>
        <w:spacing w:after="100"/>
        <w:jc w:val="both"/>
      </w:pPr>
      <w:r>
        <w:rPr>
          <w:rFonts w:ascii="Calibri" w:cs="Calibri" w:eastAsia="Calibri" w:hAnsi="Calibri"/>
          <w:color w:val="262626"/>
          <w:sz w:val="22"/>
          <w:szCs w:val="22"/>
        </w:rPr>
        <w:t xml:space="preserve">Gambling on Company property.</w:t>
      </w:r>
    </w:p>
    <w:p>
      <w:pPr>
        <w:pStyle w:val="ListParagraph"/>
        <w:numPr>
          <w:ilvl w:val="0"/>
          <w:numId w:val="1"/>
        </w:numPr>
        <w:spacing w:after="100"/>
        <w:jc w:val="both"/>
      </w:pPr>
      <w:r>
        <w:rPr>
          <w:rFonts w:ascii="Calibri" w:cs="Calibri" w:eastAsia="Calibri" w:hAnsi="Calibri"/>
          <w:color w:val="262626"/>
          <w:sz w:val="22"/>
          <w:szCs w:val="22"/>
        </w:rPr>
        <w:t xml:space="preserve">Performing work of a personal nature during working time.</w:t>
      </w:r>
    </w:p>
    <w:p>
      <w:pPr>
        <w:pStyle w:val="ListParagraph"/>
        <w:numPr>
          <w:ilvl w:val="0"/>
          <w:numId w:val="1"/>
        </w:numPr>
        <w:spacing w:after="100"/>
        <w:jc w:val="both"/>
      </w:pPr>
      <w:r>
        <w:rPr>
          <w:rFonts w:ascii="Calibri" w:cs="Calibri" w:eastAsia="Calibri" w:hAnsi="Calibri"/>
          <w:color w:val="262626"/>
          <w:sz w:val="22"/>
          <w:szCs w:val="22"/>
        </w:rPr>
        <w:t xml:space="preserve">Violation of the Equal Employment Opportunity Policies.</w:t>
      </w:r>
    </w:p>
    <w:p>
      <w:pPr>
        <w:pStyle w:val="ListParagraph"/>
        <w:numPr>
          <w:ilvl w:val="0"/>
          <w:numId w:val="1"/>
        </w:numPr>
        <w:spacing w:after="100"/>
        <w:jc w:val="both"/>
      </w:pPr>
      <w:r>
        <w:rPr>
          <w:rFonts w:ascii="Calibri" w:cs="Calibri" w:eastAsia="Calibri" w:hAnsi="Calibri"/>
          <w:color w:val="262626"/>
          <w:sz w:val="22"/>
          <w:szCs w:val="22"/>
        </w:rPr>
        <w:t xml:space="preserve">Violation of the Computer and Electronic Communication Policy.</w:t>
      </w:r>
    </w:p>
    <w:p>
      <w:pPr>
        <w:pStyle w:val="ListParagraph"/>
        <w:numPr>
          <w:ilvl w:val="0"/>
          <w:numId w:val="1"/>
        </w:numPr>
        <w:spacing w:after="100"/>
        <w:jc w:val="both"/>
      </w:pPr>
      <w:r>
        <w:rPr>
          <w:rFonts w:ascii="Calibri" w:cs="Calibri" w:eastAsia="Calibri" w:hAnsi="Calibri"/>
          <w:color w:val="262626"/>
          <w:sz w:val="22"/>
          <w:szCs w:val="22"/>
        </w:rPr>
        <w:t xml:space="preserve">Failure to abide by health or safety regulations.</w:t>
      </w:r>
    </w:p>
    <w:p>
      <w:pPr>
        <w:pStyle w:val="ListParagraph"/>
        <w:numPr>
          <w:ilvl w:val="0"/>
          <w:numId w:val="1"/>
        </w:numPr>
        <w:spacing w:after="100"/>
        <w:jc w:val="both"/>
      </w:pPr>
      <w:r>
        <w:rPr>
          <w:rFonts w:ascii="Calibri" w:cs="Calibri" w:eastAsia="Calibri" w:hAnsi="Calibri"/>
          <w:color w:val="262626"/>
          <w:sz w:val="22"/>
          <w:szCs w:val="22"/>
        </w:rPr>
        <w:t xml:space="preserve">Intentionally falsifying Company documents, including Company records and documents provided by the employee during the hiring process.</w:t>
      </w:r>
    </w:p>
    <w:p>
      <w:pPr>
        <w:pStyle w:val="ListParagraph"/>
        <w:numPr>
          <w:ilvl w:val="0"/>
          <w:numId w:val="1"/>
        </w:numPr>
        <w:spacing w:after="100"/>
        <w:jc w:val="both"/>
      </w:pPr>
      <w:r>
        <w:rPr>
          <w:rFonts w:ascii="Calibri" w:cs="Calibri" w:eastAsia="Calibri" w:hAnsi="Calibri"/>
          <w:color w:val="262626"/>
          <w:sz w:val="22"/>
          <w:szCs w:val="22"/>
        </w:rPr>
        <w:t xml:space="preserve">Rudeness or unprofessional behavior toward a customer or anyone in contact with the company.</w:t>
      </w:r>
    </w:p>
    <w:p>
      <w:pPr>
        <w:pStyle w:val="ListParagraph"/>
        <w:numPr>
          <w:ilvl w:val="0"/>
          <w:numId w:val="1"/>
        </w:numPr>
        <w:spacing w:after="100"/>
        <w:jc w:val="both"/>
      </w:pPr>
      <w:r>
        <w:rPr>
          <w:rFonts w:ascii="Calibri" w:cs="Calibri" w:eastAsia="Calibri" w:hAnsi="Calibri"/>
          <w:color w:val="262626"/>
          <w:sz w:val="22"/>
          <w:szCs w:val="22"/>
        </w:rPr>
        <w:t xml:space="preserve">Excessive use of obscene, profane, or abusive language.</w:t>
      </w:r>
    </w:p>
    <w:p>
      <w:pPr>
        <w:pStyle w:val="ListParagraph"/>
        <w:numPr>
          <w:ilvl w:val="0"/>
          <w:numId w:val="1"/>
        </w:numPr>
        <w:spacing w:after="100"/>
        <w:jc w:val="both"/>
      </w:pPr>
      <w:r>
        <w:rPr>
          <w:rFonts w:ascii="Calibri" w:cs="Calibri" w:eastAsia="Calibri" w:hAnsi="Calibri"/>
          <w:color w:val="262626"/>
          <w:sz w:val="22"/>
          <w:szCs w:val="22"/>
        </w:rPr>
        <w:t xml:space="preserve">Misusing Company property, including using property without authorization; using Company property improperly; or damaging, destroying, or stealing property.</w:t>
      </w:r>
    </w:p>
    <w:p>
      <w:pPr>
        <w:pStyle w:val="ListParagraph"/>
        <w:numPr>
          <w:ilvl w:val="0"/>
          <w:numId w:val="1"/>
        </w:numPr>
        <w:spacing w:after="100"/>
        <w:jc w:val="both"/>
      </w:pPr>
      <w:r>
        <w:rPr>
          <w:rFonts w:ascii="Calibri" w:cs="Calibri" w:eastAsia="Calibri" w:hAnsi="Calibri"/>
          <w:color w:val="262626"/>
          <w:sz w:val="22"/>
          <w:szCs w:val="22"/>
        </w:rPr>
        <w:t xml:space="preserve">Possession or use of illegal drugs, alcohol, or controlled substances without a valid prescription on Company property or while engaged in Company business.</w:t>
      </w:r>
    </w:p>
    <w:p>
      <w:pPr>
        <w:pStyle w:val="ListParagraph"/>
        <w:numPr>
          <w:ilvl w:val="0"/>
          <w:numId w:val="1"/>
        </w:numPr>
        <w:spacing w:after="100"/>
        <w:jc w:val="both"/>
      </w:pPr>
      <w:r>
        <w:rPr>
          <w:rFonts w:ascii="Calibri" w:cs="Calibri" w:eastAsia="Calibri" w:hAnsi="Calibri"/>
          <w:color w:val="262626"/>
          <w:sz w:val="22"/>
          <w:szCs w:val="22"/>
        </w:rPr>
        <w:t xml:space="preserve">Failure to disclose conflicts of interests.</w:t>
      </w:r>
    </w:p>
    <w:p>
      <w:pPr>
        <w:pStyle w:val="ListParagraph"/>
        <w:numPr>
          <w:ilvl w:val="0"/>
          <w:numId w:val="1"/>
        </w:numPr>
        <w:spacing w:after="100"/>
        <w:jc w:val="both"/>
      </w:pPr>
      <w:r>
        <w:rPr>
          <w:rFonts w:ascii="Calibri" w:cs="Calibri" w:eastAsia="Calibri" w:hAnsi="Calibri"/>
          <w:color w:val="262626"/>
          <w:sz w:val="22"/>
          <w:szCs w:val="22"/>
        </w:rPr>
        <w:t xml:space="preserve">Unauthorized use or disclosure of Company's confidential information.</w:t>
      </w:r>
    </w:p>
    <w:p>
      <w:pPr>
        <w:pStyle w:val="ListParagraph"/>
        <w:numPr>
          <w:ilvl w:val="0"/>
          <w:numId w:val="1"/>
        </w:numPr>
        <w:spacing w:after="100"/>
        <w:jc w:val="both"/>
      </w:pPr>
      <w:r>
        <w:rPr>
          <w:rFonts w:ascii="Calibri" w:cs="Calibri" w:eastAsia="Calibri" w:hAnsi="Calibri"/>
          <w:color w:val="262626"/>
          <w:sz w:val="22"/>
          <w:szCs w:val="22"/>
        </w:rPr>
        <w:t xml:space="preserve">Conviction of a crime that indicates you are unfit to work for the Company or represents a potential threat to Company personnel or operations.</w:t>
      </w:r>
    </w:p>
    <w:p>
      <w:pPr>
        <w:pStyle w:val="ListParagraph"/>
        <w:numPr>
          <w:ilvl w:val="0"/>
          <w:numId w:val="1"/>
        </w:numPr>
        <w:spacing w:after="100"/>
        <w:jc w:val="both"/>
      </w:pPr>
      <w:r>
        <w:rPr>
          <w:rFonts w:ascii="Calibri" w:cs="Calibri" w:eastAsia="Calibri" w:hAnsi="Calibri"/>
          <w:color w:val="262626"/>
          <w:sz w:val="22"/>
          <w:szCs w:val="22"/>
        </w:rPr>
        <w:t xml:space="preserve">Violating applicable laws or regulations in performing your duties.</w:t>
      </w:r>
    </w:p>
    <w:p>
      <w:pPr>
        <w:pStyle w:val="ListParagraph"/>
        <w:numPr>
          <w:ilvl w:val="0"/>
          <w:numId w:val="1"/>
        </w:numPr>
        <w:spacing w:after="100"/>
        <w:jc w:val="both"/>
      </w:pPr>
      <w:r>
        <w:rPr>
          <w:rFonts w:ascii="Calibri" w:cs="Calibri" w:eastAsia="Calibri" w:hAnsi="Calibri"/>
          <w:color w:val="262626"/>
          <w:sz w:val="22"/>
          <w:szCs w:val="22"/>
        </w:rPr>
        <w:t xml:space="preserve">Violating any other Company policy or rule.</w:t>
      </w:r>
    </w:p>
    <w:p>
      <w:pPr>
        <w:pStyle w:val="Heading2"/>
        <w:spacing w:after="120" w:before="260"/>
      </w:pPr>
      <w:r>
        <w:rPr>
          <w:rFonts w:ascii="Cambria" w:cs="Cambria" w:eastAsia="Cambria" w:hAnsi="Cambria"/>
          <w:b/>
          <w:bCs/>
          <w:color w:val="1F3864"/>
          <w:sz w:val="24"/>
          <w:szCs w:val="24"/>
        </w:rPr>
        <w:t xml:space="preserve">4.6 Giving and Accepting Gifts</w:t>
      </w:r>
    </w:p>
    <w:p>
      <w:pPr>
        <w:spacing w:after="200"/>
        <w:jc w:val="both"/>
      </w:pPr>
      <w:r>
        <w:rPr>
          <w:rFonts w:ascii="Calibri" w:cs="Calibri" w:eastAsia="Calibri" w:hAnsi="Calibri"/>
          <w:color w:val="262626"/>
          <w:sz w:val="22"/>
          <w:szCs w:val="22"/>
        </w:rPr>
        <w:t xml:space="preserve">You may not give or accept gifts, services, entertainment, or favors, from a Company competitor, client, customer, supplier, government entity, or other organization in connection with your relationship with the Company outside of your regular employment benefits from the Company.</w:t>
      </w:r>
    </w:p>
    <w:p>
      <w:pPr>
        <w:spacing w:after="200"/>
        <w:jc w:val="both"/>
      </w:pPr>
      <w:r>
        <w:rPr>
          <w:rFonts w:ascii="Calibri" w:cs="Calibri" w:eastAsia="Calibri" w:hAnsi="Calibri"/>
          <w:color w:val="262626"/>
          <w:sz w:val="22"/>
          <w:szCs w:val="22"/>
        </w:rPr>
        <w:t xml:space="preserve">However, you may receive gifts that are lawful, customary, of nominal value, and authorized in advance. For example, you may accept meals and refreshments of nominal value given in connection with business activities. When in doubt, consult a Human Resource Manager, and notify a member of management if you do receive a gift of more than nominal value.</w:t>
      </w:r>
    </w:p>
    <w:p>
      <w:pPr>
        <w:pStyle w:val="Heading2"/>
        <w:spacing w:after="120" w:before="260"/>
      </w:pPr>
      <w:r>
        <w:rPr>
          <w:rFonts w:ascii="Cambria" w:cs="Cambria" w:eastAsia="Cambria" w:hAnsi="Cambria"/>
          <w:b/>
          <w:bCs/>
          <w:color w:val="1F3864"/>
          <w:sz w:val="24"/>
          <w:szCs w:val="24"/>
        </w:rPr>
        <w:t xml:space="preserve">4.7 Internal Promotions and Transfers</w:t>
      </w:r>
    </w:p>
    <w:p>
      <w:pPr>
        <w:spacing w:after="200"/>
        <w:jc w:val="both"/>
      </w:pPr>
      <w:r>
        <w:rPr>
          <w:rFonts w:ascii="Calibri" w:cs="Calibri" w:eastAsia="Calibri" w:hAnsi="Calibri"/>
          <w:color w:val="262626"/>
          <w:sz w:val="22"/>
          <w:szCs w:val="22"/>
        </w:rPr>
        <w:t xml:space="preserve">[Company Name] is committed to providing employees with opportunities for advancement and cross-training. To that end, when positions become available, internal employees are encouraged to apply for those positions and, in most cases, will be given priority consideration. Of course, candidates for internal promotion or lateral transfer will be evaluated on their skills and suitability for the position. While tenure if not a qualification for promotion or lateral transfer, internal candidates should have at least six (6) months of continuous service prior to applying for a new position. This allows candidates to become familiar with the Company, our policies, and our people, prior to acclimating to a new position.</w:t>
      </w:r>
    </w:p>
    <w:p>
      <w:pPr>
        <w:spacing w:after="200"/>
        <w:jc w:val="both"/>
      </w:pPr>
      <w:r>
        <w:rPr>
          <w:rFonts w:ascii="Calibri" w:cs="Calibri" w:eastAsia="Calibri" w:hAnsi="Calibri"/>
          <w:color w:val="262626"/>
          <w:sz w:val="22"/>
          <w:szCs w:val="22"/>
        </w:rPr>
        <w:t xml:space="preserve">Occasionally, circumstances may dictate that we deviate from this policy and allow an employee to apply for a new position, whether lateral or a promotion, prior to meeting the length of service requirements. When this occurs, it is likely due to the candidate’s outstanding performance and fit for the position. Also, there will be times when the company elects to hire from the outside. This is not because we do not value our employees. This is because, at times, it Is necessary to introduce new ideas and innovations to our company. In any event, the Company values each employee and hopes internal candidates will continue to grow and develop within [Company Name].</w:t>
      </w:r>
    </w:p>
    <w:p>
      <w:pPr>
        <w:pStyle w:val="Heading2"/>
        <w:spacing w:after="120" w:before="260"/>
      </w:pPr>
      <w:r>
        <w:rPr>
          <w:rFonts w:ascii="Cambria" w:cs="Cambria" w:eastAsia="Cambria" w:hAnsi="Cambria"/>
          <w:b/>
          <w:bCs/>
          <w:color w:val="1F3864"/>
          <w:sz w:val="24"/>
          <w:szCs w:val="24"/>
        </w:rPr>
        <w:t xml:space="preserve">4.8 Dress Code</w:t>
      </w:r>
    </w:p>
    <w:p>
      <w:pPr>
        <w:spacing w:after="200"/>
        <w:jc w:val="both"/>
      </w:pPr>
      <w:r>
        <w:rPr>
          <w:rFonts w:ascii="Calibri" w:cs="Calibri" w:eastAsia="Calibri" w:hAnsi="Calibri"/>
          <w:color w:val="262626"/>
          <w:sz w:val="22"/>
          <w:szCs w:val="22"/>
        </w:rPr>
        <w:t xml:space="preserve">Employees are expected to maintain a clean, orderly, and well-groomed appearance. Specific dress standards will vary depending on the position and responsibilities of each employee. Drivers and laborers are required to wear steel toed boots and long pants. Drivers must wear a clean, company shirt, tucked in. Proper protective equipment (safety vest, long sleeves, hard hat, eye wear, etc.) must be adhered to on job sites where it is required. Ask your supervisor if you are unsure as to what is appropriate for an occasion. Employees displaying improper dress or appearance will be notified. Repeated inappropriate appearance is grounds for discipline. Management will determine what is considered "appropriate" dress and appearance.</w:t>
      </w:r>
    </w:p>
    <w:p>
      <w:pPr>
        <w:pStyle w:val="Heading2"/>
        <w:spacing w:after="120" w:before="260"/>
      </w:pPr>
      <w:r>
        <w:rPr>
          <w:rFonts w:ascii="Cambria" w:cs="Cambria" w:eastAsia="Cambria" w:hAnsi="Cambria"/>
          <w:b/>
          <w:bCs/>
          <w:color w:val="1F3864"/>
          <w:sz w:val="24"/>
          <w:szCs w:val="24"/>
        </w:rPr>
        <w:t xml:space="preserve">4.9 Safety</w:t>
      </w:r>
    </w:p>
    <w:p>
      <w:pPr>
        <w:spacing w:after="200"/>
        <w:jc w:val="both"/>
      </w:pPr>
      <w:r>
        <w:rPr>
          <w:rFonts w:ascii="Calibri" w:cs="Calibri" w:eastAsia="Calibri" w:hAnsi="Calibri"/>
          <w:color w:val="262626"/>
          <w:sz w:val="22"/>
          <w:szCs w:val="22"/>
        </w:rPr>
        <w:t xml:space="preserve">Each employee is tasked with helping maintain a safe work environment and complying with all safety and health laws and regulations. Employees must report all injuries, accidents, illnesses, safety hazards, and health concerns that they experience or observe to a Human Resource Manager or other designated manager. Proper protective equipment (as outlined in the dress code policy) must be adhered to on job sites where it is required. Ask your supervisor if you are unsure as to what is appropriate for an occasion. Failure to abide by Company safety policies or to report unsafe conditions may result in discipline.</w:t>
      </w:r>
    </w:p>
    <w:p>
      <w:pPr>
        <w:spacing w:after="200"/>
        <w:jc w:val="both"/>
      </w:pPr>
      <w:r>
        <w:rPr>
          <w:rFonts w:ascii="Calibri" w:cs="Calibri" w:eastAsia="Calibri" w:hAnsi="Calibri"/>
          <w:color w:val="262626"/>
          <w:sz w:val="22"/>
          <w:szCs w:val="22"/>
        </w:rPr>
        <w:t xml:space="preserve">The Occupational Safety and Health Act (OSHA) is a federal law requiring that we maintain records of all work-related accidents and illnesses. You are required to submit an incident report to Human Resources for all accidents, illnesses, or unsafe working conditions that an employee suffers or witnesses while on the job, no matter how small. Human Resources may prescribe a standardized incident report form for you to use. Failure to complete an incident report may result in discipline or prevent your ability to receive worker's compensation and other benefits.</w:t>
      </w:r>
    </w:p>
    <w:p>
      <w:pPr>
        <w:spacing w:after="200"/>
        <w:jc w:val="both"/>
      </w:pPr>
      <w:r>
        <w:rPr>
          <w:rFonts w:ascii="Calibri" w:cs="Calibri" w:eastAsia="Calibri" w:hAnsi="Calibri"/>
          <w:color w:val="262626"/>
          <w:sz w:val="22"/>
          <w:szCs w:val="22"/>
        </w:rPr>
        <w:t xml:space="preserve">Contact a Human Resource Manager if you or another co-worker is injured on the job. If necessary, contact emergency medical assistance.</w:t>
      </w:r>
    </w:p>
    <w:p>
      <w:pPr>
        <w:pStyle w:val="Heading2"/>
        <w:spacing w:after="120" w:before="260"/>
      </w:pPr>
      <w:r>
        <w:rPr>
          <w:rFonts w:ascii="Cambria" w:cs="Cambria" w:eastAsia="Cambria" w:hAnsi="Cambria"/>
          <w:b/>
          <w:bCs/>
          <w:color w:val="1F3864"/>
          <w:sz w:val="24"/>
          <w:szCs w:val="24"/>
        </w:rPr>
        <w:t xml:space="preserve">4.10 Fire Safety</w:t>
      </w:r>
    </w:p>
    <w:p>
      <w:pPr>
        <w:spacing w:after="200"/>
        <w:jc w:val="both"/>
      </w:pPr>
      <w:r>
        <w:rPr>
          <w:rFonts w:ascii="Calibri" w:cs="Calibri" w:eastAsia="Calibri" w:hAnsi="Calibri"/>
          <w:color w:val="262626"/>
          <w:sz w:val="22"/>
          <w:szCs w:val="22"/>
        </w:rPr>
        <w:t xml:space="preserve">Employees are required to know and observe OSHA regulations, including helping prevent fires and maintain safe practices for avoiding fires in the workplace. Do not block access to any fire exits, doorways, windows, or fire extinguishers. Please keep all flammable materials stored in covered metal containers.</w:t>
      </w:r>
    </w:p>
    <w:p>
      <w:pPr>
        <w:pStyle w:val="Heading2"/>
        <w:spacing w:after="120" w:before="260"/>
      </w:pPr>
      <w:r>
        <w:rPr>
          <w:rFonts w:ascii="Cambria" w:cs="Cambria" w:eastAsia="Cambria" w:hAnsi="Cambria"/>
          <w:b/>
          <w:bCs/>
          <w:color w:val="1F3864"/>
          <w:sz w:val="24"/>
          <w:szCs w:val="24"/>
        </w:rPr>
        <w:t xml:space="preserve">4.11 Security</w:t>
      </w:r>
    </w:p>
    <w:p>
      <w:pPr>
        <w:spacing w:after="200"/>
        <w:jc w:val="both"/>
      </w:pPr>
      <w:r>
        <w:rPr>
          <w:rFonts w:ascii="Calibri" w:cs="Calibri" w:eastAsia="Calibri" w:hAnsi="Calibri"/>
          <w:color w:val="262626"/>
          <w:sz w:val="22"/>
          <w:szCs w:val="22"/>
        </w:rPr>
        <w:t xml:space="preserve">As valued members of our team, we strive to ensure your personal security at all times. Contact a Human Resource Manager if you have questions or concerns regarding Company's security systems.</w:t>
      </w:r>
    </w:p>
    <w:p>
      <w:pPr>
        <w:pStyle w:val="Heading2"/>
        <w:spacing w:after="120" w:before="260"/>
      </w:pPr>
      <w:r>
        <w:rPr>
          <w:rFonts w:ascii="Cambria" w:cs="Cambria" w:eastAsia="Cambria" w:hAnsi="Cambria"/>
          <w:b/>
          <w:bCs/>
          <w:color w:val="1F3864"/>
          <w:sz w:val="24"/>
          <w:szCs w:val="24"/>
        </w:rPr>
        <w:t xml:space="preserve">4.12 Workplace Bullying</w:t>
      </w:r>
    </w:p>
    <w:p>
      <w:pPr>
        <w:spacing w:after="200"/>
        <w:jc w:val="both"/>
      </w:pPr>
      <w:r>
        <w:rPr>
          <w:rFonts w:ascii="Calibri" w:cs="Calibri" w:eastAsia="Calibri" w:hAnsi="Calibri"/>
          <w:color w:val="262626"/>
          <w:sz w:val="22"/>
          <w:szCs w:val="22"/>
        </w:rPr>
        <w:t xml:space="preserve">Company employees are to be treated with courtesy and respect at all times. Bullying through repeated inappropriate abuse of another will not be tolerated in the workplace, whether physical, verbal, or otherwise. Examples of bullying include pushing, physical</w:t>
      </w:r>
    </w:p>
    <w:p>
      <w:pPr>
        <w:spacing w:after="200"/>
        <w:jc w:val="both"/>
      </w:pPr>
      <w:r>
        <w:rPr>
          <w:rFonts w:ascii="Calibri" w:cs="Calibri" w:eastAsia="Calibri" w:hAnsi="Calibri"/>
          <w:color w:val="262626"/>
          <w:sz w:val="22"/>
          <w:szCs w:val="22"/>
        </w:rPr>
        <w:t xml:space="preserve">assault, threats, insults, ridiculing, humiliating, and slandering. If you are a victim or witness of bullying, report it to a Human Resource Manager immediately. Communications regarding bullying and any resulting investigations will be kept as confidential as possible under the circumstances. Retaliation against those who report instances of bullying is prohibited. Violations of this policy will result in discipline and possible termination.</w:t>
      </w:r>
    </w:p>
    <w:p>
      <w:pPr>
        <w:pStyle w:val="Heading2"/>
        <w:spacing w:after="120" w:before="260"/>
      </w:pPr>
      <w:r>
        <w:rPr>
          <w:rFonts w:ascii="Cambria" w:cs="Cambria" w:eastAsia="Cambria" w:hAnsi="Cambria"/>
          <w:b/>
          <w:bCs/>
          <w:color w:val="1F3864"/>
          <w:sz w:val="24"/>
          <w:szCs w:val="24"/>
        </w:rPr>
        <w:t xml:space="preserve">4.13 Workplace Violence</w:t>
      </w:r>
    </w:p>
    <w:p>
      <w:pPr>
        <w:spacing w:after="200"/>
        <w:jc w:val="both"/>
      </w:pPr>
      <w:r>
        <w:rPr>
          <w:rFonts w:ascii="Calibri" w:cs="Calibri" w:eastAsia="Calibri" w:hAnsi="Calibri"/>
          <w:color w:val="262626"/>
          <w:sz w:val="22"/>
          <w:szCs w:val="22"/>
        </w:rPr>
        <w:t xml:space="preserve">The Company does not tolerate violence or dangerous behavior of any kind in the workplace, whether through physical abuse, threats, intimidation, coercion, stalking, or otherwise. Please report all incidents of direct or indirect violence or dangerous behavior to a Human Resource Manager as soon as possible. Reporting incidents and concerns early can help prevent a situation from escalating and becoming even more dangerous. Those who report workplace violence may not be disciplined or retaliated against. Never attempt to handle a potentially dangerous situation yourself.</w:t>
      </w:r>
    </w:p>
    <w:p>
      <w:pPr>
        <w:spacing w:after="200"/>
        <w:jc w:val="both"/>
      </w:pPr>
      <w:r>
        <w:rPr>
          <w:rFonts w:ascii="Calibri" w:cs="Calibri" w:eastAsia="Calibri" w:hAnsi="Calibri"/>
          <w:color w:val="262626"/>
          <w:sz w:val="22"/>
          <w:szCs w:val="22"/>
        </w:rPr>
        <w:t xml:space="preserve">Reports of violence or dangerous behavior will be promptly investigated. All employees must cooperate with all investigations. Identities of those involved will be kept as confidential as is possible under the circumstances. Those suspected of violence or dangerous behavior may be suspended during the investigation, with or without pay, in order to maintain safety in the workplace. If found guilty of violence or other dangerous behavior, including threats of violence, you may be disciplined and terminated at Company's discretion. No employee will be subjected to retaliation, intimidation or disciplinary action as a result of reporting a threat in good faith under this policy.</w:t>
      </w:r>
    </w:p>
    <w:p>
      <w:pPr>
        <w:pStyle w:val="Heading2"/>
        <w:spacing w:after="120" w:before="260"/>
      </w:pPr>
      <w:r>
        <w:rPr>
          <w:rFonts w:ascii="Cambria" w:cs="Cambria" w:eastAsia="Cambria" w:hAnsi="Cambria"/>
          <w:b/>
          <w:bCs/>
          <w:color w:val="1F3864"/>
          <w:sz w:val="24"/>
          <w:szCs w:val="24"/>
        </w:rPr>
        <w:t xml:space="preserve">4.14 Drug-Free &amp; Alcohol-Free Workplace</w:t>
      </w:r>
    </w:p>
    <w:p>
      <w:pPr>
        <w:spacing w:after="200"/>
        <w:jc w:val="both"/>
      </w:pPr>
      <w:r>
        <w:rPr>
          <w:rFonts w:ascii="Calibri" w:cs="Calibri" w:eastAsia="Calibri" w:hAnsi="Calibri"/>
          <w:color w:val="262626"/>
          <w:sz w:val="22"/>
          <w:szCs w:val="22"/>
        </w:rPr>
        <w:t xml:space="preserve">The Company's drug and alcohol policy applies to all employees and applicants for hire and is designed to identify and correct instances of substance abuse in the workplace. Human Resources is responsible for implementing and enforcing this policy.</w:t>
      </w:r>
    </w:p>
    <w:p>
      <w:pPr>
        <w:spacing w:after="200"/>
        <w:jc w:val="both"/>
      </w:pPr>
      <w:r>
        <w:rPr>
          <w:rFonts w:ascii="Calibri" w:cs="Calibri" w:eastAsia="Calibri" w:hAnsi="Calibri"/>
          <w:color w:val="262626"/>
          <w:sz w:val="22"/>
          <w:szCs w:val="22"/>
        </w:rPr>
        <w:t xml:space="preserve">Drug and alcohol abuse are serious threats to Company operations and success, not to mention employee health and safety. In order to provide a safe and productive workplace, employees are prohibited from consuming, possessing, selling, or purchasing illegal drugs at any time on Company property or while engaged in Company business. Likewise, employees may not consume alcohol at any time on Company property or while engaged in Company business, except for reasonable and moderate alcohol consumption during Company business and social events. Additionally, employees may not have any detectable amount of alcohol or illegal drugs present in their bodily systems at work. The prohibitions in this policy apply whether employees are at a work facility, operating a company vehicle, or conducting off-site work.</w:t>
      </w:r>
    </w:p>
    <w:p>
      <w:pPr>
        <w:spacing w:after="200"/>
        <w:jc w:val="both"/>
      </w:pPr>
      <w:r>
        <w:rPr>
          <w:rFonts w:ascii="Calibri" w:cs="Calibri" w:eastAsia="Calibri" w:hAnsi="Calibri"/>
          <w:color w:val="262626"/>
          <w:sz w:val="22"/>
          <w:szCs w:val="22"/>
        </w:rPr>
        <w:t xml:space="preserve">A drug is considered illegal if it is illegal to possess or obtain or is legal to possess but has been obtained illegally, such as possessing prescription drugs without a valid prescription. This policy does not prohibit employees from lawfully possessing and using prescribed drugs. However, employees with valid prescription drugs are prohibited from abusing such drugs by consuming them in excess of the prescribed amounts or from consuming prescribed drugs that impair their ability to safely perform their duties. The Company reserves the right to require employees taking prescribed drugs to produce proof that they possess valid prescriptions. Consult a doctor if you are unsure as to the potential effects of any prescribed drugs you take. You are responsible for notifying your supervisor if any prescribed drugs you take may impair your ability to work safely or perform your duties effectively.</w:t>
      </w:r>
    </w:p>
    <w:p>
      <w:pPr>
        <w:spacing w:after="200"/>
        <w:jc w:val="both"/>
      </w:pPr>
      <w:r>
        <w:rPr>
          <w:rFonts w:ascii="Calibri" w:cs="Calibri" w:eastAsia="Calibri" w:hAnsi="Calibri"/>
          <w:color w:val="262626"/>
          <w:sz w:val="22"/>
          <w:szCs w:val="22"/>
        </w:rPr>
        <w:t xml:space="preserve">Any violation of this policy can result in disciplinary action and possible termination, even for an employee's first offense. We encourage you to seek help if you have developed an addiction or dependence on drugs or alcohol. The Company will make reasonable efforts to accommodate employees who voluntarily seek help, whether through counseling, rehabilitation, or another type of assistance program, before committing a violation of this policy. As warranted under the circumstances, such employees may be allowed to use paid time off, referred to treatment programs, placed on leaves of absence, or otherwise accommodated as required by law. Before returning to their prior work status, such employees may be required to provide proof that they have successfully completed their treatment program and to submit to testing to ensure they can perform their duties safely.</w:t>
      </w:r>
    </w:p>
    <w:p>
      <w:pPr>
        <w:spacing w:after="120" w:before="220"/>
      </w:pPr>
      <w:r>
        <w:rPr>
          <w:rFonts w:ascii="Cambria" w:cs="Cambria" w:eastAsia="Cambria" w:hAnsi="Cambria"/>
          <w:b/>
          <w:bCs/>
          <w:color w:val="1F3864"/>
          <w:sz w:val="22"/>
          <w:szCs w:val="22"/>
        </w:rPr>
        <w:t xml:space="preserve">Drug Testing</w:t>
      </w:r>
    </w:p>
    <w:p>
      <w:pPr>
        <w:spacing w:after="200"/>
        <w:jc w:val="both"/>
      </w:pPr>
      <w:r>
        <w:rPr>
          <w:rFonts w:ascii="Calibri" w:cs="Calibri" w:eastAsia="Calibri" w:hAnsi="Calibri"/>
          <w:color w:val="262626"/>
          <w:sz w:val="22"/>
          <w:szCs w:val="22"/>
        </w:rPr>
        <w:t xml:space="preserve">In order to maintain a safe and productive workplace, the Company may conduct random, intermittent drug or alcohol testing of any employee where circumstances or job responsibilities justify such testing. Regardless of job responsibilities, employees may be required to submit to drug or alcohol testing in the following circumstances:</w:t>
      </w:r>
    </w:p>
    <w:p>
      <w:pPr>
        <w:pStyle w:val="ListParagraph"/>
        <w:numPr>
          <w:ilvl w:val="0"/>
          <w:numId w:val="1"/>
        </w:numPr>
        <w:spacing w:after="100"/>
        <w:jc w:val="both"/>
      </w:pPr>
      <w:r>
        <w:rPr>
          <w:rFonts w:ascii="Calibri" w:cs="Calibri" w:eastAsia="Calibri" w:hAnsi="Calibri"/>
          <w:color w:val="262626"/>
          <w:sz w:val="22"/>
          <w:szCs w:val="22"/>
        </w:rPr>
        <w:t xml:space="preserve">When applying for a position and before receiving a job offer.</w:t>
      </w:r>
    </w:p>
    <w:p>
      <w:pPr>
        <w:pStyle w:val="ListParagraph"/>
        <w:numPr>
          <w:ilvl w:val="0"/>
          <w:numId w:val="1"/>
        </w:numPr>
        <w:spacing w:after="100"/>
        <w:jc w:val="both"/>
      </w:pPr>
      <w:r>
        <w:rPr>
          <w:rFonts w:ascii="Calibri" w:cs="Calibri" w:eastAsia="Calibri" w:hAnsi="Calibri"/>
          <w:color w:val="262626"/>
          <w:sz w:val="22"/>
          <w:szCs w:val="22"/>
        </w:rPr>
        <w:t xml:space="preserve">When reasonably suspected based on observations by a supervisor of being under the influence of illegal drugs or alcohol during work.</w:t>
      </w:r>
    </w:p>
    <w:p>
      <w:pPr>
        <w:pStyle w:val="ListParagraph"/>
        <w:numPr>
          <w:ilvl w:val="0"/>
          <w:numId w:val="1"/>
        </w:numPr>
        <w:spacing w:after="100"/>
        <w:jc w:val="both"/>
      </w:pPr>
      <w:r>
        <w:rPr>
          <w:rFonts w:ascii="Calibri" w:cs="Calibri" w:eastAsia="Calibri" w:hAnsi="Calibri"/>
          <w:color w:val="262626"/>
          <w:sz w:val="22"/>
          <w:szCs w:val="22"/>
        </w:rPr>
        <w:t xml:space="preserve">When reasonably suspected based on observations by a supervisor of possessing, selling, or distributing illegal drugs during work.</w:t>
      </w:r>
    </w:p>
    <w:p>
      <w:pPr>
        <w:pStyle w:val="ListParagraph"/>
        <w:numPr>
          <w:ilvl w:val="0"/>
          <w:numId w:val="1"/>
        </w:numPr>
        <w:spacing w:after="100"/>
        <w:jc w:val="both"/>
      </w:pPr>
      <w:r>
        <w:rPr>
          <w:rFonts w:ascii="Calibri" w:cs="Calibri" w:eastAsia="Calibri" w:hAnsi="Calibri"/>
          <w:color w:val="262626"/>
          <w:sz w:val="22"/>
          <w:szCs w:val="22"/>
        </w:rPr>
        <w:t xml:space="preserve">After violating a safety policy or rule or being involved in a serious accident that causes damage to anything on Company property, including that employee or another employee. Employees will receive their normal pay for time spent undergoing testing but may be suspended pending the results of the test, with or without pay. Should the results prove negative, employees suspended without pay are entitled to receive back pay.</w:t>
      </w:r>
    </w:p>
    <w:p>
      <w:pPr>
        <w:spacing w:after="200"/>
        <w:jc w:val="both"/>
      </w:pPr>
      <w:r>
        <w:rPr>
          <w:rFonts w:ascii="Calibri" w:cs="Calibri" w:eastAsia="Calibri" w:hAnsi="Calibri"/>
          <w:color w:val="262626"/>
          <w:sz w:val="22"/>
          <w:szCs w:val="22"/>
        </w:rPr>
        <w:t xml:space="preserve">Employees testing positive or refusing to submit to testing under any of the circumstances stated in this policy are subject to discipline and possible termination. In determining</w:t>
      </w:r>
    </w:p>
    <w:p>
      <w:pPr>
        <w:spacing w:after="200"/>
        <w:jc w:val="both"/>
      </w:pPr>
      <w:r>
        <w:rPr>
          <w:rFonts w:ascii="Calibri" w:cs="Calibri" w:eastAsia="Calibri" w:hAnsi="Calibri"/>
          <w:color w:val="262626"/>
          <w:sz w:val="22"/>
          <w:szCs w:val="22"/>
        </w:rPr>
        <w:t xml:space="preserve">discipline, one factor to consider is whether the employee voluntarily agrees to enter a rehabilitation program, drug or alcohol counseling, or another treatment program. Such employees who test positive and are not discharged may also be required to submit to additional testing at various intervals for up to two years after testing positive. Information related to drug and alcohol tests, addictions, and dependencies, including medical information, will be kept strictly confidential to the extent required by law and separate from the normal employee file.</w:t>
      </w:r>
    </w:p>
    <w:p>
      <w:pPr>
        <w:spacing w:after="200"/>
        <w:jc w:val="both"/>
      </w:pPr>
      <w:r>
        <w:rPr>
          <w:rFonts w:ascii="Calibri" w:cs="Calibri" w:eastAsia="Calibri" w:hAnsi="Calibri"/>
          <w:color w:val="262626"/>
          <w:sz w:val="22"/>
          <w:szCs w:val="22"/>
        </w:rPr>
        <w:t xml:space="preserve">Supervisors must consult a Human Resource Manager before requiring an employee to submit to testing when the employee is reasonably suspected of being under the influence of illegal drugs or alcohol or possessing, selling, or distributing illegal drugs during work. Applicants testing positive will be disqualified from consideration for all job vacancies. Supervisors or management may contact law enforcement where appropriate when they reasonably suspect criminal activity.</w:t>
      </w:r>
    </w:p>
    <w:p>
      <w:pPr>
        <w:pStyle w:val="Heading2"/>
        <w:spacing w:after="120" w:before="260"/>
      </w:pPr>
      <w:r>
        <w:rPr>
          <w:rFonts w:ascii="Cambria" w:cs="Cambria" w:eastAsia="Cambria" w:hAnsi="Cambria"/>
          <w:b/>
          <w:bCs/>
          <w:color w:val="1F3864"/>
          <w:sz w:val="24"/>
          <w:szCs w:val="24"/>
        </w:rPr>
        <w:t xml:space="preserve">4.15 Searches</w:t>
      </w:r>
    </w:p>
    <w:p>
      <w:pPr>
        <w:spacing w:after="200"/>
        <w:jc w:val="both"/>
      </w:pPr>
      <w:r>
        <w:rPr>
          <w:rFonts w:ascii="Calibri" w:cs="Calibri" w:eastAsia="Calibri" w:hAnsi="Calibri"/>
          <w:color w:val="262626"/>
          <w:sz w:val="22"/>
          <w:szCs w:val="22"/>
        </w:rPr>
        <w:t xml:space="preserve">The Company reserves the right to conduct searches and inspections of Company property and any items on Company premises, including personal items owned by employees brought on the premises such as bags, vehicles, and other containers. The Company may search or inspect any part if its premises or property, including items provided to employees for their use, such as lockers, desks, cabinets, and drawers. Searches for illegal drugs, alcohol, paraphernalia, and other items possessed illegally may be conducted at any time, without notice. Any illegal items confiscated will be turned over to the appropriate law enforcement agency. Employees who fail to fully cooperate in all searches or inspections are subject to discipline.</w:t>
      </w:r>
    </w:p>
    <w:p>
      <w:pPr>
        <w:pStyle w:val="Heading2"/>
        <w:spacing w:after="120" w:before="260"/>
      </w:pPr>
      <w:r>
        <w:rPr>
          <w:rFonts w:ascii="Cambria" w:cs="Cambria" w:eastAsia="Cambria" w:hAnsi="Cambria"/>
          <w:b/>
          <w:bCs/>
          <w:color w:val="1F3864"/>
          <w:sz w:val="24"/>
          <w:szCs w:val="24"/>
        </w:rPr>
        <w:t xml:space="preserve">4.16 Smoke-Free Workplace</w:t>
      </w:r>
    </w:p>
    <w:p>
      <w:pPr>
        <w:spacing w:after="200"/>
        <w:jc w:val="both"/>
      </w:pPr>
      <w:r>
        <w:rPr>
          <w:rFonts w:ascii="Calibri" w:cs="Calibri" w:eastAsia="Calibri" w:hAnsi="Calibri"/>
          <w:color w:val="262626"/>
          <w:sz w:val="22"/>
          <w:szCs w:val="22"/>
        </w:rPr>
        <w:t xml:space="preserve">Except in designated smoking areas and in conformance with state law, the Company prohibits smoking on all Company premises, including inside and outside of all areas on Company premises, during off-site Company meetings and events, and inside Company vehicles. This policy applies to all employees, contractors, visitors, and other persons who are present on Company premises or any other place where smoking is prohibited by this policy. "Smoking" is defined as the "act of lighting, smoking or carrying a lighted or smoldering cigar, cigarette, e-cigarette or pipe of any kind."</w:t>
      </w:r>
    </w:p>
    <w:p>
      <w:pPr>
        <w:pStyle w:val="Heading2"/>
        <w:spacing w:after="120" w:before="260"/>
      </w:pPr>
      <w:r>
        <w:rPr>
          <w:rFonts w:ascii="Cambria" w:cs="Cambria" w:eastAsia="Cambria" w:hAnsi="Cambria"/>
          <w:b/>
          <w:bCs/>
          <w:color w:val="1F3864"/>
          <w:sz w:val="24"/>
          <w:szCs w:val="24"/>
        </w:rPr>
        <w:t xml:space="preserve">4.17 Computer and Electronic Communication Policy</w:t>
      </w:r>
    </w:p>
    <w:p>
      <w:pPr>
        <w:spacing w:after="200"/>
        <w:jc w:val="both"/>
      </w:pPr>
      <w:r>
        <w:rPr>
          <w:rFonts w:ascii="Calibri" w:cs="Calibri" w:eastAsia="Calibri" w:hAnsi="Calibri"/>
          <w:color w:val="262626"/>
          <w:sz w:val="22"/>
          <w:szCs w:val="22"/>
        </w:rPr>
        <w:t xml:space="preserve">All employees must use computers and other forms of electronic communication in an ethical and professional manner at all times. This policy is designed to guide you in your use of computers and other electronic communication devices on behalf of the Company,</w:t>
      </w:r>
    </w:p>
    <w:p>
      <w:pPr>
        <w:spacing w:after="200"/>
        <w:jc w:val="both"/>
      </w:pPr>
      <w:r>
        <w:rPr>
          <w:rFonts w:ascii="Calibri" w:cs="Calibri" w:eastAsia="Calibri" w:hAnsi="Calibri"/>
          <w:color w:val="262626"/>
          <w:sz w:val="22"/>
          <w:szCs w:val="22"/>
        </w:rPr>
        <w:t xml:space="preserve">including all electronic communication devices owned or leased by the Company, used or accessed on Company premises, used for or on behalf of the Company, or used to create content identifying or associated with the Company's business operations. Consult a supervisor or a Human Resource Manager if you have questions or concerns related to this policy.</w:t>
      </w:r>
    </w:p>
    <w:p>
      <w:pPr>
        <w:spacing w:after="200"/>
        <w:jc w:val="both"/>
      </w:pPr>
      <w:r>
        <w:rPr>
          <w:rFonts w:ascii="Calibri" w:cs="Calibri" w:eastAsia="Calibri" w:hAnsi="Calibri"/>
          <w:color w:val="262626"/>
          <w:sz w:val="22"/>
          <w:szCs w:val="22"/>
        </w:rPr>
        <w:t xml:space="preserve">An "electronic communication" is any digitally- or electronically stored or transferred information using an electronic device, and includes use of computers, email, internet, telephones, fax machines, and any other electronic device. All electronic communications and information you may create on Company premises or otherwise on behalf of the Company are the sole property of the Company, not you, and should only be created or used for the Company's best interests and never for personal use. This includes all digital files, software, and hardware you may create. You have no right to privacy in your electronic communications created on behalf of the Company or while using Company property.</w:t>
      </w:r>
    </w:p>
    <w:p>
      <w:pPr>
        <w:spacing w:after="200"/>
        <w:jc w:val="both"/>
      </w:pPr>
      <w:r>
        <w:rPr>
          <w:rFonts w:ascii="Calibri" w:cs="Calibri" w:eastAsia="Calibri" w:hAnsi="Calibri"/>
          <w:color w:val="262626"/>
          <w:sz w:val="22"/>
          <w:szCs w:val="22"/>
        </w:rPr>
        <w:t xml:space="preserve">The Company has the right to override your personal passwords in order to gain access to digitally stored information owned by the Company. The Company may also keep a record of the passwords you use to gain access to the Company's electronic communications. Take care to not transmit or store your own sensitive personal information while using or on Company property. The Company routinely monitors your use of its electronic devices. We may access all Company-owned electronic communications, including emails, internet posts, text messages, voicemails, blogs, and "tweets." You will be subject to discipline if found to be using or creating Company-owned electronic communications or devices in an inappropriate or illegal manner.</w:t>
      </w:r>
    </w:p>
    <w:p>
      <w:pPr>
        <w:spacing w:after="200"/>
        <w:jc w:val="both"/>
      </w:pPr>
      <w:r>
        <w:rPr>
          <w:rFonts w:ascii="Calibri" w:cs="Calibri" w:eastAsia="Calibri" w:hAnsi="Calibri"/>
          <w:color w:val="262626"/>
          <w:sz w:val="22"/>
          <w:szCs w:val="22"/>
        </w:rPr>
        <w:t xml:space="preserve">Employees may only access the Company's electronic communications and devices that they have been granted access to. This means you may not access electronic communications restricted to management, other employees, or third parties without prior authorization.</w:t>
      </w:r>
    </w:p>
    <w:p>
      <w:pPr>
        <w:spacing w:after="200"/>
        <w:jc w:val="both"/>
      </w:pPr>
      <w:r>
        <w:rPr>
          <w:rFonts w:ascii="Calibri" w:cs="Calibri" w:eastAsia="Calibri" w:hAnsi="Calibri"/>
          <w:color w:val="262626"/>
          <w:sz w:val="22"/>
          <w:szCs w:val="22"/>
        </w:rPr>
        <w:t xml:space="preserve">Employees must use the Company's electronic communications and devices in strict compliance with the Company's confidentiality policy described herein. Take care not to disclose confidential information to inappropriate persons or without authorization via the Company's electronic communications or devices, especially when sending emails to outside parties. The Company may use its electronic communications and devices according to the needs of the business and applicable law.</w:t>
      </w:r>
    </w:p>
    <w:p>
      <w:pPr>
        <w:spacing w:after="200"/>
        <w:jc w:val="both"/>
      </w:pPr>
      <w:r>
        <w:rPr>
          <w:rFonts w:ascii="Calibri" w:cs="Calibri" w:eastAsia="Calibri" w:hAnsi="Calibri"/>
          <w:color w:val="262626"/>
          <w:sz w:val="22"/>
          <w:szCs w:val="22"/>
        </w:rPr>
        <w:t xml:space="preserve">The Company's electronic communications and devices may not be used to create or display anything that might disparage or negatively impact the Company's public image or reputation or that would otherwise be contrary to the Company's best interests. In</w:t>
      </w:r>
    </w:p>
    <w:p>
      <w:pPr>
        <w:spacing w:after="200"/>
        <w:jc w:val="both"/>
      </w:pPr>
      <w:r>
        <w:rPr>
          <w:rFonts w:ascii="Calibri" w:cs="Calibri" w:eastAsia="Calibri" w:hAnsi="Calibri"/>
          <w:color w:val="262626"/>
          <w:sz w:val="22"/>
          <w:szCs w:val="22"/>
        </w:rPr>
        <w:t xml:space="preserve">addition, employees using the Company's electronic communications and devices are prohibited from the following: engaging in discriminatory, harassing, obscene, or illegal conduct; engaging in copyright, trademark, or other intellectual property infringement; accessing electronic communications that an employee is restricted or prohibited from accessing, or otherwise violating Company policy.</w:t>
      </w:r>
    </w:p>
    <w:p>
      <w:pPr>
        <w:spacing w:after="200"/>
        <w:jc w:val="both"/>
      </w:pPr>
      <w:r>
        <w:rPr>
          <w:rFonts w:ascii="Calibri" w:cs="Calibri" w:eastAsia="Calibri" w:hAnsi="Calibri"/>
          <w:color w:val="262626"/>
          <w:sz w:val="22"/>
          <w:szCs w:val="22"/>
        </w:rPr>
        <w:t xml:space="preserve">Employee may only use the Company's electronic communications or devices for business purposes, not personal use. This means accessing internet websites not for business purposes or accessing personal email during work is prohibited. Additionally, you may not install personal software on Company electronic devices or systems. You may only use your personal electronic devices while on break. Note that illegally duplicating Company software may result in copyright charges against you and the Company.</w:t>
      </w:r>
    </w:p>
    <w:p>
      <w:pPr>
        <w:spacing w:after="200"/>
        <w:jc w:val="both"/>
      </w:pPr>
      <w:r>
        <w:rPr>
          <w:rFonts w:ascii="Calibri" w:cs="Calibri" w:eastAsia="Calibri" w:hAnsi="Calibri"/>
          <w:color w:val="262626"/>
          <w:sz w:val="22"/>
          <w:szCs w:val="22"/>
        </w:rPr>
        <w:t xml:space="preserve">You must also take care to not use the Company's electronic communications or devices in any way that disrupts the ability of others to use them. Be wary of suspicious emails, emails from unknown parties, and pop-ups and downloads from sites that are not trusted. Contact a manager if you become aware of any virus on a Company device or think you may have downloaded a virus accidentally.</w:t>
      </w:r>
    </w:p>
    <w:p>
      <w:pPr>
        <w:pStyle w:val="Heading2"/>
        <w:spacing w:after="120" w:before="260"/>
      </w:pPr>
      <w:r>
        <w:rPr>
          <w:rFonts w:ascii="Cambria" w:cs="Cambria" w:eastAsia="Cambria" w:hAnsi="Cambria"/>
          <w:b/>
          <w:bCs/>
          <w:color w:val="1F3864"/>
          <w:sz w:val="24"/>
          <w:szCs w:val="24"/>
        </w:rPr>
        <w:t xml:space="preserve">4.18 Social Media</w:t>
      </w:r>
    </w:p>
    <w:p>
      <w:pPr>
        <w:spacing w:after="200"/>
        <w:jc w:val="both"/>
      </w:pPr>
      <w:r>
        <w:rPr>
          <w:rFonts w:ascii="Calibri" w:cs="Calibri" w:eastAsia="Calibri" w:hAnsi="Calibri"/>
          <w:color w:val="262626"/>
          <w:sz w:val="22"/>
          <w:szCs w:val="22"/>
        </w:rPr>
        <w:t xml:space="preserve">Utilization of social media is a powerful way to market the Company's business, influence the Company's reputation, and engage with the community and public at large. While we encourage your support of the Company through your use of social media, you must obtain authorization prior to making posts of Company-related content that are accessible to the public or any party outside the company.</w:t>
      </w:r>
    </w:p>
    <w:p>
      <w:pPr>
        <w:spacing w:after="200"/>
        <w:jc w:val="both"/>
      </w:pPr>
      <w:r>
        <w:rPr>
          <w:rFonts w:ascii="Calibri" w:cs="Calibri" w:eastAsia="Calibri" w:hAnsi="Calibri"/>
          <w:color w:val="262626"/>
          <w:sz w:val="22"/>
          <w:szCs w:val="22"/>
        </w:rPr>
        <w:t xml:space="preserve">Social media refers to any social interaction via the internet or similar platforms, such as YouTube, Facebook, Twitter, LinkedIn, Instagram, blogs, forums, and other online communities or sites accessible to the public or outside parties. When using social media please conduct yourself in a professional and courteous manner at all times and respect the views of others. Remember that your statements reflect on the Company's reputation and public image. Take care to distinguish any personal opinions you may have from Company's, for instance, by inserting "The opinions I have included here are my own and do not necessarily represent the opinions of [Company Name]."</w:t>
      </w:r>
    </w:p>
    <w:p>
      <w:pPr>
        <w:spacing w:after="200"/>
        <w:jc w:val="both"/>
      </w:pPr>
      <w:r>
        <w:rPr>
          <w:rFonts w:ascii="Calibri" w:cs="Calibri" w:eastAsia="Calibri" w:hAnsi="Calibri"/>
          <w:color w:val="262626"/>
          <w:sz w:val="22"/>
          <w:szCs w:val="22"/>
        </w:rPr>
        <w:t xml:space="preserve">Employees may not use social media for personal use during work. "Followers," "friends," and other contacts gained through Company social media accounts are Company's sole property. The Company may monitor your use of social media and may ask you to delete</w:t>
      </w:r>
    </w:p>
    <w:p>
      <w:pPr>
        <w:spacing w:after="200"/>
        <w:jc w:val="both"/>
      </w:pPr>
      <w:r>
        <w:rPr>
          <w:rFonts w:ascii="Calibri" w:cs="Calibri" w:eastAsia="Calibri" w:hAnsi="Calibri"/>
          <w:color w:val="262626"/>
          <w:sz w:val="22"/>
          <w:szCs w:val="22"/>
        </w:rPr>
        <w:t xml:space="preserve">or change any Company-related content found to be inappropriate or not in the Company's best interest.</w:t>
      </w:r>
    </w:p>
    <w:p>
      <w:pPr>
        <w:pStyle w:val="Heading2"/>
        <w:spacing w:after="120" w:before="260"/>
      </w:pPr>
      <w:r>
        <w:rPr>
          <w:rFonts w:ascii="Cambria" w:cs="Cambria" w:eastAsia="Cambria" w:hAnsi="Cambria"/>
          <w:b/>
          <w:bCs/>
          <w:color w:val="1F3864"/>
          <w:sz w:val="24"/>
          <w:szCs w:val="24"/>
        </w:rPr>
        <w:t xml:space="preserve">4.19 Personal Phone Calls and Cell Phone Use</w:t>
      </w:r>
    </w:p>
    <w:p>
      <w:pPr>
        <w:spacing w:after="200"/>
        <w:jc w:val="both"/>
      </w:pPr>
      <w:r>
        <w:rPr>
          <w:rFonts w:ascii="Calibri" w:cs="Calibri" w:eastAsia="Calibri" w:hAnsi="Calibri"/>
          <w:color w:val="262626"/>
          <w:sz w:val="22"/>
          <w:szCs w:val="22"/>
        </w:rPr>
        <w:t xml:space="preserve">Making personal phone calls or using your cell phone during work can be disruptive to others and interferes with employee productivity. Therefore, employees may not make personal phone calls or use their cell phones during work except during breaks, emergencies, or on rare occasion to handle pressing personal matters. The Company retains the right to outright prohibit all personal calls and cell phone use, except during emergencies, and supervisors may prohibit personal calls for individual employees who abuse the privilege.</w:t>
      </w:r>
    </w:p>
    <w:p>
      <w:pPr>
        <w:spacing w:after="200"/>
        <w:jc w:val="both"/>
      </w:pPr>
      <w:r>
        <w:rPr>
          <w:rFonts w:ascii="Calibri" w:cs="Calibri" w:eastAsia="Calibri" w:hAnsi="Calibri"/>
          <w:color w:val="262626"/>
          <w:sz w:val="22"/>
          <w:szCs w:val="22"/>
        </w:rPr>
        <w:t xml:space="preserve">Keep your cell phones silenced or on low volume at all times during work so that you do not disturb others. When making personal calls, keep your voice at a low volume and move away from others if possible.</w:t>
      </w:r>
    </w:p>
    <w:p>
      <w:pPr>
        <w:spacing w:after="200"/>
        <w:jc w:val="both"/>
      </w:pPr>
      <w:r>
        <w:rPr>
          <w:rFonts w:ascii="Calibri" w:cs="Calibri" w:eastAsia="Calibri" w:hAnsi="Calibri"/>
          <w:color w:val="262626"/>
          <w:sz w:val="22"/>
          <w:szCs w:val="22"/>
        </w:rPr>
        <w:t xml:space="preserve">Any employee who receives a Company-issued cell phone must not use it to make personal calls. Company-issued cell phones will remain the Company's exclusive property and must be returned at the end of your employment.</w:t>
      </w:r>
    </w:p>
    <w:p>
      <w:pPr>
        <w:pStyle w:val="Heading2"/>
        <w:spacing w:after="120" w:before="260"/>
      </w:pPr>
      <w:r>
        <w:rPr>
          <w:rFonts w:ascii="Cambria" w:cs="Cambria" w:eastAsia="Cambria" w:hAnsi="Cambria"/>
          <w:b/>
          <w:bCs/>
          <w:color w:val="1F3864"/>
          <w:sz w:val="24"/>
          <w:szCs w:val="24"/>
        </w:rPr>
        <w:t xml:space="preserve">4.20 Company Equipment and Property</w:t>
      </w:r>
    </w:p>
    <w:p>
      <w:pPr>
        <w:spacing w:after="200"/>
        <w:jc w:val="both"/>
      </w:pPr>
      <w:r>
        <w:rPr>
          <w:rFonts w:ascii="Calibri" w:cs="Calibri" w:eastAsia="Calibri" w:hAnsi="Calibri"/>
          <w:color w:val="262626"/>
          <w:sz w:val="22"/>
          <w:szCs w:val="22"/>
        </w:rPr>
        <w:t xml:space="preserve">Any equipment that the Company issues to employees will remain the Company's sole property and must be returned promptly at the end of employment. Company-issued equipment may include vehicles, cell phones, tablets, laptops, and other items. You are responsible for performing regular maintenance, following all operating instructions and safety guidelines, and not damaging or destroying any Company equipment or property you receive or use during the course of your employment. Please notify your supervisor immediately if you discover any Company equipment or property that is damaged, defective, hazardous, or in need of repair. Ask your supervisor if you have questions or concerns regarding proper operation or maintenance of Company equipment or property.</w:t>
      </w:r>
    </w:p>
    <w:p>
      <w:pPr>
        <w:spacing w:after="200"/>
        <w:jc w:val="both"/>
      </w:pPr>
      <w:r>
        <w:rPr>
          <w:rFonts w:ascii="Calibri" w:cs="Calibri" w:eastAsia="Calibri" w:hAnsi="Calibri"/>
          <w:color w:val="262626"/>
          <w:sz w:val="22"/>
          <w:szCs w:val="22"/>
        </w:rPr>
        <w:t xml:space="preserve">Employees who handle Company equipment or property improperly, negligently, or in an unsafe manner may be disciplined, and employees may be required to reimburse the Company for damages they cause directly or indirectly to Company property.</w:t>
      </w:r>
    </w:p>
    <w:p>
      <w:pPr>
        <w:pStyle w:val="Heading3"/>
        <w:spacing w:after="120" w:before="260"/>
        <w:ind w:left="360"/>
      </w:pPr>
      <w:r>
        <w:rPr>
          <w:rFonts w:ascii="Cambria" w:cs="Cambria" w:eastAsia="Cambria" w:hAnsi="Cambria"/>
          <w:b/>
          <w:bCs/>
          <w:color w:val="1F3864"/>
          <w:sz w:val="24"/>
          <w:szCs w:val="24"/>
        </w:rPr>
        <w:t xml:space="preserve">4.20a Damages to Company Equipment and Property – Reimbursement</w:t>
      </w:r>
    </w:p>
    <w:p>
      <w:pPr>
        <w:spacing w:after="200"/>
        <w:jc w:val="both"/>
      </w:pPr>
      <w:r>
        <w:rPr>
          <w:rFonts w:ascii="Calibri" w:cs="Calibri" w:eastAsia="Calibri" w:hAnsi="Calibri"/>
          <w:color w:val="262626"/>
          <w:sz w:val="22"/>
          <w:szCs w:val="22"/>
        </w:rPr>
        <w:t xml:space="preserve">The Company is committed to ensuring all employees have access to the necessary tools, materials, and equipment to do their jobs. To that end, each employee may be provided with or assigned equipment. Employees may also operate equipment. As stated in Policy 4.20, Company Equipment and Property, Employees are responsible for safely maintaining and operating all Company Equipment, including equipment that is leased by the Company for either short-term or long-term use.</w:t>
      </w:r>
    </w:p>
    <w:p>
      <w:pPr>
        <w:spacing w:after="200"/>
        <w:jc w:val="both"/>
      </w:pPr>
      <w:r>
        <w:rPr>
          <w:rFonts w:ascii="Calibri" w:cs="Calibri" w:eastAsia="Calibri" w:hAnsi="Calibri"/>
          <w:color w:val="262626"/>
          <w:sz w:val="22"/>
          <w:szCs w:val="22"/>
        </w:rPr>
        <w:t xml:space="preserve">Sometimes, due to negligence or carelessness, equipment becomes damaged. In keeping with the above-referenced policy, if this happens, the employee to whom the equipment has been issued or assigned, or who is operating the equipment at the time the damage occurs must immediately report this damage. If the employee is deemed to have been responsible for the damage, the Company will require repayment of 10% of the cost of repair or replacement, unless otherwise prohibited by applicable state or federal law. Repayment will be completed through payroll deduction.</w:t>
      </w:r>
    </w:p>
    <w:p>
      <w:pPr>
        <w:spacing w:after="200"/>
        <w:jc w:val="both"/>
      </w:pPr>
      <w:r>
        <w:rPr>
          <w:rFonts w:ascii="Calibri" w:cs="Calibri" w:eastAsia="Calibri" w:hAnsi="Calibri"/>
          <w:color w:val="262626"/>
          <w:sz w:val="22"/>
          <w:szCs w:val="22"/>
        </w:rPr>
        <w:t xml:space="preserve">Depending on the equipment, as well as the extent of the damage, the cost for repair may vary. In cases when the damage is more than $50, the impacted employee may elect to reimburse the company in installment payments, the number and amount of which shall be determined by the overall cost of repair or replacement, as allowed by applicable law. Deductions will occur weekly, until the total 10% contribution is recouped. At no time will any deduction cause an employee’s pay to go below minimum wage, even if the employee consents.</w:t>
      </w:r>
    </w:p>
    <w:p>
      <w:pPr>
        <w:pStyle w:val="Heading2"/>
        <w:spacing w:after="120" w:before="260"/>
      </w:pPr>
      <w:r>
        <w:rPr>
          <w:rFonts w:ascii="Cambria" w:cs="Cambria" w:eastAsia="Cambria" w:hAnsi="Cambria"/>
          <w:b/>
          <w:bCs/>
          <w:color w:val="1F3864"/>
          <w:sz w:val="24"/>
          <w:szCs w:val="24"/>
        </w:rPr>
        <w:t xml:space="preserve">4.21 Solicitations and Distribution</w:t>
      </w:r>
    </w:p>
    <w:p>
      <w:pPr>
        <w:spacing w:after="200"/>
        <w:jc w:val="both"/>
      </w:pPr>
      <w:r>
        <w:rPr>
          <w:rFonts w:ascii="Calibri" w:cs="Calibri" w:eastAsia="Calibri" w:hAnsi="Calibri"/>
          <w:color w:val="262626"/>
          <w:sz w:val="22"/>
          <w:szCs w:val="22"/>
        </w:rPr>
        <w:t xml:space="preserve">Soliciting for causes and distributing non work-related materials in the workplace may cause disruptions and interfere with productivity. Therefore, employees and nonemployees are prohibited from solicitation and distribution during working time. This includes things such as requesting donations and funds, selling products or services, gathering signatures, promoting organizations, sending non-work-related emails, and posting solicitations on Company online spaces. The Company may make limited exceptions to this policy for charitable activities, community organizations, or Company- sponsored events and organizations.</w:t>
      </w:r>
    </w:p>
    <w:p>
      <w:pPr>
        <w:pStyle w:val="Heading2"/>
        <w:spacing w:after="120" w:before="260"/>
      </w:pPr>
      <w:r>
        <w:rPr>
          <w:rFonts w:ascii="Cambria" w:cs="Cambria" w:eastAsia="Cambria" w:hAnsi="Cambria"/>
          <w:b/>
          <w:bCs/>
          <w:color w:val="1F3864"/>
          <w:sz w:val="24"/>
          <w:szCs w:val="24"/>
        </w:rPr>
        <w:t xml:space="preserve">4.22 Bulletin Boards</w:t>
      </w:r>
    </w:p>
    <w:p>
      <w:pPr>
        <w:spacing w:after="200"/>
        <w:jc w:val="both"/>
      </w:pPr>
      <w:r>
        <w:rPr>
          <w:rFonts w:ascii="Calibri" w:cs="Calibri" w:eastAsia="Calibri" w:hAnsi="Calibri"/>
          <w:color w:val="262626"/>
          <w:sz w:val="22"/>
          <w:szCs w:val="22"/>
        </w:rPr>
        <w:t xml:space="preserve">Important notices and items of general interest are continually posted on our bulletin board. Employees should make a practice to review it frequently. This will assist employees in keeping up with what is current at the Company. To avoid confusion, employees should not post or remove any material from the bulletin board.</w:t>
      </w:r>
    </w:p>
    <w:p>
      <w:pPr>
        <w:pStyle w:val="Heading2"/>
        <w:spacing w:after="120" w:before="260"/>
      </w:pPr>
      <w:r>
        <w:rPr>
          <w:rFonts w:ascii="Cambria" w:cs="Cambria" w:eastAsia="Cambria" w:hAnsi="Cambria"/>
          <w:b/>
          <w:bCs/>
          <w:color w:val="1F3864"/>
          <w:sz w:val="24"/>
          <w:szCs w:val="24"/>
        </w:rPr>
        <w:t xml:space="preserve">4.23 Company Credit Cards</w:t>
      </w:r>
    </w:p>
    <w:p>
      <w:pPr>
        <w:spacing w:after="200"/>
        <w:jc w:val="both"/>
      </w:pPr>
      <w:r>
        <w:rPr>
          <w:rFonts w:ascii="Calibri" w:cs="Calibri" w:eastAsia="Calibri" w:hAnsi="Calibri"/>
          <w:color w:val="262626"/>
          <w:sz w:val="22"/>
          <w:szCs w:val="22"/>
        </w:rPr>
        <w:t xml:space="preserve">The company issues company credit cards to employees at its discretion. Company credit cards are for business purposes only. Employees are required to submit a receipt for all charges to their supervisor on a daily basis.</w:t>
      </w:r>
    </w:p>
    <w:p>
      <w:pPr>
        <w:spacing w:after="200"/>
        <w:jc w:val="both"/>
      </w:pPr>
      <w:r>
        <w:rPr>
          <w:rFonts w:ascii="Calibri" w:cs="Calibri" w:eastAsia="Calibri" w:hAnsi="Calibri"/>
          <w:color w:val="262626"/>
          <w:sz w:val="22"/>
          <w:szCs w:val="22"/>
        </w:rPr>
        <w:t xml:space="preserve">Company credit cards are permitted to be used for purchasing items necessary for daily operations of the business. Such purchases may include, but are not limited to, purchasing fuel for company vehicles, landfill fees, disposal facility fees, repairs on company vehicles, purchasing parts for company equipment and incidentals such as screws and small hardware. Employees will be responsible for reimbursing the Company, via payroll deduction, for all purchases that are determined to be unauthorized. All deductions will be done in compliance with State and Federal wage laws and will not bring the employee’s pay rate below minimum wage.</w:t>
      </w:r>
    </w:p>
    <w:p>
      <w:pPr>
        <w:spacing w:after="200"/>
        <w:jc w:val="both"/>
      </w:pPr>
      <w:r>
        <w:rPr>
          <w:rFonts w:ascii="Calibri" w:cs="Calibri" w:eastAsia="Calibri" w:hAnsi="Calibri"/>
          <w:color w:val="262626"/>
          <w:sz w:val="22"/>
          <w:szCs w:val="22"/>
        </w:rPr>
        <w:t xml:space="preserve">Violations to this policy will subject the employee to disciplinary action, up to and including termination of employment. All questions regarding use of company credit cards and expense reimbursements should be directed to the employee’s supervisor.</w:t>
      </w:r>
    </w:p>
    <w:p>
      <w:pPr>
        <w:pStyle w:val="Heading1"/>
        <w:pageBreakBefore/>
        <w:pBdr>
          <w:bottom w:val="single" w:color="AB8A2F" w:sz="8" w:space="8"/>
        </w:pBdr>
        <w:spacing w:after="280" w:before="240"/>
        <w:jc w:val="center"/>
      </w:pPr>
      <w:r>
        <w:rPr>
          <w:rFonts w:ascii="Cambria" w:cs="Cambria" w:eastAsia="Cambria" w:hAnsi="Cambria"/>
          <w:b/>
          <w:bCs/>
          <w:color w:val="1F3864"/>
          <w:spacing w:val="10"/>
          <w:sz w:val="30"/>
          <w:szCs w:val="30"/>
        </w:rPr>
        <w:t xml:space="preserve">SECTION V - EMPLOYEE BENEFITS</w:t>
      </w:r>
    </w:p>
    <w:p>
      <w:pPr>
        <w:pStyle w:val="Heading2"/>
        <w:spacing w:after="120" w:before="260"/>
      </w:pPr>
      <w:r>
        <w:rPr>
          <w:rFonts w:ascii="Cambria" w:cs="Cambria" w:eastAsia="Cambria" w:hAnsi="Cambria"/>
          <w:b/>
          <w:bCs/>
          <w:color w:val="1F3864"/>
          <w:sz w:val="24"/>
          <w:szCs w:val="24"/>
        </w:rPr>
        <w:t xml:space="preserve">5.1 Benefits Generally</w:t>
      </w:r>
    </w:p>
    <w:p>
      <w:pPr>
        <w:spacing w:after="200"/>
        <w:jc w:val="both"/>
      </w:pPr>
      <w:r>
        <w:rPr>
          <w:rFonts w:ascii="Calibri" w:cs="Calibri" w:eastAsia="Calibri" w:hAnsi="Calibri"/>
          <w:color w:val="262626"/>
          <w:sz w:val="22"/>
          <w:szCs w:val="22"/>
        </w:rPr>
        <w:t xml:space="preserve">In addition to benefits required by state and federal law, employees may become entitled to a range of benefits offered by the Company. The Company reserves the right to alter, supplement, amend, or end employee benefits at any time. Official benefits plans and documentation contain many terms and conditions. The policy below is only intended to outline general guidelines and procedures the Company follows with regard to its benefits. However, specific benefits are governed by their plan documents and other official benefit documentation, which is controlling over this policy, and any statement in the below policy that contradicts or does not align with official benefit documentation shall be considered void. Therefore, be sure to consult official documentation to specific benefits and/or a Human Resource Manager if you have any related questions or concerns.</w:t>
      </w:r>
    </w:p>
    <w:p>
      <w:pPr>
        <w:spacing w:after="200"/>
        <w:jc w:val="both"/>
      </w:pPr>
      <w:r>
        <w:rPr>
          <w:rFonts w:ascii="Calibri" w:cs="Calibri" w:eastAsia="Calibri" w:hAnsi="Calibri"/>
          <w:color w:val="262626"/>
          <w:sz w:val="22"/>
          <w:szCs w:val="22"/>
        </w:rPr>
        <w:t xml:space="preserve">Your eligibility for benefits that the Company may offer is contingent on many factors including employee status and performance as well as Company performance and profitability. Speak to your supervisor or a Human Resource Manager if you are unsure as to which benefits you are currently eligible for or may become eligible to receive.</w:t>
      </w:r>
    </w:p>
    <w:p>
      <w:pPr>
        <w:pStyle w:val="Heading2"/>
        <w:spacing w:after="120" w:before="260"/>
      </w:pPr>
      <w:r>
        <w:rPr>
          <w:rFonts w:ascii="Cambria" w:cs="Cambria" w:eastAsia="Cambria" w:hAnsi="Cambria"/>
          <w:b/>
          <w:bCs/>
          <w:color w:val="1F3864"/>
          <w:sz w:val="24"/>
          <w:szCs w:val="24"/>
        </w:rPr>
        <w:t xml:space="preserve">5.2 Social Security</w:t>
      </w:r>
    </w:p>
    <w:p>
      <w:pPr>
        <w:spacing w:after="200"/>
        <w:jc w:val="both"/>
      </w:pPr>
      <w:r>
        <w:rPr>
          <w:rFonts w:ascii="Calibri" w:cs="Calibri" w:eastAsia="Calibri" w:hAnsi="Calibri"/>
          <w:color w:val="262626"/>
          <w:sz w:val="22"/>
          <w:szCs w:val="22"/>
        </w:rPr>
        <w:t xml:space="preserve">Both you and the Company contribute to the federal government's Social Security Program. This program is designed to provide you benefits when you retire, become disabled, or are unemployed. Contact a Human Resource Manager should you have any questions or concerns regarding your social security contributions.</w:t>
      </w:r>
    </w:p>
    <w:p>
      <w:pPr>
        <w:pStyle w:val="Heading2"/>
        <w:spacing w:after="120" w:before="260"/>
      </w:pPr>
      <w:r>
        <w:rPr>
          <w:rFonts w:ascii="Cambria" w:cs="Cambria" w:eastAsia="Cambria" w:hAnsi="Cambria"/>
          <w:b/>
          <w:bCs/>
          <w:color w:val="1F3864"/>
          <w:sz w:val="24"/>
          <w:szCs w:val="24"/>
        </w:rPr>
        <w:t xml:space="preserve">5.3 Unemployment Insurance</w:t>
      </w:r>
    </w:p>
    <w:p>
      <w:pPr>
        <w:spacing w:after="200"/>
        <w:jc w:val="both"/>
      </w:pPr>
      <w:r>
        <w:rPr>
          <w:rFonts w:ascii="Calibri" w:cs="Calibri" w:eastAsia="Calibri" w:hAnsi="Calibri"/>
          <w:color w:val="262626"/>
          <w:sz w:val="22"/>
          <w:szCs w:val="22"/>
        </w:rPr>
        <w:t xml:space="preserve">The Company pays taxes toward unemployment insurance in accordance with federal and state law. This provides you with supplemental income should you become unemployed through no fault of your own and also meet certain other eligibility requirements. Contact a Human Resource Manager should you have any questions or concerns regarding unemployment insurance.</w:t>
      </w:r>
    </w:p>
    <w:p>
      <w:pPr>
        <w:pStyle w:val="Heading2"/>
        <w:spacing w:after="120" w:before="260"/>
      </w:pPr>
      <w:r>
        <w:rPr>
          <w:rFonts w:ascii="Cambria" w:cs="Cambria" w:eastAsia="Cambria" w:hAnsi="Cambria"/>
          <w:b/>
          <w:bCs/>
          <w:color w:val="1F3864"/>
          <w:sz w:val="24"/>
          <w:szCs w:val="24"/>
        </w:rPr>
        <w:t xml:space="preserve">5.4 Workers’ Compensation Insurance</w:t>
      </w:r>
    </w:p>
    <w:p>
      <w:pPr>
        <w:spacing w:after="200"/>
        <w:jc w:val="both"/>
      </w:pPr>
      <w:r>
        <w:rPr>
          <w:rFonts w:ascii="Calibri" w:cs="Calibri" w:eastAsia="Calibri" w:hAnsi="Calibri"/>
          <w:color w:val="262626"/>
          <w:sz w:val="22"/>
          <w:szCs w:val="22"/>
        </w:rPr>
        <w:t xml:space="preserve">Workers’ Compensation benefits are provided, as required by law, for injuries or illness arising out of job-related duties, at no cost to an employee. It is our goal to have an accident-free workplace, but sometimes injuries occur. When that happens, it is our desire that the injured employee receives prompt, appropriate, quality medical care. To that end, we participate in the managed care program to assure high standards of quality treatment and service. In the event you are injured on the job, we ask that you complete the following steps:</w:t>
      </w:r>
    </w:p>
    <w:p>
      <w:pPr>
        <w:pStyle w:val="ListParagraph"/>
        <w:numPr>
          <w:ilvl w:val="0"/>
          <w:numId w:val="1"/>
        </w:numPr>
        <w:spacing w:after="100"/>
        <w:jc w:val="both"/>
      </w:pPr>
      <w:r>
        <w:rPr>
          <w:rFonts w:ascii="Calibri" w:cs="Calibri" w:eastAsia="Calibri" w:hAnsi="Calibri"/>
          <w:color w:val="262626"/>
          <w:sz w:val="22"/>
          <w:szCs w:val="22"/>
        </w:rPr>
        <w:t xml:space="preserve">For all life-threatening medical emergencies, immediately call 911 and get to the nearest medical facility.</w:t>
      </w:r>
    </w:p>
    <w:p>
      <w:pPr>
        <w:pStyle w:val="ListParagraph"/>
        <w:numPr>
          <w:ilvl w:val="0"/>
          <w:numId w:val="1"/>
        </w:numPr>
        <w:spacing w:after="100"/>
        <w:jc w:val="both"/>
      </w:pPr>
      <w:r>
        <w:rPr>
          <w:rFonts w:ascii="Calibri" w:cs="Calibri" w:eastAsia="Calibri" w:hAnsi="Calibri"/>
          <w:color w:val="262626"/>
          <w:sz w:val="22"/>
          <w:szCs w:val="22"/>
        </w:rPr>
        <w:t xml:space="preserve">For all minor injuries that do not require off premises’ medical treatment, report the injury to your supervisor for documentation and obtain the necessary first aid.</w:t>
      </w:r>
    </w:p>
    <w:p>
      <w:pPr>
        <w:pStyle w:val="ListParagraph"/>
        <w:numPr>
          <w:ilvl w:val="0"/>
          <w:numId w:val="1"/>
        </w:numPr>
        <w:spacing w:after="100"/>
        <w:jc w:val="both"/>
      </w:pPr>
      <w:r>
        <w:rPr>
          <w:rFonts w:ascii="Calibri" w:cs="Calibri" w:eastAsia="Calibri" w:hAnsi="Calibri"/>
          <w:color w:val="262626"/>
          <w:sz w:val="22"/>
          <w:szCs w:val="22"/>
        </w:rPr>
        <w:t xml:space="preserve">For all injuries requiring medical attention:</w:t>
      </w:r>
    </w:p>
    <w:p>
      <w:pPr>
        <w:pStyle w:val="ListParagraph"/>
        <w:numPr>
          <w:ilvl w:val="1"/>
          <w:numId w:val="1"/>
        </w:numPr>
        <w:spacing w:after="100"/>
        <w:jc w:val="both"/>
      </w:pPr>
      <w:r>
        <w:rPr>
          <w:rFonts w:ascii="Calibri" w:cs="Calibri" w:eastAsia="Calibri" w:hAnsi="Calibri"/>
          <w:color w:val="262626"/>
          <w:sz w:val="22"/>
          <w:szCs w:val="22"/>
        </w:rPr>
        <w:t xml:space="preserve">Report the injury to your supervisor.</w:t>
      </w:r>
    </w:p>
    <w:p>
      <w:pPr>
        <w:pStyle w:val="ListParagraph"/>
        <w:numPr>
          <w:ilvl w:val="1"/>
          <w:numId w:val="1"/>
        </w:numPr>
        <w:spacing w:after="100"/>
        <w:jc w:val="both"/>
      </w:pPr>
      <w:r>
        <w:rPr>
          <w:rFonts w:ascii="Calibri" w:cs="Calibri" w:eastAsia="Calibri" w:hAnsi="Calibri"/>
          <w:color w:val="262626"/>
          <w:sz w:val="22"/>
          <w:szCs w:val="22"/>
        </w:rPr>
        <w:t xml:space="preserve">Your supervisor or other authorized personnel will provide a medical authorization form, chain of custody form, and location of the medical facility. If necessary, they will arrange for transportation. Failure to obtain authorization and use the designated managed care medical facility may jeopardize your benefits.</w:t>
      </w:r>
    </w:p>
    <w:p>
      <w:pPr>
        <w:pStyle w:val="ListParagraph"/>
        <w:numPr>
          <w:ilvl w:val="1"/>
          <w:numId w:val="1"/>
        </w:numPr>
        <w:spacing w:after="100"/>
        <w:jc w:val="both"/>
      </w:pPr>
      <w:r>
        <w:rPr>
          <w:rFonts w:ascii="Calibri" w:cs="Calibri" w:eastAsia="Calibri" w:hAnsi="Calibri"/>
          <w:color w:val="262626"/>
          <w:sz w:val="22"/>
          <w:szCs w:val="22"/>
        </w:rPr>
        <w:t xml:space="preserve">Supply the medical provider with the required information and the medical authorization form, plus the chain of custody form given to you.</w:t>
      </w:r>
    </w:p>
    <w:p>
      <w:pPr>
        <w:pStyle w:val="ListParagraph"/>
        <w:numPr>
          <w:ilvl w:val="1"/>
          <w:numId w:val="1"/>
        </w:numPr>
        <w:spacing w:after="100"/>
        <w:jc w:val="both"/>
      </w:pPr>
      <w:r>
        <w:rPr>
          <w:rFonts w:ascii="Calibri" w:cs="Calibri" w:eastAsia="Calibri" w:hAnsi="Calibri"/>
          <w:color w:val="262626"/>
          <w:sz w:val="22"/>
          <w:szCs w:val="22"/>
        </w:rPr>
        <w:t xml:space="preserve">Follow the medical treatment plan provided to you.</w:t>
      </w:r>
    </w:p>
    <w:p>
      <w:pPr>
        <w:pStyle w:val="ListParagraph"/>
        <w:numPr>
          <w:ilvl w:val="1"/>
          <w:numId w:val="1"/>
        </w:numPr>
        <w:spacing w:after="100"/>
        <w:jc w:val="both"/>
      </w:pPr>
      <w:r>
        <w:rPr>
          <w:rFonts w:ascii="Calibri" w:cs="Calibri" w:eastAsia="Calibri" w:hAnsi="Calibri"/>
          <w:color w:val="262626"/>
          <w:sz w:val="22"/>
          <w:szCs w:val="22"/>
        </w:rPr>
        <w:t xml:space="preserve">A medical case manager may contact you to assist, coordinate, and authorize treatment or referrals to specialists, and return to work plans, if required.</w:t>
      </w:r>
    </w:p>
    <w:p>
      <w:pPr>
        <w:pStyle w:val="ListParagraph"/>
        <w:numPr>
          <w:ilvl w:val="1"/>
          <w:numId w:val="1"/>
        </w:numPr>
        <w:spacing w:after="100"/>
        <w:jc w:val="both"/>
      </w:pPr>
      <w:r>
        <w:rPr>
          <w:rFonts w:ascii="Calibri" w:cs="Calibri" w:eastAsia="Calibri" w:hAnsi="Calibri"/>
          <w:color w:val="262626"/>
          <w:sz w:val="22"/>
          <w:szCs w:val="22"/>
        </w:rPr>
        <w:t xml:space="preserve">We endorse a light-duty, return-to-work program for the benefit of all concerned. Your treating physician will make this determination. Refusal of light duty, if available, can cause loss of disability benefits.</w:t>
      </w:r>
    </w:p>
    <w:p>
      <w:pPr>
        <w:spacing w:after="200"/>
        <w:jc w:val="both"/>
      </w:pPr>
      <w:r>
        <w:rPr>
          <w:rFonts w:ascii="Calibri" w:cs="Calibri" w:eastAsia="Calibri" w:hAnsi="Calibri"/>
          <w:color w:val="262626"/>
          <w:sz w:val="22"/>
          <w:szCs w:val="22"/>
        </w:rPr>
        <w:t xml:space="preserve">All states have a waiting period prior to being eligible for any wage loss payments.</w:t>
      </w:r>
    </w:p>
    <w:p>
      <w:pPr>
        <w:pStyle w:val="Heading1"/>
        <w:pageBreakBefore/>
        <w:pBdr>
          <w:bottom w:val="single" w:color="AB8A2F" w:sz="8" w:space="8"/>
        </w:pBdr>
        <w:spacing w:after="280" w:before="240"/>
        <w:jc w:val="center"/>
      </w:pPr>
      <w:r>
        <w:rPr>
          <w:rFonts w:ascii="Cambria" w:cs="Cambria" w:eastAsia="Cambria" w:hAnsi="Cambria"/>
          <w:b/>
          <w:bCs/>
          <w:color w:val="1F3864"/>
          <w:spacing w:val="10"/>
          <w:sz w:val="30"/>
          <w:szCs w:val="30"/>
        </w:rPr>
        <w:t xml:space="preserve">SECTION VI - TIME OFF AND LEAVES OF ABSENCE</w:t>
      </w:r>
    </w:p>
    <w:p>
      <w:pPr>
        <w:pStyle w:val="Heading2"/>
        <w:spacing w:after="120" w:before="260"/>
      </w:pPr>
      <w:r>
        <w:rPr>
          <w:rFonts w:ascii="Cambria" w:cs="Cambria" w:eastAsia="Cambria" w:hAnsi="Cambria"/>
          <w:b/>
          <w:bCs/>
          <w:color w:val="1F3864"/>
          <w:sz w:val="24"/>
          <w:szCs w:val="24"/>
        </w:rPr>
        <w:t xml:space="preserve">6.1 Requesting Leave</w:t>
      </w:r>
    </w:p>
    <w:p>
      <w:pPr>
        <w:spacing w:after="200"/>
        <w:jc w:val="both"/>
      </w:pPr>
      <w:r>
        <w:rPr>
          <w:rFonts w:ascii="Calibri" w:cs="Calibri" w:eastAsia="Calibri" w:hAnsi="Calibri"/>
          <w:color w:val="262626"/>
          <w:sz w:val="22"/>
          <w:szCs w:val="22"/>
        </w:rPr>
        <w:t xml:space="preserve">The Company's operations rely on having a dependable and consistent workforce. However, we understand that circumstances will sometimes require employees to take time off work. Eligible employees are entitled to various types of leave that are either mandated by law or offered by the Company on a discretionary basis. Unless a specific type of leave in this policy provides a different notice time or otherwise required by law, employees must provide at least seven (7) days' advance notice prior to taking planned leave. If the need for leave is unforeseeable, you must give notice as soon as possible under the circumstances.</w:t>
      </w:r>
    </w:p>
    <w:p>
      <w:pPr>
        <w:spacing w:after="200"/>
        <w:jc w:val="both"/>
      </w:pPr>
      <w:r>
        <w:rPr>
          <w:rFonts w:ascii="Calibri" w:cs="Calibri" w:eastAsia="Calibri" w:hAnsi="Calibri"/>
          <w:color w:val="262626"/>
          <w:sz w:val="22"/>
          <w:szCs w:val="22"/>
        </w:rPr>
        <w:t xml:space="preserve">Employees must properly submit all requests for leave within the notice period required and receive authorization prior to taking the time off work. Unless required to authorize the leave by law, the Company will grant leave requests based upon Company needs and the Company's ability to absorb the missed work. Unless otherwise noted or required by law, regular full- and part-time employees that receive paid time off will be paid at their normal base pay rate for the hours absent. If you are unsure as to which types of leave you are eligible to receive, consult a Human Resource Manager.</w:t>
      </w:r>
    </w:p>
    <w:p>
      <w:pPr>
        <w:pStyle w:val="Heading2"/>
        <w:spacing w:after="120" w:before="260"/>
      </w:pPr>
      <w:r>
        <w:rPr>
          <w:rFonts w:ascii="Cambria" w:cs="Cambria" w:eastAsia="Cambria" w:hAnsi="Cambria"/>
          <w:b/>
          <w:bCs/>
          <w:color w:val="1F3864"/>
          <w:sz w:val="24"/>
          <w:szCs w:val="24"/>
        </w:rPr>
        <w:t xml:space="preserve">6.2 Paid Time Off</w:t>
      </w:r>
    </w:p>
    <w:p>
      <w:pPr>
        <w:spacing w:after="200"/>
        <w:jc w:val="both"/>
      </w:pPr>
      <w:r>
        <w:rPr>
          <w:rFonts w:ascii="Calibri" w:cs="Calibri" w:eastAsia="Calibri" w:hAnsi="Calibri"/>
          <w:color w:val="262626"/>
          <w:sz w:val="22"/>
          <w:szCs w:val="22"/>
        </w:rPr>
        <w:t xml:space="preserve">Effective September 1, 2026, this policy governs Paid Time Off (“PTO”) for eligible employees, including eligibility, accrual, use, carryover, and payout.</w:t>
      </w:r>
    </w:p>
    <w:p>
      <w:pPr>
        <w:spacing w:after="120" w:before="220"/>
      </w:pPr>
      <w:r>
        <w:rPr>
          <w:rFonts w:ascii="Cambria" w:cs="Cambria" w:eastAsia="Cambria" w:hAnsi="Cambria"/>
          <w:b/>
          <w:bCs/>
          <w:color w:val="1F3864"/>
          <w:sz w:val="22"/>
          <w:szCs w:val="22"/>
        </w:rPr>
        <w:t xml:space="preserve">Eligibility &amp; Employee Classifications</w:t>
      </w:r>
    </w:p>
    <w:p>
      <w:pPr>
        <w:spacing w:after="200"/>
        <w:jc w:val="both"/>
      </w:pPr>
      <w:r>
        <w:rPr>
          <w:rFonts w:ascii="Calibri" w:cs="Calibri" w:eastAsia="Calibri" w:hAnsi="Calibri"/>
          <w:color w:val="262626"/>
          <w:sz w:val="22"/>
          <w:szCs w:val="22"/>
        </w:rPr>
        <w:t xml:space="preserve">This policy applies to eligible full-time employees (30+ hours/week), assigned to one of four accrual schedules by job role and tenure: Schedule A (Team Members), Schedule B (Specialized Staff), Schedule C (Supervisors), and Schedule D (Management). Tenure is measured from hire date (“anniversary date”) and recalculates each anniversary.</w:t>
      </w:r>
    </w:p>
    <w:p>
      <w:pPr>
        <w:spacing w:after="200"/>
        <w:jc w:val="both"/>
      </w:pPr>
      <w:r>
        <w:rPr>
          <w:rFonts w:ascii="Calibri" w:cs="Calibri" w:eastAsia="Calibri" w:hAnsi="Calibri"/>
          <w:color w:val="262626"/>
          <w:sz w:val="22"/>
          <w:szCs w:val="22"/>
        </w:rPr>
        <w:t xml:space="preserve">Part-time, seasonal/temporary, and commissioned employees do not accrue PTO and are not eligible for this program.</w:t>
      </w:r>
    </w:p>
    <w:p>
      <w:pPr>
        <w:spacing w:after="200"/>
        <w:jc w:val="both"/>
      </w:pPr>
      <w:r>
        <w:rPr>
          <w:rFonts w:ascii="Calibri" w:cs="Calibri" w:eastAsia="Calibri" w:hAnsi="Calibri"/>
          <w:color w:val="262626"/>
          <w:sz w:val="22"/>
          <w:szCs w:val="22"/>
        </w:rPr>
        <w:t xml:space="preserve">HR determines and communicates each employee's classification and schedule at hire and upon any change in role or status.</w:t>
      </w:r>
    </w:p>
    <w:p>
      <w:pPr>
        <w:spacing w:after="120" w:before="220"/>
      </w:pPr>
      <w:r>
        <w:rPr>
          <w:rFonts w:ascii="Cambria" w:cs="Cambria" w:eastAsia="Cambria" w:hAnsi="Cambria"/>
          <w:b/>
          <w:bCs/>
          <w:color w:val="1F3864"/>
          <w:sz w:val="22"/>
          <w:szCs w:val="22"/>
        </w:rPr>
        <w:t xml:space="preserve">Accrual Schedules</w:t>
      </w:r>
    </w:p>
    <w:p>
      <w:pPr>
        <w:spacing w:after="200"/>
        <w:jc w:val="both"/>
      </w:pPr>
      <w:r>
        <w:rPr>
          <w:rFonts w:ascii="Calibri" w:cs="Calibri" w:eastAsia="Calibri" w:hAnsi="Calibri"/>
          <w:color w:val="262626"/>
          <w:sz w:val="22"/>
          <w:szCs w:val="22"/>
        </w:rPr>
        <w:t xml:space="preserve">Full-time employees accrue PTO weekly per the schedules below. PTO is not available for use until completion of the 90-day probationary period.</w:t>
      </w:r>
    </w:p>
    <w:p>
      <w:pPr>
        <w:spacing w:after="80" w:before="180"/>
      </w:pPr>
      <w:r>
        <w:rPr>
          <w:rFonts w:ascii="Cambria" w:cs="Cambria" w:eastAsia="Cambria" w:hAnsi="Cambria"/>
          <w:b/>
          <w:bCs/>
          <w:i/>
          <w:iCs/>
          <w:color w:val="1F3864"/>
          <w:sz w:val="22"/>
          <w:szCs w:val="22"/>
        </w:rPr>
        <w:t xml:space="preserve">Schedule A: Team Members</w:t>
      </w:r>
    </w:p>
    <w:tbl>
      <w:tblPr>
        <w:tblW w:type="dxa" w:w="9400"/>
        <w:tblBorders>
          <w:top w:val="single" w:color="1F3864" w:sz="4"/>
          <w:left w:val="single" w:color="1F3864" w:sz="4"/>
          <w:bottom w:val="single" w:color="1F3864" w:sz="4"/>
          <w:right w:val="single" w:color="1F3864" w:sz="4"/>
          <w:insideH w:val="single" w:color="C9CDD3" w:sz="2"/>
          <w:insideV w:val="single" w:color="C9CDD3" w:sz="2"/>
        </w:tblBorders>
      </w:tblPr>
      <w:tblGrid>
        <w:gridCol w:w="4500"/>
        <w:gridCol w:w="2400"/>
        <w:gridCol w:w="2500"/>
      </w:tblGrid>
      <w:tr>
        <w:trPr>
          <w:tblHeader/>
        </w:trPr>
        <w:tc>
          <w:tcPr>
            <w:tcW w:type="dxa" w:w="4500"/>
            <w:shd w:fill="1F3864" w:val="clear"/>
            <w:tcMar>
              <w:top w:type="dxa" w:w="90"/>
              <w:left w:type="dxa" w:w="100"/>
              <w:bottom w:type="dxa" w:w="90"/>
              <w:right w:type="dxa" w:w="100"/>
            </w:tcMar>
            <w:vAlign w:val="center"/>
          </w:tcPr>
          <w:p>
            <w:pPr>
              <w:jc w:val="center"/>
            </w:pPr>
            <w:r>
              <w:rPr>
                <w:rFonts w:ascii="Cambria" w:cs="Cambria" w:eastAsia="Cambria" w:hAnsi="Cambria"/>
                <w:b/>
                <w:bCs/>
                <w:color w:val="FFFFFF"/>
                <w:sz w:val="20"/>
                <w:szCs w:val="20"/>
              </w:rPr>
              <w:t xml:space="preserve">Years of Service</w:t>
            </w:r>
          </w:p>
        </w:tc>
        <w:tc>
          <w:tcPr>
            <w:tcW w:type="dxa" w:w="2400"/>
            <w:shd w:fill="1F3864" w:val="clear"/>
            <w:tcMar>
              <w:top w:type="dxa" w:w="90"/>
              <w:left w:type="dxa" w:w="100"/>
              <w:bottom w:type="dxa" w:w="90"/>
              <w:right w:type="dxa" w:w="100"/>
            </w:tcMar>
            <w:vAlign w:val="center"/>
          </w:tcPr>
          <w:p>
            <w:pPr>
              <w:jc w:val="center"/>
            </w:pPr>
            <w:r>
              <w:rPr>
                <w:rFonts w:ascii="Cambria" w:cs="Cambria" w:eastAsia="Cambria" w:hAnsi="Cambria"/>
                <w:b/>
                <w:bCs/>
                <w:color w:val="FFFFFF"/>
                <w:sz w:val="20"/>
                <w:szCs w:val="20"/>
              </w:rPr>
              <w:t xml:space="preserve">Annual PTO (Days)</w:t>
            </w:r>
          </w:p>
        </w:tc>
        <w:tc>
          <w:tcPr>
            <w:tcW w:type="dxa" w:w="2500"/>
            <w:shd w:fill="1F3864" w:val="clear"/>
            <w:tcMar>
              <w:top w:type="dxa" w:w="90"/>
              <w:left w:type="dxa" w:w="100"/>
              <w:bottom w:type="dxa" w:w="90"/>
              <w:right w:type="dxa" w:w="100"/>
            </w:tcMar>
            <w:vAlign w:val="center"/>
          </w:tcPr>
          <w:p>
            <w:pPr>
              <w:jc w:val="center"/>
            </w:pPr>
            <w:r>
              <w:rPr>
                <w:rFonts w:ascii="Cambria" w:cs="Cambria" w:eastAsia="Cambria" w:hAnsi="Cambria"/>
                <w:b/>
                <w:bCs/>
                <w:color w:val="FFFFFF"/>
                <w:sz w:val="20"/>
                <w:szCs w:val="20"/>
              </w:rPr>
              <w:t xml:space="preserve">Annual PTO (Hours)</w:t>
            </w:r>
          </w:p>
        </w:tc>
      </w:tr>
      <w:tr>
        <w:tc>
          <w:tcPr>
            <w:tcW w:type="dxa" w:w="4500"/>
            <w:tcMar>
              <w:top w:type="dxa" w:w="60"/>
              <w:left w:type="dxa" w:w="100"/>
              <w:bottom w:type="dxa" w:w="60"/>
              <w:right w:type="dxa" w:w="100"/>
            </w:tcMar>
            <w:vAlign w:val="center"/>
          </w:tcPr>
          <w:p>
            <w:pPr>
              <w:jc w:val="center"/>
            </w:pPr>
            <w:r>
              <w:rPr>
                <w:rFonts w:ascii="Calibri" w:cs="Calibri" w:eastAsia="Calibri" w:hAnsi="Calibri"/>
                <w:color w:val="262626"/>
                <w:sz w:val="20"/>
                <w:szCs w:val="20"/>
              </w:rPr>
              <w:t xml:space="preserve">Less than 1 year</w:t>
            </w:r>
          </w:p>
        </w:tc>
        <w:tc>
          <w:tcPr>
            <w:tcW w:type="dxa" w:w="2400"/>
            <w:tcMar>
              <w:top w:type="dxa" w:w="60"/>
              <w:left w:type="dxa" w:w="100"/>
              <w:bottom w:type="dxa" w:w="60"/>
              <w:right w:type="dxa" w:w="100"/>
            </w:tcMar>
            <w:vAlign w:val="center"/>
          </w:tcPr>
          <w:p>
            <w:pPr>
              <w:jc w:val="center"/>
            </w:pPr>
            <w:r>
              <w:rPr>
                <w:rFonts w:ascii="Calibri" w:cs="Calibri" w:eastAsia="Calibri" w:hAnsi="Calibri"/>
                <w:color w:val="262626"/>
                <w:sz w:val="20"/>
                <w:szCs w:val="20"/>
              </w:rPr>
              <w:t xml:space="preserve">5 days</w:t>
            </w:r>
          </w:p>
        </w:tc>
        <w:tc>
          <w:tcPr>
            <w:tcW w:type="dxa" w:w="2500"/>
            <w:tcMar>
              <w:top w:type="dxa" w:w="60"/>
              <w:left w:type="dxa" w:w="100"/>
              <w:bottom w:type="dxa" w:w="60"/>
              <w:right w:type="dxa" w:w="100"/>
            </w:tcMar>
            <w:vAlign w:val="center"/>
          </w:tcPr>
          <w:p>
            <w:pPr>
              <w:jc w:val="center"/>
            </w:pPr>
            <w:r>
              <w:rPr>
                <w:rFonts w:ascii="Calibri" w:cs="Calibri" w:eastAsia="Calibri" w:hAnsi="Calibri"/>
                <w:color w:val="262626"/>
                <w:sz w:val="20"/>
                <w:szCs w:val="20"/>
              </w:rPr>
              <w:t xml:space="preserve">40 hours</w:t>
            </w:r>
          </w:p>
        </w:tc>
      </w:tr>
      <w:tr>
        <w:tc>
          <w:tcPr>
            <w:tcW w:type="dxa" w:w="4500"/>
            <w:shd w:fill="F3F4F6" w:val="clear"/>
            <w:tcMar>
              <w:top w:type="dxa" w:w="60"/>
              <w:left w:type="dxa" w:w="100"/>
              <w:bottom w:type="dxa" w:w="60"/>
              <w:right w:type="dxa" w:w="100"/>
            </w:tcMar>
            <w:vAlign w:val="center"/>
          </w:tcPr>
          <w:p>
            <w:pPr>
              <w:jc w:val="center"/>
            </w:pPr>
            <w:r>
              <w:rPr>
                <w:rFonts w:ascii="Calibri" w:cs="Calibri" w:eastAsia="Calibri" w:hAnsi="Calibri"/>
                <w:color w:val="262626"/>
                <w:sz w:val="20"/>
                <w:szCs w:val="20"/>
              </w:rPr>
              <w:t xml:space="preserve">1 year – under 2 years</w:t>
            </w:r>
          </w:p>
        </w:tc>
        <w:tc>
          <w:tcPr>
            <w:tcW w:type="dxa" w:w="2400"/>
            <w:shd w:fill="F3F4F6" w:val="clear"/>
            <w:tcMar>
              <w:top w:type="dxa" w:w="60"/>
              <w:left w:type="dxa" w:w="100"/>
              <w:bottom w:type="dxa" w:w="60"/>
              <w:right w:type="dxa" w:w="100"/>
            </w:tcMar>
            <w:vAlign w:val="center"/>
          </w:tcPr>
          <w:p>
            <w:pPr>
              <w:jc w:val="center"/>
            </w:pPr>
            <w:r>
              <w:rPr>
                <w:rFonts w:ascii="Calibri" w:cs="Calibri" w:eastAsia="Calibri" w:hAnsi="Calibri"/>
                <w:color w:val="262626"/>
                <w:sz w:val="20"/>
                <w:szCs w:val="20"/>
              </w:rPr>
              <w:t xml:space="preserve">8 days</w:t>
            </w:r>
          </w:p>
        </w:tc>
        <w:tc>
          <w:tcPr>
            <w:tcW w:type="dxa" w:w="2500"/>
            <w:shd w:fill="F3F4F6" w:val="clear"/>
            <w:tcMar>
              <w:top w:type="dxa" w:w="60"/>
              <w:left w:type="dxa" w:w="100"/>
              <w:bottom w:type="dxa" w:w="60"/>
              <w:right w:type="dxa" w:w="100"/>
            </w:tcMar>
            <w:vAlign w:val="center"/>
          </w:tcPr>
          <w:p>
            <w:pPr>
              <w:jc w:val="center"/>
            </w:pPr>
            <w:r>
              <w:rPr>
                <w:rFonts w:ascii="Calibri" w:cs="Calibri" w:eastAsia="Calibri" w:hAnsi="Calibri"/>
                <w:color w:val="262626"/>
                <w:sz w:val="20"/>
                <w:szCs w:val="20"/>
              </w:rPr>
              <w:t xml:space="preserve">64 hours</w:t>
            </w:r>
          </w:p>
        </w:tc>
      </w:tr>
      <w:tr>
        <w:tc>
          <w:tcPr>
            <w:tcW w:type="dxa" w:w="4500"/>
            <w:tcMar>
              <w:top w:type="dxa" w:w="60"/>
              <w:left w:type="dxa" w:w="100"/>
              <w:bottom w:type="dxa" w:w="60"/>
              <w:right w:type="dxa" w:w="100"/>
            </w:tcMar>
            <w:vAlign w:val="center"/>
          </w:tcPr>
          <w:p>
            <w:pPr>
              <w:jc w:val="center"/>
            </w:pPr>
            <w:r>
              <w:rPr>
                <w:rFonts w:ascii="Calibri" w:cs="Calibri" w:eastAsia="Calibri" w:hAnsi="Calibri"/>
                <w:color w:val="262626"/>
                <w:sz w:val="20"/>
                <w:szCs w:val="20"/>
              </w:rPr>
              <w:t xml:space="preserve">2 years – under 3 years</w:t>
            </w:r>
          </w:p>
        </w:tc>
        <w:tc>
          <w:tcPr>
            <w:tcW w:type="dxa" w:w="2400"/>
            <w:tcMar>
              <w:top w:type="dxa" w:w="60"/>
              <w:left w:type="dxa" w:w="100"/>
              <w:bottom w:type="dxa" w:w="60"/>
              <w:right w:type="dxa" w:w="100"/>
            </w:tcMar>
            <w:vAlign w:val="center"/>
          </w:tcPr>
          <w:p>
            <w:pPr>
              <w:jc w:val="center"/>
            </w:pPr>
            <w:r>
              <w:rPr>
                <w:rFonts w:ascii="Calibri" w:cs="Calibri" w:eastAsia="Calibri" w:hAnsi="Calibri"/>
                <w:color w:val="262626"/>
                <w:sz w:val="20"/>
                <w:szCs w:val="20"/>
              </w:rPr>
              <w:t xml:space="preserve">10 days</w:t>
            </w:r>
          </w:p>
        </w:tc>
        <w:tc>
          <w:tcPr>
            <w:tcW w:type="dxa" w:w="2500"/>
            <w:tcMar>
              <w:top w:type="dxa" w:w="60"/>
              <w:left w:type="dxa" w:w="100"/>
              <w:bottom w:type="dxa" w:w="60"/>
              <w:right w:type="dxa" w:w="100"/>
            </w:tcMar>
            <w:vAlign w:val="center"/>
          </w:tcPr>
          <w:p>
            <w:pPr>
              <w:jc w:val="center"/>
            </w:pPr>
            <w:r>
              <w:rPr>
                <w:rFonts w:ascii="Calibri" w:cs="Calibri" w:eastAsia="Calibri" w:hAnsi="Calibri"/>
                <w:color w:val="262626"/>
                <w:sz w:val="20"/>
                <w:szCs w:val="20"/>
              </w:rPr>
              <w:t xml:space="preserve">80 hours</w:t>
            </w:r>
          </w:p>
        </w:tc>
      </w:tr>
      <w:tr>
        <w:tc>
          <w:tcPr>
            <w:tcW w:type="dxa" w:w="4500"/>
            <w:shd w:fill="F3F4F6" w:val="clear"/>
            <w:tcMar>
              <w:top w:type="dxa" w:w="60"/>
              <w:left w:type="dxa" w:w="100"/>
              <w:bottom w:type="dxa" w:w="60"/>
              <w:right w:type="dxa" w:w="100"/>
            </w:tcMar>
            <w:vAlign w:val="center"/>
          </w:tcPr>
          <w:p>
            <w:pPr>
              <w:jc w:val="center"/>
            </w:pPr>
            <w:r>
              <w:rPr>
                <w:rFonts w:ascii="Calibri" w:cs="Calibri" w:eastAsia="Calibri" w:hAnsi="Calibri"/>
                <w:color w:val="262626"/>
                <w:sz w:val="20"/>
                <w:szCs w:val="20"/>
              </w:rPr>
              <w:t xml:space="preserve">3 years – under 5 years</w:t>
            </w:r>
          </w:p>
        </w:tc>
        <w:tc>
          <w:tcPr>
            <w:tcW w:type="dxa" w:w="2400"/>
            <w:shd w:fill="F3F4F6" w:val="clear"/>
            <w:tcMar>
              <w:top w:type="dxa" w:w="60"/>
              <w:left w:type="dxa" w:w="100"/>
              <w:bottom w:type="dxa" w:w="60"/>
              <w:right w:type="dxa" w:w="100"/>
            </w:tcMar>
            <w:vAlign w:val="center"/>
          </w:tcPr>
          <w:p>
            <w:pPr>
              <w:jc w:val="center"/>
            </w:pPr>
            <w:r>
              <w:rPr>
                <w:rFonts w:ascii="Calibri" w:cs="Calibri" w:eastAsia="Calibri" w:hAnsi="Calibri"/>
                <w:color w:val="262626"/>
                <w:sz w:val="20"/>
                <w:szCs w:val="20"/>
              </w:rPr>
              <w:t xml:space="preserve">12 days</w:t>
            </w:r>
          </w:p>
        </w:tc>
        <w:tc>
          <w:tcPr>
            <w:tcW w:type="dxa" w:w="2500"/>
            <w:shd w:fill="F3F4F6" w:val="clear"/>
            <w:tcMar>
              <w:top w:type="dxa" w:w="60"/>
              <w:left w:type="dxa" w:w="100"/>
              <w:bottom w:type="dxa" w:w="60"/>
              <w:right w:type="dxa" w:w="100"/>
            </w:tcMar>
            <w:vAlign w:val="center"/>
          </w:tcPr>
          <w:p>
            <w:pPr>
              <w:jc w:val="center"/>
            </w:pPr>
            <w:r>
              <w:rPr>
                <w:rFonts w:ascii="Calibri" w:cs="Calibri" w:eastAsia="Calibri" w:hAnsi="Calibri"/>
                <w:color w:val="262626"/>
                <w:sz w:val="20"/>
                <w:szCs w:val="20"/>
              </w:rPr>
              <w:t xml:space="preserve">96 hours</w:t>
            </w:r>
          </w:p>
        </w:tc>
      </w:tr>
      <w:tr>
        <w:tc>
          <w:tcPr>
            <w:tcW w:type="dxa" w:w="4500"/>
            <w:tcMar>
              <w:top w:type="dxa" w:w="60"/>
              <w:left w:type="dxa" w:w="100"/>
              <w:bottom w:type="dxa" w:w="60"/>
              <w:right w:type="dxa" w:w="100"/>
            </w:tcMar>
            <w:vAlign w:val="center"/>
          </w:tcPr>
          <w:p>
            <w:pPr>
              <w:jc w:val="center"/>
            </w:pPr>
            <w:r>
              <w:rPr>
                <w:rFonts w:ascii="Calibri" w:cs="Calibri" w:eastAsia="Calibri" w:hAnsi="Calibri"/>
                <w:color w:val="262626"/>
                <w:sz w:val="20"/>
                <w:szCs w:val="20"/>
              </w:rPr>
              <w:t xml:space="preserve">5 years – under 7 years</w:t>
            </w:r>
          </w:p>
        </w:tc>
        <w:tc>
          <w:tcPr>
            <w:tcW w:type="dxa" w:w="2400"/>
            <w:tcMar>
              <w:top w:type="dxa" w:w="60"/>
              <w:left w:type="dxa" w:w="100"/>
              <w:bottom w:type="dxa" w:w="60"/>
              <w:right w:type="dxa" w:w="100"/>
            </w:tcMar>
            <w:vAlign w:val="center"/>
          </w:tcPr>
          <w:p>
            <w:pPr>
              <w:jc w:val="center"/>
            </w:pPr>
            <w:r>
              <w:rPr>
                <w:rFonts w:ascii="Calibri" w:cs="Calibri" w:eastAsia="Calibri" w:hAnsi="Calibri"/>
                <w:color w:val="262626"/>
                <w:sz w:val="20"/>
                <w:szCs w:val="20"/>
              </w:rPr>
              <w:t xml:space="preserve">15 days</w:t>
            </w:r>
          </w:p>
        </w:tc>
        <w:tc>
          <w:tcPr>
            <w:tcW w:type="dxa" w:w="2500"/>
            <w:tcMar>
              <w:top w:type="dxa" w:w="60"/>
              <w:left w:type="dxa" w:w="100"/>
              <w:bottom w:type="dxa" w:w="60"/>
              <w:right w:type="dxa" w:w="100"/>
            </w:tcMar>
            <w:vAlign w:val="center"/>
          </w:tcPr>
          <w:p>
            <w:pPr>
              <w:jc w:val="center"/>
            </w:pPr>
            <w:r>
              <w:rPr>
                <w:rFonts w:ascii="Calibri" w:cs="Calibri" w:eastAsia="Calibri" w:hAnsi="Calibri"/>
                <w:color w:val="262626"/>
                <w:sz w:val="20"/>
                <w:szCs w:val="20"/>
              </w:rPr>
              <w:t xml:space="preserve">120 hours</w:t>
            </w:r>
          </w:p>
        </w:tc>
      </w:tr>
      <w:tr>
        <w:tc>
          <w:tcPr>
            <w:tcW w:type="dxa" w:w="4500"/>
            <w:shd w:fill="F3F4F6" w:val="clear"/>
            <w:tcMar>
              <w:top w:type="dxa" w:w="60"/>
              <w:left w:type="dxa" w:w="100"/>
              <w:bottom w:type="dxa" w:w="60"/>
              <w:right w:type="dxa" w:w="100"/>
            </w:tcMar>
            <w:vAlign w:val="center"/>
          </w:tcPr>
          <w:p>
            <w:pPr>
              <w:jc w:val="center"/>
            </w:pPr>
            <w:r>
              <w:rPr>
                <w:rFonts w:ascii="Calibri" w:cs="Calibri" w:eastAsia="Calibri" w:hAnsi="Calibri"/>
                <w:color w:val="262626"/>
                <w:sz w:val="20"/>
                <w:szCs w:val="20"/>
              </w:rPr>
              <w:t xml:space="preserve">7 years – under 10 years</w:t>
            </w:r>
          </w:p>
        </w:tc>
        <w:tc>
          <w:tcPr>
            <w:tcW w:type="dxa" w:w="2400"/>
            <w:shd w:fill="F3F4F6" w:val="clear"/>
            <w:tcMar>
              <w:top w:type="dxa" w:w="60"/>
              <w:left w:type="dxa" w:w="100"/>
              <w:bottom w:type="dxa" w:w="60"/>
              <w:right w:type="dxa" w:w="100"/>
            </w:tcMar>
            <w:vAlign w:val="center"/>
          </w:tcPr>
          <w:p>
            <w:pPr>
              <w:jc w:val="center"/>
            </w:pPr>
            <w:r>
              <w:rPr>
                <w:rFonts w:ascii="Calibri" w:cs="Calibri" w:eastAsia="Calibri" w:hAnsi="Calibri"/>
                <w:color w:val="262626"/>
                <w:sz w:val="20"/>
                <w:szCs w:val="20"/>
              </w:rPr>
              <w:t xml:space="preserve">18 days</w:t>
            </w:r>
          </w:p>
        </w:tc>
        <w:tc>
          <w:tcPr>
            <w:tcW w:type="dxa" w:w="2500"/>
            <w:shd w:fill="F3F4F6" w:val="clear"/>
            <w:tcMar>
              <w:top w:type="dxa" w:w="60"/>
              <w:left w:type="dxa" w:w="100"/>
              <w:bottom w:type="dxa" w:w="60"/>
              <w:right w:type="dxa" w:w="100"/>
            </w:tcMar>
            <w:vAlign w:val="center"/>
          </w:tcPr>
          <w:p>
            <w:pPr>
              <w:jc w:val="center"/>
            </w:pPr>
            <w:r>
              <w:rPr>
                <w:rFonts w:ascii="Calibri" w:cs="Calibri" w:eastAsia="Calibri" w:hAnsi="Calibri"/>
                <w:color w:val="262626"/>
                <w:sz w:val="20"/>
                <w:szCs w:val="20"/>
              </w:rPr>
              <w:t xml:space="preserve">144 hours</w:t>
            </w:r>
          </w:p>
        </w:tc>
      </w:tr>
      <w:tr>
        <w:tc>
          <w:tcPr>
            <w:tcW w:type="dxa" w:w="4500"/>
            <w:tcMar>
              <w:top w:type="dxa" w:w="60"/>
              <w:left w:type="dxa" w:w="100"/>
              <w:bottom w:type="dxa" w:w="60"/>
              <w:right w:type="dxa" w:w="100"/>
            </w:tcMar>
            <w:vAlign w:val="center"/>
          </w:tcPr>
          <w:p>
            <w:pPr>
              <w:jc w:val="center"/>
            </w:pPr>
            <w:r>
              <w:rPr>
                <w:rFonts w:ascii="Calibri" w:cs="Calibri" w:eastAsia="Calibri" w:hAnsi="Calibri"/>
                <w:color w:val="262626"/>
                <w:sz w:val="20"/>
                <w:szCs w:val="20"/>
              </w:rPr>
              <w:t xml:space="preserve">10+ years</w:t>
            </w:r>
          </w:p>
        </w:tc>
        <w:tc>
          <w:tcPr>
            <w:tcW w:type="dxa" w:w="2400"/>
            <w:tcMar>
              <w:top w:type="dxa" w:w="60"/>
              <w:left w:type="dxa" w:w="100"/>
              <w:bottom w:type="dxa" w:w="60"/>
              <w:right w:type="dxa" w:w="100"/>
            </w:tcMar>
            <w:vAlign w:val="center"/>
          </w:tcPr>
          <w:p>
            <w:pPr>
              <w:jc w:val="center"/>
            </w:pPr>
            <w:r>
              <w:rPr>
                <w:rFonts w:ascii="Calibri" w:cs="Calibri" w:eastAsia="Calibri" w:hAnsi="Calibri"/>
                <w:color w:val="262626"/>
                <w:sz w:val="20"/>
                <w:szCs w:val="20"/>
              </w:rPr>
              <w:t xml:space="preserve">20 days</w:t>
            </w:r>
          </w:p>
        </w:tc>
        <w:tc>
          <w:tcPr>
            <w:tcW w:type="dxa" w:w="2500"/>
            <w:tcMar>
              <w:top w:type="dxa" w:w="60"/>
              <w:left w:type="dxa" w:w="100"/>
              <w:bottom w:type="dxa" w:w="60"/>
              <w:right w:type="dxa" w:w="100"/>
            </w:tcMar>
            <w:vAlign w:val="center"/>
          </w:tcPr>
          <w:p>
            <w:pPr>
              <w:jc w:val="center"/>
            </w:pPr>
            <w:r>
              <w:rPr>
                <w:rFonts w:ascii="Calibri" w:cs="Calibri" w:eastAsia="Calibri" w:hAnsi="Calibri"/>
                <w:color w:val="262626"/>
                <w:sz w:val="20"/>
                <w:szCs w:val="20"/>
              </w:rPr>
              <w:t xml:space="preserve">160 hours</w:t>
            </w:r>
          </w:p>
        </w:tc>
      </w:tr>
    </w:tbl>
    <w:p>
      <w:pPr>
        <w:spacing w:after="120"/>
      </w:pPr>
    </w:p>
    <w:p>
      <w:pPr>
        <w:spacing w:after="80" w:before="180"/>
      </w:pPr>
      <w:r>
        <w:rPr>
          <w:rFonts w:ascii="Cambria" w:cs="Cambria" w:eastAsia="Cambria" w:hAnsi="Cambria"/>
          <w:b/>
          <w:bCs/>
          <w:i/>
          <w:iCs/>
          <w:color w:val="1F3864"/>
          <w:sz w:val="22"/>
          <w:szCs w:val="22"/>
        </w:rPr>
        <w:t xml:space="preserve">Schedule B: Specialized Staff</w:t>
      </w:r>
    </w:p>
    <w:tbl>
      <w:tblPr>
        <w:tblW w:type="dxa" w:w="9400"/>
        <w:tblBorders>
          <w:top w:val="single" w:color="1F3864" w:sz="4"/>
          <w:left w:val="single" w:color="1F3864" w:sz="4"/>
          <w:bottom w:val="single" w:color="1F3864" w:sz="4"/>
          <w:right w:val="single" w:color="1F3864" w:sz="4"/>
          <w:insideH w:val="single" w:color="C9CDD3" w:sz="2"/>
          <w:insideV w:val="single" w:color="C9CDD3" w:sz="2"/>
        </w:tblBorders>
      </w:tblPr>
      <w:tblGrid>
        <w:gridCol w:w="4500"/>
        <w:gridCol w:w="2400"/>
        <w:gridCol w:w="2500"/>
      </w:tblGrid>
      <w:tr>
        <w:trPr>
          <w:tblHeader/>
        </w:trPr>
        <w:tc>
          <w:tcPr>
            <w:tcW w:type="dxa" w:w="4500"/>
            <w:shd w:fill="1F3864" w:val="clear"/>
            <w:tcMar>
              <w:top w:type="dxa" w:w="90"/>
              <w:left w:type="dxa" w:w="100"/>
              <w:bottom w:type="dxa" w:w="90"/>
              <w:right w:type="dxa" w:w="100"/>
            </w:tcMar>
            <w:vAlign w:val="center"/>
          </w:tcPr>
          <w:p>
            <w:pPr>
              <w:jc w:val="center"/>
            </w:pPr>
            <w:r>
              <w:rPr>
                <w:rFonts w:ascii="Cambria" w:cs="Cambria" w:eastAsia="Cambria" w:hAnsi="Cambria"/>
                <w:b/>
                <w:bCs/>
                <w:color w:val="FFFFFF"/>
                <w:sz w:val="20"/>
                <w:szCs w:val="20"/>
              </w:rPr>
              <w:t xml:space="preserve">Years of Service</w:t>
            </w:r>
          </w:p>
        </w:tc>
        <w:tc>
          <w:tcPr>
            <w:tcW w:type="dxa" w:w="2400"/>
            <w:shd w:fill="1F3864" w:val="clear"/>
            <w:tcMar>
              <w:top w:type="dxa" w:w="90"/>
              <w:left w:type="dxa" w:w="100"/>
              <w:bottom w:type="dxa" w:w="90"/>
              <w:right w:type="dxa" w:w="100"/>
            </w:tcMar>
            <w:vAlign w:val="center"/>
          </w:tcPr>
          <w:p>
            <w:pPr>
              <w:jc w:val="center"/>
            </w:pPr>
            <w:r>
              <w:rPr>
                <w:rFonts w:ascii="Cambria" w:cs="Cambria" w:eastAsia="Cambria" w:hAnsi="Cambria"/>
                <w:b/>
                <w:bCs/>
                <w:color w:val="FFFFFF"/>
                <w:sz w:val="20"/>
                <w:szCs w:val="20"/>
              </w:rPr>
              <w:t xml:space="preserve">Annual PTO (Days)</w:t>
            </w:r>
          </w:p>
        </w:tc>
        <w:tc>
          <w:tcPr>
            <w:tcW w:type="dxa" w:w="2500"/>
            <w:shd w:fill="1F3864" w:val="clear"/>
            <w:tcMar>
              <w:top w:type="dxa" w:w="90"/>
              <w:left w:type="dxa" w:w="100"/>
              <w:bottom w:type="dxa" w:w="90"/>
              <w:right w:type="dxa" w:w="100"/>
            </w:tcMar>
            <w:vAlign w:val="center"/>
          </w:tcPr>
          <w:p>
            <w:pPr>
              <w:jc w:val="center"/>
            </w:pPr>
            <w:r>
              <w:rPr>
                <w:rFonts w:ascii="Cambria" w:cs="Cambria" w:eastAsia="Cambria" w:hAnsi="Cambria"/>
                <w:b/>
                <w:bCs/>
                <w:color w:val="FFFFFF"/>
                <w:sz w:val="20"/>
                <w:szCs w:val="20"/>
              </w:rPr>
              <w:t xml:space="preserve">Annual PTO (Hours)</w:t>
            </w:r>
          </w:p>
        </w:tc>
      </w:tr>
      <w:tr>
        <w:tc>
          <w:tcPr>
            <w:tcW w:type="dxa" w:w="4500"/>
            <w:tcMar>
              <w:top w:type="dxa" w:w="60"/>
              <w:left w:type="dxa" w:w="100"/>
              <w:bottom w:type="dxa" w:w="60"/>
              <w:right w:type="dxa" w:w="100"/>
            </w:tcMar>
            <w:vAlign w:val="center"/>
          </w:tcPr>
          <w:p>
            <w:pPr>
              <w:jc w:val="center"/>
            </w:pPr>
            <w:r>
              <w:rPr>
                <w:rFonts w:ascii="Calibri" w:cs="Calibri" w:eastAsia="Calibri" w:hAnsi="Calibri"/>
                <w:color w:val="262626"/>
                <w:sz w:val="20"/>
                <w:szCs w:val="20"/>
              </w:rPr>
              <w:t xml:space="preserve">Less than 1 year</w:t>
            </w:r>
          </w:p>
        </w:tc>
        <w:tc>
          <w:tcPr>
            <w:tcW w:type="dxa" w:w="2400"/>
            <w:tcMar>
              <w:top w:type="dxa" w:w="60"/>
              <w:left w:type="dxa" w:w="100"/>
              <w:bottom w:type="dxa" w:w="60"/>
              <w:right w:type="dxa" w:w="100"/>
            </w:tcMar>
            <w:vAlign w:val="center"/>
          </w:tcPr>
          <w:p>
            <w:pPr>
              <w:jc w:val="center"/>
            </w:pPr>
            <w:r>
              <w:rPr>
                <w:rFonts w:ascii="Calibri" w:cs="Calibri" w:eastAsia="Calibri" w:hAnsi="Calibri"/>
                <w:color w:val="262626"/>
                <w:sz w:val="20"/>
                <w:szCs w:val="20"/>
              </w:rPr>
              <w:t xml:space="preserve">7 days</w:t>
            </w:r>
          </w:p>
        </w:tc>
        <w:tc>
          <w:tcPr>
            <w:tcW w:type="dxa" w:w="2500"/>
            <w:tcMar>
              <w:top w:type="dxa" w:w="60"/>
              <w:left w:type="dxa" w:w="100"/>
              <w:bottom w:type="dxa" w:w="60"/>
              <w:right w:type="dxa" w:w="100"/>
            </w:tcMar>
            <w:vAlign w:val="center"/>
          </w:tcPr>
          <w:p>
            <w:pPr>
              <w:jc w:val="center"/>
            </w:pPr>
            <w:r>
              <w:rPr>
                <w:rFonts w:ascii="Calibri" w:cs="Calibri" w:eastAsia="Calibri" w:hAnsi="Calibri"/>
                <w:color w:val="262626"/>
                <w:sz w:val="20"/>
                <w:szCs w:val="20"/>
              </w:rPr>
              <w:t xml:space="preserve">56 hours</w:t>
            </w:r>
          </w:p>
        </w:tc>
      </w:tr>
      <w:tr>
        <w:tc>
          <w:tcPr>
            <w:tcW w:type="dxa" w:w="4500"/>
            <w:shd w:fill="F3F4F6" w:val="clear"/>
            <w:tcMar>
              <w:top w:type="dxa" w:w="60"/>
              <w:left w:type="dxa" w:w="100"/>
              <w:bottom w:type="dxa" w:w="60"/>
              <w:right w:type="dxa" w:w="100"/>
            </w:tcMar>
            <w:vAlign w:val="center"/>
          </w:tcPr>
          <w:p>
            <w:pPr>
              <w:jc w:val="center"/>
            </w:pPr>
            <w:r>
              <w:rPr>
                <w:rFonts w:ascii="Calibri" w:cs="Calibri" w:eastAsia="Calibri" w:hAnsi="Calibri"/>
                <w:color w:val="262626"/>
                <w:sz w:val="20"/>
                <w:szCs w:val="20"/>
              </w:rPr>
              <w:t xml:space="preserve">1 year – under 2 years</w:t>
            </w:r>
          </w:p>
        </w:tc>
        <w:tc>
          <w:tcPr>
            <w:tcW w:type="dxa" w:w="2400"/>
            <w:shd w:fill="F3F4F6" w:val="clear"/>
            <w:tcMar>
              <w:top w:type="dxa" w:w="60"/>
              <w:left w:type="dxa" w:w="100"/>
              <w:bottom w:type="dxa" w:w="60"/>
              <w:right w:type="dxa" w:w="100"/>
            </w:tcMar>
            <w:vAlign w:val="center"/>
          </w:tcPr>
          <w:p>
            <w:pPr>
              <w:jc w:val="center"/>
            </w:pPr>
            <w:r>
              <w:rPr>
                <w:rFonts w:ascii="Calibri" w:cs="Calibri" w:eastAsia="Calibri" w:hAnsi="Calibri"/>
                <w:color w:val="262626"/>
                <w:sz w:val="20"/>
                <w:szCs w:val="20"/>
              </w:rPr>
              <w:t xml:space="preserve">10 days</w:t>
            </w:r>
          </w:p>
        </w:tc>
        <w:tc>
          <w:tcPr>
            <w:tcW w:type="dxa" w:w="2500"/>
            <w:shd w:fill="F3F4F6" w:val="clear"/>
            <w:tcMar>
              <w:top w:type="dxa" w:w="60"/>
              <w:left w:type="dxa" w:w="100"/>
              <w:bottom w:type="dxa" w:w="60"/>
              <w:right w:type="dxa" w:w="100"/>
            </w:tcMar>
            <w:vAlign w:val="center"/>
          </w:tcPr>
          <w:p>
            <w:pPr>
              <w:jc w:val="center"/>
            </w:pPr>
            <w:r>
              <w:rPr>
                <w:rFonts w:ascii="Calibri" w:cs="Calibri" w:eastAsia="Calibri" w:hAnsi="Calibri"/>
                <w:color w:val="262626"/>
                <w:sz w:val="20"/>
                <w:szCs w:val="20"/>
              </w:rPr>
              <w:t xml:space="preserve">80 hours</w:t>
            </w:r>
          </w:p>
        </w:tc>
      </w:tr>
      <w:tr>
        <w:tc>
          <w:tcPr>
            <w:tcW w:type="dxa" w:w="4500"/>
            <w:tcMar>
              <w:top w:type="dxa" w:w="60"/>
              <w:left w:type="dxa" w:w="100"/>
              <w:bottom w:type="dxa" w:w="60"/>
              <w:right w:type="dxa" w:w="100"/>
            </w:tcMar>
            <w:vAlign w:val="center"/>
          </w:tcPr>
          <w:p>
            <w:pPr>
              <w:jc w:val="center"/>
            </w:pPr>
            <w:r>
              <w:rPr>
                <w:rFonts w:ascii="Calibri" w:cs="Calibri" w:eastAsia="Calibri" w:hAnsi="Calibri"/>
                <w:color w:val="262626"/>
                <w:sz w:val="20"/>
                <w:szCs w:val="20"/>
              </w:rPr>
              <w:t xml:space="preserve">2 years – under 3 years</w:t>
            </w:r>
          </w:p>
        </w:tc>
        <w:tc>
          <w:tcPr>
            <w:tcW w:type="dxa" w:w="2400"/>
            <w:tcMar>
              <w:top w:type="dxa" w:w="60"/>
              <w:left w:type="dxa" w:w="100"/>
              <w:bottom w:type="dxa" w:w="60"/>
              <w:right w:type="dxa" w:w="100"/>
            </w:tcMar>
            <w:vAlign w:val="center"/>
          </w:tcPr>
          <w:p>
            <w:pPr>
              <w:jc w:val="center"/>
            </w:pPr>
            <w:r>
              <w:rPr>
                <w:rFonts w:ascii="Calibri" w:cs="Calibri" w:eastAsia="Calibri" w:hAnsi="Calibri"/>
                <w:color w:val="262626"/>
                <w:sz w:val="20"/>
                <w:szCs w:val="20"/>
              </w:rPr>
              <w:t xml:space="preserve">12 days</w:t>
            </w:r>
          </w:p>
        </w:tc>
        <w:tc>
          <w:tcPr>
            <w:tcW w:type="dxa" w:w="2500"/>
            <w:tcMar>
              <w:top w:type="dxa" w:w="60"/>
              <w:left w:type="dxa" w:w="100"/>
              <w:bottom w:type="dxa" w:w="60"/>
              <w:right w:type="dxa" w:w="100"/>
            </w:tcMar>
            <w:vAlign w:val="center"/>
          </w:tcPr>
          <w:p>
            <w:pPr>
              <w:jc w:val="center"/>
            </w:pPr>
            <w:r>
              <w:rPr>
                <w:rFonts w:ascii="Calibri" w:cs="Calibri" w:eastAsia="Calibri" w:hAnsi="Calibri"/>
                <w:color w:val="262626"/>
                <w:sz w:val="20"/>
                <w:szCs w:val="20"/>
              </w:rPr>
              <w:t xml:space="preserve">96 hours</w:t>
            </w:r>
          </w:p>
        </w:tc>
      </w:tr>
      <w:tr>
        <w:tc>
          <w:tcPr>
            <w:tcW w:type="dxa" w:w="4500"/>
            <w:shd w:fill="F3F4F6" w:val="clear"/>
            <w:tcMar>
              <w:top w:type="dxa" w:w="60"/>
              <w:left w:type="dxa" w:w="100"/>
              <w:bottom w:type="dxa" w:w="60"/>
              <w:right w:type="dxa" w:w="100"/>
            </w:tcMar>
            <w:vAlign w:val="center"/>
          </w:tcPr>
          <w:p>
            <w:pPr>
              <w:jc w:val="center"/>
            </w:pPr>
            <w:r>
              <w:rPr>
                <w:rFonts w:ascii="Calibri" w:cs="Calibri" w:eastAsia="Calibri" w:hAnsi="Calibri"/>
                <w:color w:val="262626"/>
                <w:sz w:val="20"/>
                <w:szCs w:val="20"/>
              </w:rPr>
              <w:t xml:space="preserve">3 years – under 5 years</w:t>
            </w:r>
          </w:p>
        </w:tc>
        <w:tc>
          <w:tcPr>
            <w:tcW w:type="dxa" w:w="2400"/>
            <w:shd w:fill="F3F4F6" w:val="clear"/>
            <w:tcMar>
              <w:top w:type="dxa" w:w="60"/>
              <w:left w:type="dxa" w:w="100"/>
              <w:bottom w:type="dxa" w:w="60"/>
              <w:right w:type="dxa" w:w="100"/>
            </w:tcMar>
            <w:vAlign w:val="center"/>
          </w:tcPr>
          <w:p>
            <w:pPr>
              <w:jc w:val="center"/>
            </w:pPr>
            <w:r>
              <w:rPr>
                <w:rFonts w:ascii="Calibri" w:cs="Calibri" w:eastAsia="Calibri" w:hAnsi="Calibri"/>
                <w:color w:val="262626"/>
                <w:sz w:val="20"/>
                <w:szCs w:val="20"/>
              </w:rPr>
              <w:t xml:space="preserve">14 days</w:t>
            </w:r>
          </w:p>
        </w:tc>
        <w:tc>
          <w:tcPr>
            <w:tcW w:type="dxa" w:w="2500"/>
            <w:shd w:fill="F3F4F6" w:val="clear"/>
            <w:tcMar>
              <w:top w:type="dxa" w:w="60"/>
              <w:left w:type="dxa" w:w="100"/>
              <w:bottom w:type="dxa" w:w="60"/>
              <w:right w:type="dxa" w:w="100"/>
            </w:tcMar>
            <w:vAlign w:val="center"/>
          </w:tcPr>
          <w:p>
            <w:pPr>
              <w:jc w:val="center"/>
            </w:pPr>
            <w:r>
              <w:rPr>
                <w:rFonts w:ascii="Calibri" w:cs="Calibri" w:eastAsia="Calibri" w:hAnsi="Calibri"/>
                <w:color w:val="262626"/>
                <w:sz w:val="20"/>
                <w:szCs w:val="20"/>
              </w:rPr>
              <w:t xml:space="preserve">112 hours</w:t>
            </w:r>
          </w:p>
        </w:tc>
      </w:tr>
      <w:tr>
        <w:tc>
          <w:tcPr>
            <w:tcW w:type="dxa" w:w="4500"/>
            <w:tcMar>
              <w:top w:type="dxa" w:w="60"/>
              <w:left w:type="dxa" w:w="100"/>
              <w:bottom w:type="dxa" w:w="60"/>
              <w:right w:type="dxa" w:w="100"/>
            </w:tcMar>
            <w:vAlign w:val="center"/>
          </w:tcPr>
          <w:p>
            <w:pPr>
              <w:jc w:val="center"/>
            </w:pPr>
            <w:r>
              <w:rPr>
                <w:rFonts w:ascii="Calibri" w:cs="Calibri" w:eastAsia="Calibri" w:hAnsi="Calibri"/>
                <w:color w:val="262626"/>
                <w:sz w:val="20"/>
                <w:szCs w:val="20"/>
              </w:rPr>
              <w:t xml:space="preserve">5 years – under 7 years</w:t>
            </w:r>
          </w:p>
        </w:tc>
        <w:tc>
          <w:tcPr>
            <w:tcW w:type="dxa" w:w="2400"/>
            <w:tcMar>
              <w:top w:type="dxa" w:w="60"/>
              <w:left w:type="dxa" w:w="100"/>
              <w:bottom w:type="dxa" w:w="60"/>
              <w:right w:type="dxa" w:w="100"/>
            </w:tcMar>
            <w:vAlign w:val="center"/>
          </w:tcPr>
          <w:p>
            <w:pPr>
              <w:jc w:val="center"/>
            </w:pPr>
            <w:r>
              <w:rPr>
                <w:rFonts w:ascii="Calibri" w:cs="Calibri" w:eastAsia="Calibri" w:hAnsi="Calibri"/>
                <w:color w:val="262626"/>
                <w:sz w:val="20"/>
                <w:szCs w:val="20"/>
              </w:rPr>
              <w:t xml:space="preserve">17 days</w:t>
            </w:r>
          </w:p>
        </w:tc>
        <w:tc>
          <w:tcPr>
            <w:tcW w:type="dxa" w:w="2500"/>
            <w:tcMar>
              <w:top w:type="dxa" w:w="60"/>
              <w:left w:type="dxa" w:w="100"/>
              <w:bottom w:type="dxa" w:w="60"/>
              <w:right w:type="dxa" w:w="100"/>
            </w:tcMar>
            <w:vAlign w:val="center"/>
          </w:tcPr>
          <w:p>
            <w:pPr>
              <w:jc w:val="center"/>
            </w:pPr>
            <w:r>
              <w:rPr>
                <w:rFonts w:ascii="Calibri" w:cs="Calibri" w:eastAsia="Calibri" w:hAnsi="Calibri"/>
                <w:color w:val="262626"/>
                <w:sz w:val="20"/>
                <w:szCs w:val="20"/>
              </w:rPr>
              <w:t xml:space="preserve">136 hours</w:t>
            </w:r>
          </w:p>
        </w:tc>
      </w:tr>
      <w:tr>
        <w:tc>
          <w:tcPr>
            <w:tcW w:type="dxa" w:w="4500"/>
            <w:shd w:fill="F3F4F6" w:val="clear"/>
            <w:tcMar>
              <w:top w:type="dxa" w:w="60"/>
              <w:left w:type="dxa" w:w="100"/>
              <w:bottom w:type="dxa" w:w="60"/>
              <w:right w:type="dxa" w:w="100"/>
            </w:tcMar>
            <w:vAlign w:val="center"/>
          </w:tcPr>
          <w:p>
            <w:pPr>
              <w:jc w:val="center"/>
            </w:pPr>
            <w:r>
              <w:rPr>
                <w:rFonts w:ascii="Calibri" w:cs="Calibri" w:eastAsia="Calibri" w:hAnsi="Calibri"/>
                <w:color w:val="262626"/>
                <w:sz w:val="20"/>
                <w:szCs w:val="20"/>
              </w:rPr>
              <w:t xml:space="preserve">7 years – under 10 years</w:t>
            </w:r>
          </w:p>
        </w:tc>
        <w:tc>
          <w:tcPr>
            <w:tcW w:type="dxa" w:w="2400"/>
            <w:shd w:fill="F3F4F6" w:val="clear"/>
            <w:tcMar>
              <w:top w:type="dxa" w:w="60"/>
              <w:left w:type="dxa" w:w="100"/>
              <w:bottom w:type="dxa" w:w="60"/>
              <w:right w:type="dxa" w:w="100"/>
            </w:tcMar>
            <w:vAlign w:val="center"/>
          </w:tcPr>
          <w:p>
            <w:pPr>
              <w:jc w:val="center"/>
            </w:pPr>
            <w:r>
              <w:rPr>
                <w:rFonts w:ascii="Calibri" w:cs="Calibri" w:eastAsia="Calibri" w:hAnsi="Calibri"/>
                <w:color w:val="262626"/>
                <w:sz w:val="20"/>
                <w:szCs w:val="20"/>
              </w:rPr>
              <w:t xml:space="preserve">20 days</w:t>
            </w:r>
          </w:p>
        </w:tc>
        <w:tc>
          <w:tcPr>
            <w:tcW w:type="dxa" w:w="2500"/>
            <w:shd w:fill="F3F4F6" w:val="clear"/>
            <w:tcMar>
              <w:top w:type="dxa" w:w="60"/>
              <w:left w:type="dxa" w:w="100"/>
              <w:bottom w:type="dxa" w:w="60"/>
              <w:right w:type="dxa" w:w="100"/>
            </w:tcMar>
            <w:vAlign w:val="center"/>
          </w:tcPr>
          <w:p>
            <w:pPr>
              <w:jc w:val="center"/>
            </w:pPr>
            <w:r>
              <w:rPr>
                <w:rFonts w:ascii="Calibri" w:cs="Calibri" w:eastAsia="Calibri" w:hAnsi="Calibri"/>
                <w:color w:val="262626"/>
                <w:sz w:val="20"/>
                <w:szCs w:val="20"/>
              </w:rPr>
              <w:t xml:space="preserve">160 hours</w:t>
            </w:r>
          </w:p>
        </w:tc>
      </w:tr>
      <w:tr>
        <w:tc>
          <w:tcPr>
            <w:tcW w:type="dxa" w:w="4500"/>
            <w:tcMar>
              <w:top w:type="dxa" w:w="60"/>
              <w:left w:type="dxa" w:w="100"/>
              <w:bottom w:type="dxa" w:w="60"/>
              <w:right w:type="dxa" w:w="100"/>
            </w:tcMar>
            <w:vAlign w:val="center"/>
          </w:tcPr>
          <w:p>
            <w:pPr>
              <w:jc w:val="center"/>
            </w:pPr>
            <w:r>
              <w:rPr>
                <w:rFonts w:ascii="Calibri" w:cs="Calibri" w:eastAsia="Calibri" w:hAnsi="Calibri"/>
                <w:color w:val="262626"/>
                <w:sz w:val="20"/>
                <w:szCs w:val="20"/>
              </w:rPr>
              <w:t xml:space="preserve">10+ years</w:t>
            </w:r>
          </w:p>
        </w:tc>
        <w:tc>
          <w:tcPr>
            <w:tcW w:type="dxa" w:w="2400"/>
            <w:tcMar>
              <w:top w:type="dxa" w:w="60"/>
              <w:left w:type="dxa" w:w="100"/>
              <w:bottom w:type="dxa" w:w="60"/>
              <w:right w:type="dxa" w:w="100"/>
            </w:tcMar>
            <w:vAlign w:val="center"/>
          </w:tcPr>
          <w:p>
            <w:pPr>
              <w:jc w:val="center"/>
            </w:pPr>
            <w:r>
              <w:rPr>
                <w:rFonts w:ascii="Calibri" w:cs="Calibri" w:eastAsia="Calibri" w:hAnsi="Calibri"/>
                <w:color w:val="262626"/>
                <w:sz w:val="20"/>
                <w:szCs w:val="20"/>
              </w:rPr>
              <w:t xml:space="preserve">22 days</w:t>
            </w:r>
          </w:p>
        </w:tc>
        <w:tc>
          <w:tcPr>
            <w:tcW w:type="dxa" w:w="2500"/>
            <w:tcMar>
              <w:top w:type="dxa" w:w="60"/>
              <w:left w:type="dxa" w:w="100"/>
              <w:bottom w:type="dxa" w:w="60"/>
              <w:right w:type="dxa" w:w="100"/>
            </w:tcMar>
            <w:vAlign w:val="center"/>
          </w:tcPr>
          <w:p>
            <w:pPr>
              <w:jc w:val="center"/>
            </w:pPr>
            <w:r>
              <w:rPr>
                <w:rFonts w:ascii="Calibri" w:cs="Calibri" w:eastAsia="Calibri" w:hAnsi="Calibri"/>
                <w:color w:val="262626"/>
                <w:sz w:val="20"/>
                <w:szCs w:val="20"/>
              </w:rPr>
              <w:t xml:space="preserve">176 hours</w:t>
            </w:r>
          </w:p>
        </w:tc>
      </w:tr>
    </w:tbl>
    <w:p>
      <w:pPr>
        <w:spacing w:after="120"/>
      </w:pPr>
    </w:p>
    <w:p>
      <w:pPr>
        <w:spacing w:after="80" w:before="180"/>
      </w:pPr>
      <w:r>
        <w:rPr>
          <w:rFonts w:ascii="Cambria" w:cs="Cambria" w:eastAsia="Cambria" w:hAnsi="Cambria"/>
          <w:b/>
          <w:bCs/>
          <w:i/>
          <w:iCs/>
          <w:color w:val="1F3864"/>
          <w:sz w:val="22"/>
          <w:szCs w:val="22"/>
        </w:rPr>
        <w:t xml:space="preserve">Schedule C: Supervisors</w:t>
      </w:r>
    </w:p>
    <w:tbl>
      <w:tblPr>
        <w:tblW w:type="dxa" w:w="9400"/>
        <w:tblBorders>
          <w:top w:val="single" w:color="1F3864" w:sz="4"/>
          <w:left w:val="single" w:color="1F3864" w:sz="4"/>
          <w:bottom w:val="single" w:color="1F3864" w:sz="4"/>
          <w:right w:val="single" w:color="1F3864" w:sz="4"/>
          <w:insideH w:val="single" w:color="C9CDD3" w:sz="2"/>
          <w:insideV w:val="single" w:color="C9CDD3" w:sz="2"/>
        </w:tblBorders>
      </w:tblPr>
      <w:tblGrid>
        <w:gridCol w:w="4500"/>
        <w:gridCol w:w="2400"/>
        <w:gridCol w:w="2500"/>
      </w:tblGrid>
      <w:tr>
        <w:trPr>
          <w:tblHeader/>
        </w:trPr>
        <w:tc>
          <w:tcPr>
            <w:tcW w:type="dxa" w:w="4500"/>
            <w:shd w:fill="1F3864" w:val="clear"/>
            <w:tcMar>
              <w:top w:type="dxa" w:w="90"/>
              <w:left w:type="dxa" w:w="100"/>
              <w:bottom w:type="dxa" w:w="90"/>
              <w:right w:type="dxa" w:w="100"/>
            </w:tcMar>
            <w:vAlign w:val="center"/>
          </w:tcPr>
          <w:p>
            <w:pPr>
              <w:jc w:val="center"/>
            </w:pPr>
            <w:r>
              <w:rPr>
                <w:rFonts w:ascii="Cambria" w:cs="Cambria" w:eastAsia="Cambria" w:hAnsi="Cambria"/>
                <w:b/>
                <w:bCs/>
                <w:color w:val="FFFFFF"/>
                <w:sz w:val="20"/>
                <w:szCs w:val="20"/>
              </w:rPr>
              <w:t xml:space="preserve">Years of Service</w:t>
            </w:r>
          </w:p>
        </w:tc>
        <w:tc>
          <w:tcPr>
            <w:tcW w:type="dxa" w:w="2400"/>
            <w:shd w:fill="1F3864" w:val="clear"/>
            <w:tcMar>
              <w:top w:type="dxa" w:w="90"/>
              <w:left w:type="dxa" w:w="100"/>
              <w:bottom w:type="dxa" w:w="90"/>
              <w:right w:type="dxa" w:w="100"/>
            </w:tcMar>
            <w:vAlign w:val="center"/>
          </w:tcPr>
          <w:p>
            <w:pPr>
              <w:jc w:val="center"/>
            </w:pPr>
            <w:r>
              <w:rPr>
                <w:rFonts w:ascii="Cambria" w:cs="Cambria" w:eastAsia="Cambria" w:hAnsi="Cambria"/>
                <w:b/>
                <w:bCs/>
                <w:color w:val="FFFFFF"/>
                <w:sz w:val="20"/>
                <w:szCs w:val="20"/>
              </w:rPr>
              <w:t xml:space="preserve">Annual PTO (Days)</w:t>
            </w:r>
          </w:p>
        </w:tc>
        <w:tc>
          <w:tcPr>
            <w:tcW w:type="dxa" w:w="2500"/>
            <w:shd w:fill="1F3864" w:val="clear"/>
            <w:tcMar>
              <w:top w:type="dxa" w:w="90"/>
              <w:left w:type="dxa" w:w="100"/>
              <w:bottom w:type="dxa" w:w="90"/>
              <w:right w:type="dxa" w:w="100"/>
            </w:tcMar>
            <w:vAlign w:val="center"/>
          </w:tcPr>
          <w:p>
            <w:pPr>
              <w:jc w:val="center"/>
            </w:pPr>
            <w:r>
              <w:rPr>
                <w:rFonts w:ascii="Cambria" w:cs="Cambria" w:eastAsia="Cambria" w:hAnsi="Cambria"/>
                <w:b/>
                <w:bCs/>
                <w:color w:val="FFFFFF"/>
                <w:sz w:val="20"/>
                <w:szCs w:val="20"/>
              </w:rPr>
              <w:t xml:space="preserve">Annual PTO (Hours)</w:t>
            </w:r>
          </w:p>
        </w:tc>
      </w:tr>
      <w:tr>
        <w:tc>
          <w:tcPr>
            <w:tcW w:type="dxa" w:w="4500"/>
            <w:tcMar>
              <w:top w:type="dxa" w:w="60"/>
              <w:left w:type="dxa" w:w="100"/>
              <w:bottom w:type="dxa" w:w="60"/>
              <w:right w:type="dxa" w:w="100"/>
            </w:tcMar>
            <w:vAlign w:val="center"/>
          </w:tcPr>
          <w:p>
            <w:pPr>
              <w:jc w:val="center"/>
            </w:pPr>
            <w:r>
              <w:rPr>
                <w:rFonts w:ascii="Calibri" w:cs="Calibri" w:eastAsia="Calibri" w:hAnsi="Calibri"/>
                <w:color w:val="262626"/>
                <w:sz w:val="20"/>
                <w:szCs w:val="20"/>
              </w:rPr>
              <w:t xml:space="preserve">Less than 1 year</w:t>
            </w:r>
          </w:p>
        </w:tc>
        <w:tc>
          <w:tcPr>
            <w:tcW w:type="dxa" w:w="2400"/>
            <w:tcMar>
              <w:top w:type="dxa" w:w="60"/>
              <w:left w:type="dxa" w:w="100"/>
              <w:bottom w:type="dxa" w:w="60"/>
              <w:right w:type="dxa" w:w="100"/>
            </w:tcMar>
            <w:vAlign w:val="center"/>
          </w:tcPr>
          <w:p>
            <w:pPr>
              <w:jc w:val="center"/>
            </w:pPr>
            <w:r>
              <w:rPr>
                <w:rFonts w:ascii="Calibri" w:cs="Calibri" w:eastAsia="Calibri" w:hAnsi="Calibri"/>
                <w:color w:val="262626"/>
                <w:sz w:val="20"/>
                <w:szCs w:val="20"/>
              </w:rPr>
              <w:t xml:space="preserve">10 days</w:t>
            </w:r>
          </w:p>
        </w:tc>
        <w:tc>
          <w:tcPr>
            <w:tcW w:type="dxa" w:w="2500"/>
            <w:tcMar>
              <w:top w:type="dxa" w:w="60"/>
              <w:left w:type="dxa" w:w="100"/>
              <w:bottom w:type="dxa" w:w="60"/>
              <w:right w:type="dxa" w:w="100"/>
            </w:tcMar>
            <w:vAlign w:val="center"/>
          </w:tcPr>
          <w:p>
            <w:pPr>
              <w:jc w:val="center"/>
            </w:pPr>
            <w:r>
              <w:rPr>
                <w:rFonts w:ascii="Calibri" w:cs="Calibri" w:eastAsia="Calibri" w:hAnsi="Calibri"/>
                <w:color w:val="262626"/>
                <w:sz w:val="20"/>
                <w:szCs w:val="20"/>
              </w:rPr>
              <w:t xml:space="preserve">80 hours</w:t>
            </w:r>
          </w:p>
        </w:tc>
      </w:tr>
      <w:tr>
        <w:tc>
          <w:tcPr>
            <w:tcW w:type="dxa" w:w="4500"/>
            <w:shd w:fill="F3F4F6" w:val="clear"/>
            <w:tcMar>
              <w:top w:type="dxa" w:w="60"/>
              <w:left w:type="dxa" w:w="100"/>
              <w:bottom w:type="dxa" w:w="60"/>
              <w:right w:type="dxa" w:w="100"/>
            </w:tcMar>
            <w:vAlign w:val="center"/>
          </w:tcPr>
          <w:p>
            <w:pPr>
              <w:jc w:val="center"/>
            </w:pPr>
            <w:r>
              <w:rPr>
                <w:rFonts w:ascii="Calibri" w:cs="Calibri" w:eastAsia="Calibri" w:hAnsi="Calibri"/>
                <w:color w:val="262626"/>
                <w:sz w:val="20"/>
                <w:szCs w:val="20"/>
              </w:rPr>
              <w:t xml:space="preserve">1 year – under 2 years</w:t>
            </w:r>
          </w:p>
        </w:tc>
        <w:tc>
          <w:tcPr>
            <w:tcW w:type="dxa" w:w="2400"/>
            <w:shd w:fill="F3F4F6" w:val="clear"/>
            <w:tcMar>
              <w:top w:type="dxa" w:w="60"/>
              <w:left w:type="dxa" w:w="100"/>
              <w:bottom w:type="dxa" w:w="60"/>
              <w:right w:type="dxa" w:w="100"/>
            </w:tcMar>
            <w:vAlign w:val="center"/>
          </w:tcPr>
          <w:p>
            <w:pPr>
              <w:jc w:val="center"/>
            </w:pPr>
            <w:r>
              <w:rPr>
                <w:rFonts w:ascii="Calibri" w:cs="Calibri" w:eastAsia="Calibri" w:hAnsi="Calibri"/>
                <w:color w:val="262626"/>
                <w:sz w:val="20"/>
                <w:szCs w:val="20"/>
              </w:rPr>
              <w:t xml:space="preserve">13 days</w:t>
            </w:r>
          </w:p>
        </w:tc>
        <w:tc>
          <w:tcPr>
            <w:tcW w:type="dxa" w:w="2500"/>
            <w:shd w:fill="F3F4F6" w:val="clear"/>
            <w:tcMar>
              <w:top w:type="dxa" w:w="60"/>
              <w:left w:type="dxa" w:w="100"/>
              <w:bottom w:type="dxa" w:w="60"/>
              <w:right w:type="dxa" w:w="100"/>
            </w:tcMar>
            <w:vAlign w:val="center"/>
          </w:tcPr>
          <w:p>
            <w:pPr>
              <w:jc w:val="center"/>
            </w:pPr>
            <w:r>
              <w:rPr>
                <w:rFonts w:ascii="Calibri" w:cs="Calibri" w:eastAsia="Calibri" w:hAnsi="Calibri"/>
                <w:color w:val="262626"/>
                <w:sz w:val="20"/>
                <w:szCs w:val="20"/>
              </w:rPr>
              <w:t xml:space="preserve">104 hours</w:t>
            </w:r>
          </w:p>
        </w:tc>
      </w:tr>
      <w:tr>
        <w:tc>
          <w:tcPr>
            <w:tcW w:type="dxa" w:w="4500"/>
            <w:tcMar>
              <w:top w:type="dxa" w:w="60"/>
              <w:left w:type="dxa" w:w="100"/>
              <w:bottom w:type="dxa" w:w="60"/>
              <w:right w:type="dxa" w:w="100"/>
            </w:tcMar>
            <w:vAlign w:val="center"/>
          </w:tcPr>
          <w:p>
            <w:pPr>
              <w:jc w:val="center"/>
            </w:pPr>
            <w:r>
              <w:rPr>
                <w:rFonts w:ascii="Calibri" w:cs="Calibri" w:eastAsia="Calibri" w:hAnsi="Calibri"/>
                <w:color w:val="262626"/>
                <w:sz w:val="20"/>
                <w:szCs w:val="20"/>
              </w:rPr>
              <w:t xml:space="preserve">2 years – under 3 years</w:t>
            </w:r>
          </w:p>
        </w:tc>
        <w:tc>
          <w:tcPr>
            <w:tcW w:type="dxa" w:w="2400"/>
            <w:tcMar>
              <w:top w:type="dxa" w:w="60"/>
              <w:left w:type="dxa" w:w="100"/>
              <w:bottom w:type="dxa" w:w="60"/>
              <w:right w:type="dxa" w:w="100"/>
            </w:tcMar>
            <w:vAlign w:val="center"/>
          </w:tcPr>
          <w:p>
            <w:pPr>
              <w:jc w:val="center"/>
            </w:pPr>
            <w:r>
              <w:rPr>
                <w:rFonts w:ascii="Calibri" w:cs="Calibri" w:eastAsia="Calibri" w:hAnsi="Calibri"/>
                <w:color w:val="262626"/>
                <w:sz w:val="20"/>
                <w:szCs w:val="20"/>
              </w:rPr>
              <w:t xml:space="preserve">15 days</w:t>
            </w:r>
          </w:p>
        </w:tc>
        <w:tc>
          <w:tcPr>
            <w:tcW w:type="dxa" w:w="2500"/>
            <w:tcMar>
              <w:top w:type="dxa" w:w="60"/>
              <w:left w:type="dxa" w:w="100"/>
              <w:bottom w:type="dxa" w:w="60"/>
              <w:right w:type="dxa" w:w="100"/>
            </w:tcMar>
            <w:vAlign w:val="center"/>
          </w:tcPr>
          <w:p>
            <w:pPr>
              <w:jc w:val="center"/>
            </w:pPr>
            <w:r>
              <w:rPr>
                <w:rFonts w:ascii="Calibri" w:cs="Calibri" w:eastAsia="Calibri" w:hAnsi="Calibri"/>
                <w:color w:val="262626"/>
                <w:sz w:val="20"/>
                <w:szCs w:val="20"/>
              </w:rPr>
              <w:t xml:space="preserve">120 hours</w:t>
            </w:r>
          </w:p>
        </w:tc>
      </w:tr>
      <w:tr>
        <w:tc>
          <w:tcPr>
            <w:tcW w:type="dxa" w:w="4500"/>
            <w:shd w:fill="F3F4F6" w:val="clear"/>
            <w:tcMar>
              <w:top w:type="dxa" w:w="60"/>
              <w:left w:type="dxa" w:w="100"/>
              <w:bottom w:type="dxa" w:w="60"/>
              <w:right w:type="dxa" w:w="100"/>
            </w:tcMar>
            <w:vAlign w:val="center"/>
          </w:tcPr>
          <w:p>
            <w:pPr>
              <w:jc w:val="center"/>
            </w:pPr>
            <w:r>
              <w:rPr>
                <w:rFonts w:ascii="Calibri" w:cs="Calibri" w:eastAsia="Calibri" w:hAnsi="Calibri"/>
                <w:color w:val="262626"/>
                <w:sz w:val="20"/>
                <w:szCs w:val="20"/>
              </w:rPr>
              <w:t xml:space="preserve">3 years – under 5 years</w:t>
            </w:r>
          </w:p>
        </w:tc>
        <w:tc>
          <w:tcPr>
            <w:tcW w:type="dxa" w:w="2400"/>
            <w:shd w:fill="F3F4F6" w:val="clear"/>
            <w:tcMar>
              <w:top w:type="dxa" w:w="60"/>
              <w:left w:type="dxa" w:w="100"/>
              <w:bottom w:type="dxa" w:w="60"/>
              <w:right w:type="dxa" w:w="100"/>
            </w:tcMar>
            <w:vAlign w:val="center"/>
          </w:tcPr>
          <w:p>
            <w:pPr>
              <w:jc w:val="center"/>
            </w:pPr>
            <w:r>
              <w:rPr>
                <w:rFonts w:ascii="Calibri" w:cs="Calibri" w:eastAsia="Calibri" w:hAnsi="Calibri"/>
                <w:color w:val="262626"/>
                <w:sz w:val="20"/>
                <w:szCs w:val="20"/>
              </w:rPr>
              <w:t xml:space="preserve">17 days</w:t>
            </w:r>
          </w:p>
        </w:tc>
        <w:tc>
          <w:tcPr>
            <w:tcW w:type="dxa" w:w="2500"/>
            <w:shd w:fill="F3F4F6" w:val="clear"/>
            <w:tcMar>
              <w:top w:type="dxa" w:w="60"/>
              <w:left w:type="dxa" w:w="100"/>
              <w:bottom w:type="dxa" w:w="60"/>
              <w:right w:type="dxa" w:w="100"/>
            </w:tcMar>
            <w:vAlign w:val="center"/>
          </w:tcPr>
          <w:p>
            <w:pPr>
              <w:jc w:val="center"/>
            </w:pPr>
            <w:r>
              <w:rPr>
                <w:rFonts w:ascii="Calibri" w:cs="Calibri" w:eastAsia="Calibri" w:hAnsi="Calibri"/>
                <w:color w:val="262626"/>
                <w:sz w:val="20"/>
                <w:szCs w:val="20"/>
              </w:rPr>
              <w:t xml:space="preserve">136 hours</w:t>
            </w:r>
          </w:p>
        </w:tc>
      </w:tr>
      <w:tr>
        <w:tc>
          <w:tcPr>
            <w:tcW w:type="dxa" w:w="4500"/>
            <w:tcMar>
              <w:top w:type="dxa" w:w="60"/>
              <w:left w:type="dxa" w:w="100"/>
              <w:bottom w:type="dxa" w:w="60"/>
              <w:right w:type="dxa" w:w="100"/>
            </w:tcMar>
            <w:vAlign w:val="center"/>
          </w:tcPr>
          <w:p>
            <w:pPr>
              <w:jc w:val="center"/>
            </w:pPr>
            <w:r>
              <w:rPr>
                <w:rFonts w:ascii="Calibri" w:cs="Calibri" w:eastAsia="Calibri" w:hAnsi="Calibri"/>
                <w:color w:val="262626"/>
                <w:sz w:val="20"/>
                <w:szCs w:val="20"/>
              </w:rPr>
              <w:t xml:space="preserve">5 years – under 7 years</w:t>
            </w:r>
          </w:p>
        </w:tc>
        <w:tc>
          <w:tcPr>
            <w:tcW w:type="dxa" w:w="2400"/>
            <w:tcMar>
              <w:top w:type="dxa" w:w="60"/>
              <w:left w:type="dxa" w:w="100"/>
              <w:bottom w:type="dxa" w:w="60"/>
              <w:right w:type="dxa" w:w="100"/>
            </w:tcMar>
            <w:vAlign w:val="center"/>
          </w:tcPr>
          <w:p>
            <w:pPr>
              <w:jc w:val="center"/>
            </w:pPr>
            <w:r>
              <w:rPr>
                <w:rFonts w:ascii="Calibri" w:cs="Calibri" w:eastAsia="Calibri" w:hAnsi="Calibri"/>
                <w:color w:val="262626"/>
                <w:sz w:val="20"/>
                <w:szCs w:val="20"/>
              </w:rPr>
              <w:t xml:space="preserve">20 days</w:t>
            </w:r>
          </w:p>
        </w:tc>
        <w:tc>
          <w:tcPr>
            <w:tcW w:type="dxa" w:w="2500"/>
            <w:tcMar>
              <w:top w:type="dxa" w:w="60"/>
              <w:left w:type="dxa" w:w="100"/>
              <w:bottom w:type="dxa" w:w="60"/>
              <w:right w:type="dxa" w:w="100"/>
            </w:tcMar>
            <w:vAlign w:val="center"/>
          </w:tcPr>
          <w:p>
            <w:pPr>
              <w:jc w:val="center"/>
            </w:pPr>
            <w:r>
              <w:rPr>
                <w:rFonts w:ascii="Calibri" w:cs="Calibri" w:eastAsia="Calibri" w:hAnsi="Calibri"/>
                <w:color w:val="262626"/>
                <w:sz w:val="20"/>
                <w:szCs w:val="20"/>
              </w:rPr>
              <w:t xml:space="preserve">160 hours</w:t>
            </w:r>
          </w:p>
        </w:tc>
      </w:tr>
      <w:tr>
        <w:tc>
          <w:tcPr>
            <w:tcW w:type="dxa" w:w="4500"/>
            <w:shd w:fill="F3F4F6" w:val="clear"/>
            <w:tcMar>
              <w:top w:type="dxa" w:w="60"/>
              <w:left w:type="dxa" w:w="100"/>
              <w:bottom w:type="dxa" w:w="60"/>
              <w:right w:type="dxa" w:w="100"/>
            </w:tcMar>
            <w:vAlign w:val="center"/>
          </w:tcPr>
          <w:p>
            <w:pPr>
              <w:jc w:val="center"/>
            </w:pPr>
            <w:r>
              <w:rPr>
                <w:rFonts w:ascii="Calibri" w:cs="Calibri" w:eastAsia="Calibri" w:hAnsi="Calibri"/>
                <w:color w:val="262626"/>
                <w:sz w:val="20"/>
                <w:szCs w:val="20"/>
              </w:rPr>
              <w:t xml:space="preserve">7 years – under 10 years</w:t>
            </w:r>
          </w:p>
        </w:tc>
        <w:tc>
          <w:tcPr>
            <w:tcW w:type="dxa" w:w="2400"/>
            <w:shd w:fill="F3F4F6" w:val="clear"/>
            <w:tcMar>
              <w:top w:type="dxa" w:w="60"/>
              <w:left w:type="dxa" w:w="100"/>
              <w:bottom w:type="dxa" w:w="60"/>
              <w:right w:type="dxa" w:w="100"/>
            </w:tcMar>
            <w:vAlign w:val="center"/>
          </w:tcPr>
          <w:p>
            <w:pPr>
              <w:jc w:val="center"/>
            </w:pPr>
            <w:r>
              <w:rPr>
                <w:rFonts w:ascii="Calibri" w:cs="Calibri" w:eastAsia="Calibri" w:hAnsi="Calibri"/>
                <w:color w:val="262626"/>
                <w:sz w:val="20"/>
                <w:szCs w:val="20"/>
              </w:rPr>
              <w:t xml:space="preserve">23 days</w:t>
            </w:r>
          </w:p>
        </w:tc>
        <w:tc>
          <w:tcPr>
            <w:tcW w:type="dxa" w:w="2500"/>
            <w:shd w:fill="F3F4F6" w:val="clear"/>
            <w:tcMar>
              <w:top w:type="dxa" w:w="60"/>
              <w:left w:type="dxa" w:w="100"/>
              <w:bottom w:type="dxa" w:w="60"/>
              <w:right w:type="dxa" w:w="100"/>
            </w:tcMar>
            <w:vAlign w:val="center"/>
          </w:tcPr>
          <w:p>
            <w:pPr>
              <w:jc w:val="center"/>
            </w:pPr>
            <w:r>
              <w:rPr>
                <w:rFonts w:ascii="Calibri" w:cs="Calibri" w:eastAsia="Calibri" w:hAnsi="Calibri"/>
                <w:color w:val="262626"/>
                <w:sz w:val="20"/>
                <w:szCs w:val="20"/>
              </w:rPr>
              <w:t xml:space="preserve">184 hours</w:t>
            </w:r>
          </w:p>
        </w:tc>
      </w:tr>
      <w:tr>
        <w:tc>
          <w:tcPr>
            <w:tcW w:type="dxa" w:w="4500"/>
            <w:tcMar>
              <w:top w:type="dxa" w:w="60"/>
              <w:left w:type="dxa" w:w="100"/>
              <w:bottom w:type="dxa" w:w="60"/>
              <w:right w:type="dxa" w:w="100"/>
            </w:tcMar>
            <w:vAlign w:val="center"/>
          </w:tcPr>
          <w:p>
            <w:pPr>
              <w:jc w:val="center"/>
            </w:pPr>
            <w:r>
              <w:rPr>
                <w:rFonts w:ascii="Calibri" w:cs="Calibri" w:eastAsia="Calibri" w:hAnsi="Calibri"/>
                <w:color w:val="262626"/>
                <w:sz w:val="20"/>
                <w:szCs w:val="20"/>
              </w:rPr>
              <w:t xml:space="preserve">10+ years</w:t>
            </w:r>
          </w:p>
        </w:tc>
        <w:tc>
          <w:tcPr>
            <w:tcW w:type="dxa" w:w="2400"/>
            <w:tcMar>
              <w:top w:type="dxa" w:w="60"/>
              <w:left w:type="dxa" w:w="100"/>
              <w:bottom w:type="dxa" w:w="60"/>
              <w:right w:type="dxa" w:w="100"/>
            </w:tcMar>
            <w:vAlign w:val="center"/>
          </w:tcPr>
          <w:p>
            <w:pPr>
              <w:jc w:val="center"/>
            </w:pPr>
            <w:r>
              <w:rPr>
                <w:rFonts w:ascii="Calibri" w:cs="Calibri" w:eastAsia="Calibri" w:hAnsi="Calibri"/>
                <w:color w:val="262626"/>
                <w:sz w:val="20"/>
                <w:szCs w:val="20"/>
              </w:rPr>
              <w:t xml:space="preserve">25 days</w:t>
            </w:r>
          </w:p>
        </w:tc>
        <w:tc>
          <w:tcPr>
            <w:tcW w:type="dxa" w:w="2500"/>
            <w:tcMar>
              <w:top w:type="dxa" w:w="60"/>
              <w:left w:type="dxa" w:w="100"/>
              <w:bottom w:type="dxa" w:w="60"/>
              <w:right w:type="dxa" w:w="100"/>
            </w:tcMar>
            <w:vAlign w:val="center"/>
          </w:tcPr>
          <w:p>
            <w:pPr>
              <w:jc w:val="center"/>
            </w:pPr>
            <w:r>
              <w:rPr>
                <w:rFonts w:ascii="Calibri" w:cs="Calibri" w:eastAsia="Calibri" w:hAnsi="Calibri"/>
                <w:color w:val="262626"/>
                <w:sz w:val="20"/>
                <w:szCs w:val="20"/>
              </w:rPr>
              <w:t xml:space="preserve">200 hours</w:t>
            </w:r>
          </w:p>
        </w:tc>
      </w:tr>
    </w:tbl>
    <w:p>
      <w:pPr>
        <w:spacing w:after="120"/>
      </w:pPr>
    </w:p>
    <w:p>
      <w:pPr>
        <w:spacing w:after="80" w:before="180"/>
      </w:pPr>
      <w:r>
        <w:rPr>
          <w:rFonts w:ascii="Cambria" w:cs="Cambria" w:eastAsia="Cambria" w:hAnsi="Cambria"/>
          <w:b/>
          <w:bCs/>
          <w:i/>
          <w:iCs/>
          <w:color w:val="1F3864"/>
          <w:sz w:val="22"/>
          <w:szCs w:val="22"/>
        </w:rPr>
        <w:t xml:space="preserve">Schedule D: Management</w:t>
      </w:r>
    </w:p>
    <w:tbl>
      <w:tblPr>
        <w:tblW w:type="dxa" w:w="9400"/>
        <w:tblBorders>
          <w:top w:val="single" w:color="1F3864" w:sz="4"/>
          <w:left w:val="single" w:color="1F3864" w:sz="4"/>
          <w:bottom w:val="single" w:color="1F3864" w:sz="4"/>
          <w:right w:val="single" w:color="1F3864" w:sz="4"/>
          <w:insideH w:val="single" w:color="C9CDD3" w:sz="2"/>
          <w:insideV w:val="single" w:color="C9CDD3" w:sz="2"/>
        </w:tblBorders>
      </w:tblPr>
      <w:tblGrid>
        <w:gridCol w:w="4500"/>
        <w:gridCol w:w="2400"/>
        <w:gridCol w:w="2500"/>
      </w:tblGrid>
      <w:tr>
        <w:trPr>
          <w:tblHeader/>
        </w:trPr>
        <w:tc>
          <w:tcPr>
            <w:tcW w:type="dxa" w:w="4500"/>
            <w:shd w:fill="1F3864" w:val="clear"/>
            <w:tcMar>
              <w:top w:type="dxa" w:w="90"/>
              <w:left w:type="dxa" w:w="100"/>
              <w:bottom w:type="dxa" w:w="90"/>
              <w:right w:type="dxa" w:w="100"/>
            </w:tcMar>
            <w:vAlign w:val="center"/>
          </w:tcPr>
          <w:p>
            <w:pPr>
              <w:jc w:val="center"/>
            </w:pPr>
            <w:r>
              <w:rPr>
                <w:rFonts w:ascii="Cambria" w:cs="Cambria" w:eastAsia="Cambria" w:hAnsi="Cambria"/>
                <w:b/>
                <w:bCs/>
                <w:color w:val="FFFFFF"/>
                <w:sz w:val="20"/>
                <w:szCs w:val="20"/>
              </w:rPr>
              <w:t xml:space="preserve">Years of Service</w:t>
            </w:r>
          </w:p>
        </w:tc>
        <w:tc>
          <w:tcPr>
            <w:tcW w:type="dxa" w:w="2400"/>
            <w:shd w:fill="1F3864" w:val="clear"/>
            <w:tcMar>
              <w:top w:type="dxa" w:w="90"/>
              <w:left w:type="dxa" w:w="100"/>
              <w:bottom w:type="dxa" w:w="90"/>
              <w:right w:type="dxa" w:w="100"/>
            </w:tcMar>
            <w:vAlign w:val="center"/>
          </w:tcPr>
          <w:p>
            <w:pPr>
              <w:jc w:val="center"/>
            </w:pPr>
            <w:r>
              <w:rPr>
                <w:rFonts w:ascii="Cambria" w:cs="Cambria" w:eastAsia="Cambria" w:hAnsi="Cambria"/>
                <w:b/>
                <w:bCs/>
                <w:color w:val="FFFFFF"/>
                <w:sz w:val="20"/>
                <w:szCs w:val="20"/>
              </w:rPr>
              <w:t xml:space="preserve">Annual PTO (Days)</w:t>
            </w:r>
          </w:p>
        </w:tc>
        <w:tc>
          <w:tcPr>
            <w:tcW w:type="dxa" w:w="2500"/>
            <w:shd w:fill="1F3864" w:val="clear"/>
            <w:tcMar>
              <w:top w:type="dxa" w:w="90"/>
              <w:left w:type="dxa" w:w="100"/>
              <w:bottom w:type="dxa" w:w="90"/>
              <w:right w:type="dxa" w:w="100"/>
            </w:tcMar>
            <w:vAlign w:val="center"/>
          </w:tcPr>
          <w:p>
            <w:pPr>
              <w:jc w:val="center"/>
            </w:pPr>
            <w:r>
              <w:rPr>
                <w:rFonts w:ascii="Cambria" w:cs="Cambria" w:eastAsia="Cambria" w:hAnsi="Cambria"/>
                <w:b/>
                <w:bCs/>
                <w:color w:val="FFFFFF"/>
                <w:sz w:val="20"/>
                <w:szCs w:val="20"/>
              </w:rPr>
              <w:t xml:space="preserve">Annual PTO (Hours)</w:t>
            </w:r>
          </w:p>
        </w:tc>
      </w:tr>
      <w:tr>
        <w:tc>
          <w:tcPr>
            <w:tcW w:type="dxa" w:w="4500"/>
            <w:tcMar>
              <w:top w:type="dxa" w:w="60"/>
              <w:left w:type="dxa" w:w="100"/>
              <w:bottom w:type="dxa" w:w="60"/>
              <w:right w:type="dxa" w:w="100"/>
            </w:tcMar>
            <w:vAlign w:val="center"/>
          </w:tcPr>
          <w:p>
            <w:pPr>
              <w:jc w:val="center"/>
            </w:pPr>
            <w:r>
              <w:rPr>
                <w:rFonts w:ascii="Calibri" w:cs="Calibri" w:eastAsia="Calibri" w:hAnsi="Calibri"/>
                <w:color w:val="262626"/>
                <w:sz w:val="20"/>
                <w:szCs w:val="20"/>
              </w:rPr>
              <w:t xml:space="preserve">Less than 1 year</w:t>
            </w:r>
          </w:p>
        </w:tc>
        <w:tc>
          <w:tcPr>
            <w:tcW w:type="dxa" w:w="2400"/>
            <w:tcMar>
              <w:top w:type="dxa" w:w="60"/>
              <w:left w:type="dxa" w:w="100"/>
              <w:bottom w:type="dxa" w:w="60"/>
              <w:right w:type="dxa" w:w="100"/>
            </w:tcMar>
            <w:vAlign w:val="center"/>
          </w:tcPr>
          <w:p>
            <w:pPr>
              <w:jc w:val="center"/>
            </w:pPr>
            <w:r>
              <w:rPr>
                <w:rFonts w:ascii="Calibri" w:cs="Calibri" w:eastAsia="Calibri" w:hAnsi="Calibri"/>
                <w:color w:val="262626"/>
                <w:sz w:val="20"/>
                <w:szCs w:val="20"/>
              </w:rPr>
              <w:t xml:space="preserve">13 days</w:t>
            </w:r>
          </w:p>
        </w:tc>
        <w:tc>
          <w:tcPr>
            <w:tcW w:type="dxa" w:w="2500"/>
            <w:tcMar>
              <w:top w:type="dxa" w:w="60"/>
              <w:left w:type="dxa" w:w="100"/>
              <w:bottom w:type="dxa" w:w="60"/>
              <w:right w:type="dxa" w:w="100"/>
            </w:tcMar>
            <w:vAlign w:val="center"/>
          </w:tcPr>
          <w:p>
            <w:pPr>
              <w:jc w:val="center"/>
            </w:pPr>
            <w:r>
              <w:rPr>
                <w:rFonts w:ascii="Calibri" w:cs="Calibri" w:eastAsia="Calibri" w:hAnsi="Calibri"/>
                <w:color w:val="262626"/>
                <w:sz w:val="20"/>
                <w:szCs w:val="20"/>
              </w:rPr>
              <w:t xml:space="preserve">104 hours</w:t>
            </w:r>
          </w:p>
        </w:tc>
      </w:tr>
      <w:tr>
        <w:tc>
          <w:tcPr>
            <w:tcW w:type="dxa" w:w="4500"/>
            <w:shd w:fill="F3F4F6" w:val="clear"/>
            <w:tcMar>
              <w:top w:type="dxa" w:w="60"/>
              <w:left w:type="dxa" w:w="100"/>
              <w:bottom w:type="dxa" w:w="60"/>
              <w:right w:type="dxa" w:w="100"/>
            </w:tcMar>
            <w:vAlign w:val="center"/>
          </w:tcPr>
          <w:p>
            <w:pPr>
              <w:jc w:val="center"/>
            </w:pPr>
            <w:r>
              <w:rPr>
                <w:rFonts w:ascii="Calibri" w:cs="Calibri" w:eastAsia="Calibri" w:hAnsi="Calibri"/>
                <w:color w:val="262626"/>
                <w:sz w:val="20"/>
                <w:szCs w:val="20"/>
              </w:rPr>
              <w:t xml:space="preserve">1 year – under 2 years</w:t>
            </w:r>
          </w:p>
        </w:tc>
        <w:tc>
          <w:tcPr>
            <w:tcW w:type="dxa" w:w="2400"/>
            <w:shd w:fill="F3F4F6" w:val="clear"/>
            <w:tcMar>
              <w:top w:type="dxa" w:w="60"/>
              <w:left w:type="dxa" w:w="100"/>
              <w:bottom w:type="dxa" w:w="60"/>
              <w:right w:type="dxa" w:w="100"/>
            </w:tcMar>
            <w:vAlign w:val="center"/>
          </w:tcPr>
          <w:p>
            <w:pPr>
              <w:jc w:val="center"/>
            </w:pPr>
            <w:r>
              <w:rPr>
                <w:rFonts w:ascii="Calibri" w:cs="Calibri" w:eastAsia="Calibri" w:hAnsi="Calibri"/>
                <w:color w:val="262626"/>
                <w:sz w:val="20"/>
                <w:szCs w:val="20"/>
              </w:rPr>
              <w:t xml:space="preserve">16 days</w:t>
            </w:r>
          </w:p>
        </w:tc>
        <w:tc>
          <w:tcPr>
            <w:tcW w:type="dxa" w:w="2500"/>
            <w:shd w:fill="F3F4F6" w:val="clear"/>
            <w:tcMar>
              <w:top w:type="dxa" w:w="60"/>
              <w:left w:type="dxa" w:w="100"/>
              <w:bottom w:type="dxa" w:w="60"/>
              <w:right w:type="dxa" w:w="100"/>
            </w:tcMar>
            <w:vAlign w:val="center"/>
          </w:tcPr>
          <w:p>
            <w:pPr>
              <w:jc w:val="center"/>
            </w:pPr>
            <w:r>
              <w:rPr>
                <w:rFonts w:ascii="Calibri" w:cs="Calibri" w:eastAsia="Calibri" w:hAnsi="Calibri"/>
                <w:color w:val="262626"/>
                <w:sz w:val="20"/>
                <w:szCs w:val="20"/>
              </w:rPr>
              <w:t xml:space="preserve">128 hours</w:t>
            </w:r>
          </w:p>
        </w:tc>
      </w:tr>
      <w:tr>
        <w:tc>
          <w:tcPr>
            <w:tcW w:type="dxa" w:w="4500"/>
            <w:tcMar>
              <w:top w:type="dxa" w:w="60"/>
              <w:left w:type="dxa" w:w="100"/>
              <w:bottom w:type="dxa" w:w="60"/>
              <w:right w:type="dxa" w:w="100"/>
            </w:tcMar>
            <w:vAlign w:val="center"/>
          </w:tcPr>
          <w:p>
            <w:pPr>
              <w:jc w:val="center"/>
            </w:pPr>
            <w:r>
              <w:rPr>
                <w:rFonts w:ascii="Calibri" w:cs="Calibri" w:eastAsia="Calibri" w:hAnsi="Calibri"/>
                <w:color w:val="262626"/>
                <w:sz w:val="20"/>
                <w:szCs w:val="20"/>
              </w:rPr>
              <w:t xml:space="preserve">2 years – under 3 years</w:t>
            </w:r>
          </w:p>
        </w:tc>
        <w:tc>
          <w:tcPr>
            <w:tcW w:type="dxa" w:w="2400"/>
            <w:tcMar>
              <w:top w:type="dxa" w:w="60"/>
              <w:left w:type="dxa" w:w="100"/>
              <w:bottom w:type="dxa" w:w="60"/>
              <w:right w:type="dxa" w:w="100"/>
            </w:tcMar>
            <w:vAlign w:val="center"/>
          </w:tcPr>
          <w:p>
            <w:pPr>
              <w:jc w:val="center"/>
            </w:pPr>
            <w:r>
              <w:rPr>
                <w:rFonts w:ascii="Calibri" w:cs="Calibri" w:eastAsia="Calibri" w:hAnsi="Calibri"/>
                <w:color w:val="262626"/>
                <w:sz w:val="20"/>
                <w:szCs w:val="20"/>
              </w:rPr>
              <w:t xml:space="preserve">18 days</w:t>
            </w:r>
          </w:p>
        </w:tc>
        <w:tc>
          <w:tcPr>
            <w:tcW w:type="dxa" w:w="2500"/>
            <w:tcMar>
              <w:top w:type="dxa" w:w="60"/>
              <w:left w:type="dxa" w:w="100"/>
              <w:bottom w:type="dxa" w:w="60"/>
              <w:right w:type="dxa" w:w="100"/>
            </w:tcMar>
            <w:vAlign w:val="center"/>
          </w:tcPr>
          <w:p>
            <w:pPr>
              <w:jc w:val="center"/>
            </w:pPr>
            <w:r>
              <w:rPr>
                <w:rFonts w:ascii="Calibri" w:cs="Calibri" w:eastAsia="Calibri" w:hAnsi="Calibri"/>
                <w:color w:val="262626"/>
                <w:sz w:val="20"/>
                <w:szCs w:val="20"/>
              </w:rPr>
              <w:t xml:space="preserve">144 hours</w:t>
            </w:r>
          </w:p>
        </w:tc>
      </w:tr>
      <w:tr>
        <w:tc>
          <w:tcPr>
            <w:tcW w:type="dxa" w:w="4500"/>
            <w:shd w:fill="F3F4F6" w:val="clear"/>
            <w:tcMar>
              <w:top w:type="dxa" w:w="60"/>
              <w:left w:type="dxa" w:w="100"/>
              <w:bottom w:type="dxa" w:w="60"/>
              <w:right w:type="dxa" w:w="100"/>
            </w:tcMar>
            <w:vAlign w:val="center"/>
          </w:tcPr>
          <w:p>
            <w:pPr>
              <w:jc w:val="center"/>
            </w:pPr>
            <w:r>
              <w:rPr>
                <w:rFonts w:ascii="Calibri" w:cs="Calibri" w:eastAsia="Calibri" w:hAnsi="Calibri"/>
                <w:color w:val="262626"/>
                <w:sz w:val="20"/>
                <w:szCs w:val="20"/>
              </w:rPr>
              <w:t xml:space="preserve">3 years – under 5 years</w:t>
            </w:r>
          </w:p>
        </w:tc>
        <w:tc>
          <w:tcPr>
            <w:tcW w:type="dxa" w:w="2400"/>
            <w:shd w:fill="F3F4F6" w:val="clear"/>
            <w:tcMar>
              <w:top w:type="dxa" w:w="60"/>
              <w:left w:type="dxa" w:w="100"/>
              <w:bottom w:type="dxa" w:w="60"/>
              <w:right w:type="dxa" w:w="100"/>
            </w:tcMar>
            <w:vAlign w:val="center"/>
          </w:tcPr>
          <w:p>
            <w:pPr>
              <w:jc w:val="center"/>
            </w:pPr>
            <w:r>
              <w:rPr>
                <w:rFonts w:ascii="Calibri" w:cs="Calibri" w:eastAsia="Calibri" w:hAnsi="Calibri"/>
                <w:color w:val="262626"/>
                <w:sz w:val="20"/>
                <w:szCs w:val="20"/>
              </w:rPr>
              <w:t xml:space="preserve">20 days</w:t>
            </w:r>
          </w:p>
        </w:tc>
        <w:tc>
          <w:tcPr>
            <w:tcW w:type="dxa" w:w="2500"/>
            <w:shd w:fill="F3F4F6" w:val="clear"/>
            <w:tcMar>
              <w:top w:type="dxa" w:w="60"/>
              <w:left w:type="dxa" w:w="100"/>
              <w:bottom w:type="dxa" w:w="60"/>
              <w:right w:type="dxa" w:w="100"/>
            </w:tcMar>
            <w:vAlign w:val="center"/>
          </w:tcPr>
          <w:p>
            <w:pPr>
              <w:jc w:val="center"/>
            </w:pPr>
            <w:r>
              <w:rPr>
                <w:rFonts w:ascii="Calibri" w:cs="Calibri" w:eastAsia="Calibri" w:hAnsi="Calibri"/>
                <w:color w:val="262626"/>
                <w:sz w:val="20"/>
                <w:szCs w:val="20"/>
              </w:rPr>
              <w:t xml:space="preserve">160 hours</w:t>
            </w:r>
          </w:p>
        </w:tc>
      </w:tr>
      <w:tr>
        <w:tc>
          <w:tcPr>
            <w:tcW w:type="dxa" w:w="4500"/>
            <w:tcMar>
              <w:top w:type="dxa" w:w="60"/>
              <w:left w:type="dxa" w:w="100"/>
              <w:bottom w:type="dxa" w:w="60"/>
              <w:right w:type="dxa" w:w="100"/>
            </w:tcMar>
            <w:vAlign w:val="center"/>
          </w:tcPr>
          <w:p>
            <w:pPr>
              <w:jc w:val="center"/>
            </w:pPr>
            <w:r>
              <w:rPr>
                <w:rFonts w:ascii="Calibri" w:cs="Calibri" w:eastAsia="Calibri" w:hAnsi="Calibri"/>
                <w:color w:val="262626"/>
                <w:sz w:val="20"/>
                <w:szCs w:val="20"/>
              </w:rPr>
              <w:t xml:space="preserve">5 years – under 7 years</w:t>
            </w:r>
          </w:p>
        </w:tc>
        <w:tc>
          <w:tcPr>
            <w:tcW w:type="dxa" w:w="2400"/>
            <w:tcMar>
              <w:top w:type="dxa" w:w="60"/>
              <w:left w:type="dxa" w:w="100"/>
              <w:bottom w:type="dxa" w:w="60"/>
              <w:right w:type="dxa" w:w="100"/>
            </w:tcMar>
            <w:vAlign w:val="center"/>
          </w:tcPr>
          <w:p>
            <w:pPr>
              <w:jc w:val="center"/>
            </w:pPr>
            <w:r>
              <w:rPr>
                <w:rFonts w:ascii="Calibri" w:cs="Calibri" w:eastAsia="Calibri" w:hAnsi="Calibri"/>
                <w:color w:val="262626"/>
                <w:sz w:val="20"/>
                <w:szCs w:val="20"/>
              </w:rPr>
              <w:t xml:space="preserve">23 days</w:t>
            </w:r>
          </w:p>
        </w:tc>
        <w:tc>
          <w:tcPr>
            <w:tcW w:type="dxa" w:w="2500"/>
            <w:tcMar>
              <w:top w:type="dxa" w:w="60"/>
              <w:left w:type="dxa" w:w="100"/>
              <w:bottom w:type="dxa" w:w="60"/>
              <w:right w:type="dxa" w:w="100"/>
            </w:tcMar>
            <w:vAlign w:val="center"/>
          </w:tcPr>
          <w:p>
            <w:pPr>
              <w:jc w:val="center"/>
            </w:pPr>
            <w:r>
              <w:rPr>
                <w:rFonts w:ascii="Calibri" w:cs="Calibri" w:eastAsia="Calibri" w:hAnsi="Calibri"/>
                <w:color w:val="262626"/>
                <w:sz w:val="20"/>
                <w:szCs w:val="20"/>
              </w:rPr>
              <w:t xml:space="preserve">184 hours</w:t>
            </w:r>
          </w:p>
        </w:tc>
      </w:tr>
      <w:tr>
        <w:tc>
          <w:tcPr>
            <w:tcW w:type="dxa" w:w="4500"/>
            <w:shd w:fill="F3F4F6" w:val="clear"/>
            <w:tcMar>
              <w:top w:type="dxa" w:w="60"/>
              <w:left w:type="dxa" w:w="100"/>
              <w:bottom w:type="dxa" w:w="60"/>
              <w:right w:type="dxa" w:w="100"/>
            </w:tcMar>
            <w:vAlign w:val="center"/>
          </w:tcPr>
          <w:p>
            <w:pPr>
              <w:jc w:val="center"/>
            </w:pPr>
            <w:r>
              <w:rPr>
                <w:rFonts w:ascii="Calibri" w:cs="Calibri" w:eastAsia="Calibri" w:hAnsi="Calibri"/>
                <w:color w:val="262626"/>
                <w:sz w:val="20"/>
                <w:szCs w:val="20"/>
              </w:rPr>
              <w:t xml:space="preserve">7 years – under 10 years</w:t>
            </w:r>
          </w:p>
        </w:tc>
        <w:tc>
          <w:tcPr>
            <w:tcW w:type="dxa" w:w="2400"/>
            <w:shd w:fill="F3F4F6" w:val="clear"/>
            <w:tcMar>
              <w:top w:type="dxa" w:w="60"/>
              <w:left w:type="dxa" w:w="100"/>
              <w:bottom w:type="dxa" w:w="60"/>
              <w:right w:type="dxa" w:w="100"/>
            </w:tcMar>
            <w:vAlign w:val="center"/>
          </w:tcPr>
          <w:p>
            <w:pPr>
              <w:jc w:val="center"/>
            </w:pPr>
            <w:r>
              <w:rPr>
                <w:rFonts w:ascii="Calibri" w:cs="Calibri" w:eastAsia="Calibri" w:hAnsi="Calibri"/>
                <w:color w:val="262626"/>
                <w:sz w:val="20"/>
                <w:szCs w:val="20"/>
              </w:rPr>
              <w:t xml:space="preserve">26 days</w:t>
            </w:r>
          </w:p>
        </w:tc>
        <w:tc>
          <w:tcPr>
            <w:tcW w:type="dxa" w:w="2500"/>
            <w:shd w:fill="F3F4F6" w:val="clear"/>
            <w:tcMar>
              <w:top w:type="dxa" w:w="60"/>
              <w:left w:type="dxa" w:w="100"/>
              <w:bottom w:type="dxa" w:w="60"/>
              <w:right w:type="dxa" w:w="100"/>
            </w:tcMar>
            <w:vAlign w:val="center"/>
          </w:tcPr>
          <w:p>
            <w:pPr>
              <w:jc w:val="center"/>
            </w:pPr>
            <w:r>
              <w:rPr>
                <w:rFonts w:ascii="Calibri" w:cs="Calibri" w:eastAsia="Calibri" w:hAnsi="Calibri"/>
                <w:color w:val="262626"/>
                <w:sz w:val="20"/>
                <w:szCs w:val="20"/>
              </w:rPr>
              <w:t xml:space="preserve">208 hours</w:t>
            </w:r>
          </w:p>
        </w:tc>
      </w:tr>
      <w:tr>
        <w:tc>
          <w:tcPr>
            <w:tcW w:type="dxa" w:w="4500"/>
            <w:tcMar>
              <w:top w:type="dxa" w:w="60"/>
              <w:left w:type="dxa" w:w="100"/>
              <w:bottom w:type="dxa" w:w="60"/>
              <w:right w:type="dxa" w:w="100"/>
            </w:tcMar>
            <w:vAlign w:val="center"/>
          </w:tcPr>
          <w:p>
            <w:pPr>
              <w:jc w:val="center"/>
            </w:pPr>
            <w:r>
              <w:rPr>
                <w:rFonts w:ascii="Calibri" w:cs="Calibri" w:eastAsia="Calibri" w:hAnsi="Calibri"/>
                <w:color w:val="262626"/>
                <w:sz w:val="20"/>
                <w:szCs w:val="20"/>
              </w:rPr>
              <w:t xml:space="preserve">10+ years</w:t>
            </w:r>
          </w:p>
        </w:tc>
        <w:tc>
          <w:tcPr>
            <w:tcW w:type="dxa" w:w="2400"/>
            <w:tcMar>
              <w:top w:type="dxa" w:w="60"/>
              <w:left w:type="dxa" w:w="100"/>
              <w:bottom w:type="dxa" w:w="60"/>
              <w:right w:type="dxa" w:w="100"/>
            </w:tcMar>
            <w:vAlign w:val="center"/>
          </w:tcPr>
          <w:p>
            <w:pPr>
              <w:jc w:val="center"/>
            </w:pPr>
            <w:r>
              <w:rPr>
                <w:rFonts w:ascii="Calibri" w:cs="Calibri" w:eastAsia="Calibri" w:hAnsi="Calibri"/>
                <w:color w:val="262626"/>
                <w:sz w:val="20"/>
                <w:szCs w:val="20"/>
              </w:rPr>
              <w:t xml:space="preserve">28 days</w:t>
            </w:r>
          </w:p>
        </w:tc>
        <w:tc>
          <w:tcPr>
            <w:tcW w:type="dxa" w:w="2500"/>
            <w:tcMar>
              <w:top w:type="dxa" w:w="60"/>
              <w:left w:type="dxa" w:w="100"/>
              <w:bottom w:type="dxa" w:w="60"/>
              <w:right w:type="dxa" w:w="100"/>
            </w:tcMar>
            <w:vAlign w:val="center"/>
          </w:tcPr>
          <w:p>
            <w:pPr>
              <w:jc w:val="center"/>
            </w:pPr>
            <w:r>
              <w:rPr>
                <w:rFonts w:ascii="Calibri" w:cs="Calibri" w:eastAsia="Calibri" w:hAnsi="Calibri"/>
                <w:color w:val="262626"/>
                <w:sz w:val="20"/>
                <w:szCs w:val="20"/>
              </w:rPr>
              <w:t xml:space="preserve">224 hours</w:t>
            </w:r>
          </w:p>
        </w:tc>
      </w:tr>
    </w:tbl>
    <w:p>
      <w:pPr>
        <w:spacing w:after="120"/>
      </w:pPr>
    </w:p>
    <w:p>
      <w:pPr>
        <w:spacing w:after="120" w:before="220"/>
      </w:pPr>
      <w:r>
        <w:rPr>
          <w:rFonts w:ascii="Cambria" w:cs="Cambria" w:eastAsia="Cambria" w:hAnsi="Cambria"/>
          <w:b/>
          <w:bCs/>
          <w:color w:val="1F3864"/>
          <w:sz w:val="22"/>
          <w:szCs w:val="22"/>
        </w:rPr>
        <w:t xml:space="preserve">Accrual Mechanics</w:t>
      </w:r>
    </w:p>
    <w:p>
      <w:pPr>
        <w:spacing w:after="200"/>
        <w:jc w:val="both"/>
      </w:pPr>
      <w:r>
        <w:rPr>
          <w:rFonts w:ascii="Calibri" w:cs="Calibri" w:eastAsia="Calibri" w:hAnsi="Calibri"/>
          <w:color w:val="262626"/>
          <w:sz w:val="22"/>
          <w:szCs w:val="22"/>
        </w:rPr>
        <w:t xml:space="preserve">PTO accrues weekly (annual amount ÷ 52), starting on the employee's first day, though it cannot be used until the 90-day probationary period ends. Accrual rates increase automatically the week following each tenure-tier anniversary.</w:t>
      </w:r>
    </w:p>
    <w:p>
      <w:pPr>
        <w:spacing w:after="200"/>
        <w:jc w:val="both"/>
      </w:pPr>
      <w:r>
        <w:rPr>
          <w:rFonts w:ascii="Calibri" w:cs="Calibri" w:eastAsia="Calibri" w:hAnsi="Calibri"/>
          <w:color w:val="262626"/>
          <w:sz w:val="22"/>
          <w:szCs w:val="22"/>
        </w:rPr>
        <w:t xml:space="preserve">A role change (e.g., promotion) shifts the employee to the new schedule's rate immediately, with accrued PTO carrying over. Moving to a part-time or seasonal/temporary role stops further accrual (existing PTO is retained, subject to the Maximum Balance, Carryover &amp; Payout provisions below). PTO does not accrue during unpaid leave.</w:t>
      </w:r>
    </w:p>
    <w:p>
      <w:pPr>
        <w:spacing w:after="120" w:before="220"/>
      </w:pPr>
      <w:r>
        <w:rPr>
          <w:rFonts w:ascii="Cambria" w:cs="Cambria" w:eastAsia="Cambria" w:hAnsi="Cambria"/>
          <w:b/>
          <w:bCs/>
          <w:color w:val="1F3864"/>
          <w:sz w:val="22"/>
          <w:szCs w:val="22"/>
        </w:rPr>
        <w:t xml:space="preserve">Maximum Balance, Carryover &amp; Payout</w:t>
      </w:r>
    </w:p>
    <w:p>
      <w:pPr>
        <w:spacing w:after="200"/>
        <w:jc w:val="both"/>
      </w:pPr>
      <w:r>
        <w:rPr>
          <w:rFonts w:ascii="Calibri" w:cs="Calibri" w:eastAsia="Calibri" w:hAnsi="Calibri"/>
          <w:color w:val="262626"/>
          <w:sz w:val="22"/>
          <w:szCs w:val="22"/>
        </w:rPr>
        <w:t xml:space="preserve">On their anniversary date, employees may carry over up to 40 PTO hours; any excess is automatically paid out at their current rate of pay. Employees may instead opt to cash out all accrued, unused PTO on their anniversary date. PTO pay is at the regular rate and is not subject to overtime. Borrowing against PTO (advance leave) is not permitted, and all unused PTO is forfeited upon termination.</w:t>
      </w:r>
    </w:p>
    <w:p>
      <w:pPr>
        <w:spacing w:after="120" w:before="220"/>
      </w:pPr>
      <w:r>
        <w:rPr>
          <w:rFonts w:ascii="Cambria" w:cs="Cambria" w:eastAsia="Cambria" w:hAnsi="Cambria"/>
          <w:b/>
          <w:bCs/>
          <w:color w:val="1F3864"/>
          <w:sz w:val="22"/>
          <w:szCs w:val="22"/>
        </w:rPr>
        <w:t xml:space="preserve">PTO &amp; Company Holidays</w:t>
      </w:r>
    </w:p>
    <w:p>
      <w:pPr>
        <w:spacing w:after="200"/>
        <w:jc w:val="both"/>
      </w:pPr>
      <w:r>
        <w:rPr>
          <w:rFonts w:ascii="Calibri" w:cs="Calibri" w:eastAsia="Calibri" w:hAnsi="Calibri"/>
          <w:color w:val="262626"/>
          <w:sz w:val="22"/>
          <w:szCs w:val="22"/>
        </w:rPr>
        <w:t xml:space="preserve">If a Company holiday falls during scheduled PTO, that day is paid as holiday time instead and is not deducted from the PTO balance. An unapproved PTO day taken immediately before or after a Company holiday forfeits holiday pay for that holiday.</w:t>
      </w:r>
    </w:p>
    <w:p>
      <w:pPr>
        <w:spacing w:after="120" w:before="220"/>
      </w:pPr>
      <w:r>
        <w:rPr>
          <w:rFonts w:ascii="Cambria" w:cs="Cambria" w:eastAsia="Cambria" w:hAnsi="Cambria"/>
          <w:b/>
          <w:bCs/>
          <w:color w:val="1F3864"/>
          <w:sz w:val="22"/>
          <w:szCs w:val="22"/>
        </w:rPr>
        <w:t xml:space="preserve">Requesting PTO</w:t>
      </w:r>
    </w:p>
    <w:p>
      <w:pPr>
        <w:spacing w:after="200"/>
        <w:jc w:val="both"/>
      </w:pPr>
      <w:r>
        <w:rPr>
          <w:rFonts w:ascii="Calibri" w:cs="Calibri" w:eastAsia="Calibri" w:hAnsi="Calibri"/>
          <w:color w:val="262626"/>
          <w:sz w:val="22"/>
          <w:szCs w:val="22"/>
        </w:rPr>
        <w:t xml:space="preserve">Only full-time employees in Schedules A–D accrue and use PTO under this policy. Other employees may be eligible for other leave types addressed elsewhere in this Employee Handbook. Unless a specific leave type or the law requires otherwise, planned PTO requires at least seven (7) days' advance notice; unforeseeable leave requires notice as soon as possible.</w:t>
      </w:r>
    </w:p>
    <w:p>
      <w:pPr>
        <w:spacing w:after="200"/>
        <w:jc w:val="both"/>
      </w:pPr>
      <w:r>
        <w:rPr>
          <w:rFonts w:ascii="Calibri" w:cs="Calibri" w:eastAsia="Calibri" w:hAnsi="Calibri"/>
          <w:color w:val="262626"/>
          <w:sz w:val="22"/>
          <w:szCs w:val="22"/>
        </w:rPr>
        <w:t xml:space="preserve">Requests must be submitted within the notice period and authorized before time off is taken. Unless legally required to authorize leave, the Company grants requests based on its needs and ability to absorb the absence. Paid leave is paid at the employee's normal base rate. Consult HR with eligibility questions.</w:t>
      </w:r>
    </w:p>
    <w:p>
      <w:pPr>
        <w:spacing w:after="200"/>
        <w:jc w:val="both"/>
      </w:pPr>
      <w:r>
        <w:rPr>
          <w:rFonts w:ascii="Calibri" w:cs="Calibri" w:eastAsia="Calibri" w:hAnsi="Calibri"/>
          <w:color w:val="262626"/>
          <w:sz w:val="22"/>
          <w:szCs w:val="22"/>
        </w:rPr>
        <w:t xml:space="preserve">PTO requests should go through the employee's supervisor or the Company's designated scheduling process. Because field, shop, and production roles depend on minimum crew levels, requests during peak periods may be limited, applied fairly and consistently across employees on the same schedule. Unplanned absences should be reported as soon as practicable per the attendance policy.</w:t>
      </w:r>
    </w:p>
    <w:p>
      <w:pPr>
        <w:spacing w:after="120" w:before="220"/>
      </w:pPr>
      <w:r>
        <w:rPr>
          <w:rFonts w:ascii="Cambria" w:cs="Cambria" w:eastAsia="Cambria" w:hAnsi="Cambria"/>
          <w:b/>
          <w:bCs/>
          <w:color w:val="1F3864"/>
          <w:sz w:val="22"/>
          <w:szCs w:val="22"/>
        </w:rPr>
        <w:t xml:space="preserve">Unpaid Leave of Absence</w:t>
      </w:r>
    </w:p>
    <w:p>
      <w:pPr>
        <w:spacing w:after="200"/>
        <w:jc w:val="both"/>
      </w:pPr>
      <w:r>
        <w:rPr>
          <w:rFonts w:ascii="Calibri" w:cs="Calibri" w:eastAsia="Calibri" w:hAnsi="Calibri"/>
          <w:color w:val="262626"/>
          <w:sz w:val="22"/>
          <w:szCs w:val="22"/>
        </w:rPr>
        <w:t xml:space="preserve">The Company may approve requests for unpaid or extended leave, considering employee performance, Company needs, and prior absences. Requests will be accommodated when possible, but may be denied if they would negatively impact operations.</w:t>
      </w:r>
    </w:p>
    <w:p>
      <w:pPr>
        <w:spacing w:after="120" w:before="220"/>
      </w:pPr>
      <w:r>
        <w:rPr>
          <w:rFonts w:ascii="Cambria" w:cs="Cambria" w:eastAsia="Cambria" w:hAnsi="Cambria"/>
          <w:b/>
          <w:bCs/>
          <w:color w:val="1F3864"/>
          <w:sz w:val="22"/>
          <w:szCs w:val="22"/>
        </w:rPr>
        <w:t xml:space="preserve">Administration</w:t>
      </w:r>
    </w:p>
    <w:p>
      <w:pPr>
        <w:spacing w:after="200"/>
        <w:jc w:val="both"/>
      </w:pPr>
      <w:r>
        <w:rPr>
          <w:rFonts w:ascii="Calibri" w:cs="Calibri" w:eastAsia="Calibri" w:hAnsi="Calibri"/>
          <w:color w:val="262626"/>
          <w:sz w:val="22"/>
          <w:szCs w:val="22"/>
        </w:rPr>
        <w:t xml:space="preserve">HR administers this policy and may adjust accrual schedules prospectively with reasonable notice. This policy does not create an employment contract, does not alter at-will status, and may be amended at any time without advance notice.</w:t>
      </w:r>
    </w:p>
    <w:p>
      <w:pPr>
        <w:pStyle w:val="Heading2"/>
        <w:spacing w:after="120" w:before="260"/>
      </w:pPr>
      <w:r>
        <w:rPr>
          <w:rFonts w:ascii="Cambria" w:cs="Cambria" w:eastAsia="Cambria" w:hAnsi="Cambria"/>
          <w:b/>
          <w:bCs/>
          <w:color w:val="1F3864"/>
          <w:sz w:val="24"/>
          <w:szCs w:val="24"/>
        </w:rPr>
        <w:t xml:space="preserve">6.3 Holiday Time Off</w:t>
      </w:r>
    </w:p>
    <w:p>
      <w:pPr>
        <w:spacing w:after="200"/>
        <w:jc w:val="both"/>
      </w:pPr>
      <w:r>
        <w:rPr>
          <w:rFonts w:ascii="Calibri" w:cs="Calibri" w:eastAsia="Calibri" w:hAnsi="Calibri"/>
          <w:color w:val="262626"/>
          <w:sz w:val="22"/>
          <w:szCs w:val="22"/>
        </w:rPr>
        <w:t xml:space="preserve">All full-time employees will receive pay for time off during the following holidays:</w:t>
      </w:r>
    </w:p>
    <w:p>
      <w:pPr>
        <w:spacing w:after="60"/>
        <w:ind w:left="360"/>
      </w:pPr>
      <w:r>
        <w:rPr>
          <w:rFonts w:ascii="Calibri" w:cs="Calibri" w:eastAsia="Calibri" w:hAnsi="Calibri"/>
          <w:color w:val="262626"/>
          <w:sz w:val="22"/>
          <w:szCs w:val="22"/>
        </w:rPr>
        <w:t xml:space="preserve">New Year's Eve</w:t>
      </w:r>
    </w:p>
    <w:p>
      <w:pPr>
        <w:spacing w:after="60"/>
        <w:ind w:left="360"/>
      </w:pPr>
      <w:r>
        <w:rPr>
          <w:rFonts w:ascii="Calibri" w:cs="Calibri" w:eastAsia="Calibri" w:hAnsi="Calibri"/>
          <w:color w:val="262626"/>
          <w:sz w:val="22"/>
          <w:szCs w:val="22"/>
        </w:rPr>
        <w:t xml:space="preserve">New Year's Day</w:t>
      </w:r>
    </w:p>
    <w:p>
      <w:pPr>
        <w:spacing w:after="60"/>
        <w:ind w:left="360"/>
      </w:pPr>
      <w:r>
        <w:rPr>
          <w:rFonts w:ascii="Calibri" w:cs="Calibri" w:eastAsia="Calibri" w:hAnsi="Calibri"/>
          <w:color w:val="262626"/>
          <w:sz w:val="22"/>
          <w:szCs w:val="22"/>
        </w:rPr>
        <w:t xml:space="preserve">Memorial Day</w:t>
      </w:r>
    </w:p>
    <w:p>
      <w:pPr>
        <w:spacing w:after="60"/>
        <w:ind w:left="360"/>
      </w:pPr>
      <w:r>
        <w:rPr>
          <w:rFonts w:ascii="Calibri" w:cs="Calibri" w:eastAsia="Calibri" w:hAnsi="Calibri"/>
          <w:color w:val="262626"/>
          <w:sz w:val="22"/>
          <w:szCs w:val="22"/>
        </w:rPr>
        <w:t xml:space="preserve">Independence Day</w:t>
      </w:r>
    </w:p>
    <w:p>
      <w:pPr>
        <w:spacing w:after="60"/>
        <w:ind w:left="360"/>
      </w:pPr>
      <w:r>
        <w:rPr>
          <w:rFonts w:ascii="Calibri" w:cs="Calibri" w:eastAsia="Calibri" w:hAnsi="Calibri"/>
          <w:color w:val="262626"/>
          <w:sz w:val="22"/>
          <w:szCs w:val="22"/>
        </w:rPr>
        <w:t xml:space="preserve">Labor Day</w:t>
      </w:r>
    </w:p>
    <w:p>
      <w:pPr>
        <w:spacing w:after="60"/>
        <w:ind w:left="360"/>
      </w:pPr>
      <w:r>
        <w:rPr>
          <w:rFonts w:ascii="Calibri" w:cs="Calibri" w:eastAsia="Calibri" w:hAnsi="Calibri"/>
          <w:color w:val="262626"/>
          <w:sz w:val="22"/>
          <w:szCs w:val="22"/>
        </w:rPr>
        <w:t xml:space="preserve">Thanksgiving Day</w:t>
      </w:r>
    </w:p>
    <w:p>
      <w:pPr>
        <w:spacing w:after="60"/>
        <w:ind w:left="360"/>
      </w:pPr>
      <w:r>
        <w:rPr>
          <w:rFonts w:ascii="Calibri" w:cs="Calibri" w:eastAsia="Calibri" w:hAnsi="Calibri"/>
          <w:color w:val="262626"/>
          <w:sz w:val="22"/>
          <w:szCs w:val="22"/>
        </w:rPr>
        <w:t xml:space="preserve">Day after Thanksgiving Day</w:t>
      </w:r>
    </w:p>
    <w:p>
      <w:pPr>
        <w:spacing w:after="60"/>
        <w:ind w:left="360"/>
      </w:pPr>
      <w:r>
        <w:rPr>
          <w:rFonts w:ascii="Calibri" w:cs="Calibri" w:eastAsia="Calibri" w:hAnsi="Calibri"/>
          <w:color w:val="262626"/>
          <w:sz w:val="22"/>
          <w:szCs w:val="22"/>
        </w:rPr>
        <w:t xml:space="preserve">Christmas Eve</w:t>
      </w:r>
    </w:p>
    <w:p>
      <w:pPr>
        <w:spacing w:after="60"/>
        <w:ind w:left="360"/>
      </w:pPr>
      <w:r>
        <w:rPr>
          <w:rFonts w:ascii="Calibri" w:cs="Calibri" w:eastAsia="Calibri" w:hAnsi="Calibri"/>
          <w:color w:val="262626"/>
          <w:sz w:val="22"/>
          <w:szCs w:val="22"/>
        </w:rPr>
        <w:t xml:space="preserve">Christmas Day</w:t>
      </w:r>
    </w:p>
    <w:p>
      <w:pPr>
        <w:spacing w:after="200"/>
        <w:jc w:val="both"/>
      </w:pPr>
      <w:r>
        <w:rPr>
          <w:rFonts w:ascii="Calibri" w:cs="Calibri" w:eastAsia="Calibri" w:hAnsi="Calibri"/>
          <w:color w:val="262626"/>
          <w:sz w:val="22"/>
          <w:szCs w:val="22"/>
        </w:rPr>
        <w:t xml:space="preserve">Employees will receive pay for time off during these holidays calculated at each employee's base pay rate multiplied by the number of hours the employee would have worked if not absent. The Company may require you to work on observed paid holidays, as needed. Non-exempt employees who are approved to work on the Company's observed paid holidays will be paid at their normal base pay rate for hours worked in addition to receiving holiday pay.</w:t>
      </w:r>
    </w:p>
    <w:p>
      <w:pPr>
        <w:spacing w:after="200"/>
        <w:jc w:val="both"/>
      </w:pPr>
      <w:r>
        <w:rPr>
          <w:rFonts w:ascii="Calibri" w:cs="Calibri" w:eastAsia="Calibri" w:hAnsi="Calibri"/>
          <w:color w:val="262626"/>
          <w:sz w:val="22"/>
          <w:szCs w:val="22"/>
        </w:rPr>
        <w:t xml:space="preserve">The Company will observe any holidays that may fall on a weekend on the closest business day either preceding or following such holiday. When possible, the Company will attempt to make reasonable accommodations for employees who request time off to observe other religious holidays, including possibly allowing substitution of vacation leave or unpaid personal leave.</w:t>
      </w:r>
    </w:p>
    <w:p>
      <w:pPr>
        <w:pStyle w:val="Heading2"/>
        <w:spacing w:after="120" w:before="260"/>
      </w:pPr>
      <w:r>
        <w:rPr>
          <w:rFonts w:ascii="Cambria" w:cs="Cambria" w:eastAsia="Cambria" w:hAnsi="Cambria"/>
          <w:b/>
          <w:bCs/>
          <w:color w:val="1F3864"/>
          <w:sz w:val="24"/>
          <w:szCs w:val="24"/>
        </w:rPr>
        <w:t xml:space="preserve">6.4 Family and Medical Leave Act</w:t>
      </w:r>
    </w:p>
    <w:p>
      <w:pPr>
        <w:spacing w:after="200"/>
        <w:jc w:val="both"/>
      </w:pPr>
      <w:r>
        <w:rPr>
          <w:rFonts w:ascii="Calibri" w:cs="Calibri" w:eastAsia="Calibri" w:hAnsi="Calibri"/>
          <w:color w:val="262626"/>
          <w:sz w:val="22"/>
          <w:szCs w:val="22"/>
        </w:rPr>
        <w:t xml:space="preserve">Due to its size, the Company is not required to comply with the federal Family and Medical Leave Act (FMLA) mandating family and medical leave under certain circumstances. This policy affords employees with all rights required under applicable state and federal law regarding family and medical leave. State law may provide employees with additional family and medical leave rights not provided under federal law, and relevant information concerning any such rights is included below or otherwise provided by the Company in accordance with state law. Please contact a Human Resource Manager should you have any questions or concerns regarding family or medical leave.</w:t>
      </w:r>
    </w:p>
    <w:p>
      <w:pPr>
        <w:spacing w:after="200"/>
        <w:jc w:val="both"/>
      </w:pPr>
      <w:r>
        <w:rPr>
          <w:rFonts w:ascii="Calibri" w:cs="Calibri" w:eastAsia="Calibri" w:hAnsi="Calibri"/>
          <w:color w:val="262626"/>
          <w:sz w:val="22"/>
          <w:szCs w:val="22"/>
        </w:rPr>
        <w:t xml:space="preserve">To the extent that family and medical leave is not required under state law, the Company will consider granting employee requests for leave for the birth and care of a newborn; for the placement or care of a child for adoption or foster care; to care for the employee's spouse, child, or parent who has a serious health condition; to seek care for the</w:t>
      </w:r>
    </w:p>
    <w:p>
      <w:pPr>
        <w:spacing w:after="200"/>
        <w:jc w:val="both"/>
      </w:pPr>
      <w:r>
        <w:rPr>
          <w:rFonts w:ascii="Calibri" w:cs="Calibri" w:eastAsia="Calibri" w:hAnsi="Calibri"/>
          <w:color w:val="262626"/>
          <w:sz w:val="22"/>
          <w:szCs w:val="22"/>
        </w:rPr>
        <w:t xml:space="preserve">employee's own serious health condition; to manage an exigency arising out of the fact that the employee's spouse, son, daughter, or parent is a military member on active duty; or to care for a service member with a serious injury or illness. When possible, such requests must be made at least thirty (30) days prior to the anticipated leave and employees must provide the Company with an estimate of the duration of the leave. Requests will be granted on a case-by-case basis according to the needs of both the Company and the employee.</w:t>
      </w:r>
    </w:p>
    <w:p>
      <w:pPr>
        <w:pStyle w:val="Heading2"/>
        <w:spacing w:after="120" w:before="260"/>
      </w:pPr>
      <w:r>
        <w:rPr>
          <w:rFonts w:ascii="Cambria" w:cs="Cambria" w:eastAsia="Cambria" w:hAnsi="Cambria"/>
          <w:b/>
          <w:bCs/>
          <w:color w:val="1F3864"/>
          <w:sz w:val="24"/>
          <w:szCs w:val="24"/>
        </w:rPr>
        <w:t xml:space="preserve">6.5 Military Leave</w:t>
      </w:r>
    </w:p>
    <w:p>
      <w:pPr>
        <w:spacing w:after="200"/>
        <w:jc w:val="both"/>
      </w:pPr>
      <w:r>
        <w:rPr>
          <w:rFonts w:ascii="Calibri" w:cs="Calibri" w:eastAsia="Calibri" w:hAnsi="Calibri"/>
          <w:color w:val="262626"/>
          <w:sz w:val="22"/>
          <w:szCs w:val="22"/>
        </w:rPr>
        <w:t xml:space="preserve">The Company strives to provide job security and prevent discrimination against employees engaged in military service. Eligible employees who are members of the Uniformed Services of the United States are entitled to military leave to participate in active or inactive duty, training, or fitness examinations, including, but not limited to, those in the Armed Forces, the Army National Guard, the Air Force National Guard, state militias, or reservists. Military leave is granted according to state and federal law for employees who satisfy the pertinent legal requirements. You may be entitled to continued health insurance or paid or unpaid leave for a period of time during leave. You must provide your supervisor with as much advance notice as possible before taking military leave and return to work within the timeframe prescribed by law after your service ends.</w:t>
      </w:r>
    </w:p>
    <w:p>
      <w:pPr>
        <w:spacing w:after="200"/>
        <w:jc w:val="both"/>
      </w:pPr>
      <w:r>
        <w:rPr>
          <w:rFonts w:ascii="Calibri" w:cs="Calibri" w:eastAsia="Calibri" w:hAnsi="Calibri"/>
          <w:color w:val="262626"/>
          <w:sz w:val="22"/>
          <w:szCs w:val="22"/>
        </w:rPr>
        <w:t xml:space="preserve">In accordance with state and federal law, it is against Company policy to discriminate against an employee or applicant for employment on the basis of that person's membership or other service to the Uniformed Services of the United States, including denying such person employment, reemployment, promotion, compensation, or other benefit. No such person may be retaliated against for exercising his or her rights as a military service member under law or Company policy. Contact a Human Resource Manager immediately if you believe you have been the subject of discrimination, retaliation, or harassment on the basis of your military membership. Also, contact Human Resources to request detailed information regarding your eligibility for military leave or for other related inquiries.</w:t>
      </w:r>
    </w:p>
    <w:p>
      <w:pPr>
        <w:pStyle w:val="Heading2"/>
        <w:spacing w:after="120" w:before="260"/>
      </w:pPr>
      <w:r>
        <w:rPr>
          <w:rFonts w:ascii="Cambria" w:cs="Cambria" w:eastAsia="Cambria" w:hAnsi="Cambria"/>
          <w:b/>
          <w:bCs/>
          <w:color w:val="1F3864"/>
          <w:sz w:val="24"/>
          <w:szCs w:val="24"/>
        </w:rPr>
        <w:t xml:space="preserve">6.6 Worker's Compensation Leave</w:t>
      </w:r>
    </w:p>
    <w:p>
      <w:pPr>
        <w:spacing w:after="200"/>
        <w:jc w:val="both"/>
      </w:pPr>
      <w:r>
        <w:rPr>
          <w:rFonts w:ascii="Calibri" w:cs="Calibri" w:eastAsia="Calibri" w:hAnsi="Calibri"/>
          <w:color w:val="262626"/>
          <w:sz w:val="22"/>
          <w:szCs w:val="22"/>
        </w:rPr>
        <w:t xml:space="preserve">If you are unable to work due to a work-related injury or illness, you may be eligible for worker's compensation leave and benefits in accordance with state law. Contact a Human Resource Manager to request detailed information regarding your eligibility for worker's compensation leave or for other related inquiries or concerns.</w:t>
      </w:r>
    </w:p>
    <w:p>
      <w:pPr>
        <w:pStyle w:val="Heading2"/>
        <w:spacing w:after="120" w:before="260"/>
      </w:pPr>
      <w:r>
        <w:rPr>
          <w:rFonts w:ascii="Cambria" w:cs="Cambria" w:eastAsia="Cambria" w:hAnsi="Cambria"/>
          <w:b/>
          <w:bCs/>
          <w:color w:val="1F3864"/>
          <w:sz w:val="24"/>
          <w:szCs w:val="24"/>
        </w:rPr>
        <w:t xml:space="preserve">6.7 Bereavement Leave</w:t>
      </w:r>
    </w:p>
    <w:p>
      <w:pPr>
        <w:spacing w:after="200"/>
        <w:jc w:val="both"/>
      </w:pPr>
      <w:r>
        <w:rPr>
          <w:rFonts w:ascii="Calibri" w:cs="Calibri" w:eastAsia="Calibri" w:hAnsi="Calibri"/>
          <w:color w:val="262626"/>
          <w:sz w:val="22"/>
          <w:szCs w:val="22"/>
        </w:rPr>
        <w:t xml:space="preserve">All employees are entitled to up to three (3) days' paid leave to attend the funeral or otherwise deal with the death of an immediate family member. "Immediate family members" include an employee's spouse, civil partner, child (biological, adopted, foster, stepchild, or otherwise), parent, sibling, grandparent, grandchild, same-sex domestic partner, or same-sex domestic partner's parent or child. Additionally, eligible employees are entitled to up to one (1) days' paid leave to attend the funeral or otherwise deal with the death of a relative who is not an immediate member, including an aunt, uncle, nephew, niece, brother-in-law, sister-in-law, or parent-in-law. Bereavement leave will be paid at an employee's base pay rate multiplied by the number of hours that the employee would have worked if not absent. You should notify your supervisor immediately if you wish to take bereavement leave. Bereavement leave will normally be granted unless there are unusual business needs or staffing requirements. An employee may, with his or her supervisor's approval, use any available vacation for additional time off as necessary. The Company may request verification of the facts surrounding the requested leave.</w:t>
      </w:r>
    </w:p>
    <w:p>
      <w:pPr>
        <w:pStyle w:val="Heading2"/>
        <w:spacing w:after="120" w:before="260"/>
      </w:pPr>
      <w:r>
        <w:rPr>
          <w:rFonts w:ascii="Cambria" w:cs="Cambria" w:eastAsia="Cambria" w:hAnsi="Cambria"/>
          <w:b/>
          <w:bCs/>
          <w:color w:val="1F3864"/>
          <w:sz w:val="24"/>
          <w:szCs w:val="24"/>
        </w:rPr>
        <w:t xml:space="preserve">6.8 Jury Duty</w:t>
      </w:r>
    </w:p>
    <w:p>
      <w:pPr>
        <w:spacing w:after="200"/>
        <w:jc w:val="both"/>
      </w:pPr>
      <w:r>
        <w:rPr>
          <w:rFonts w:ascii="Calibri" w:cs="Calibri" w:eastAsia="Calibri" w:hAnsi="Calibri"/>
          <w:color w:val="262626"/>
          <w:sz w:val="22"/>
          <w:szCs w:val="22"/>
        </w:rPr>
        <w:t xml:space="preserve">The Company encourages employees to serve on jury duty when called. In accordance with state and federal law, employees receive unpaid time off to serve on jury duty. If an employee receives health insurance benefits, such benefit will normally be maintained during jury duty.</w:t>
      </w:r>
    </w:p>
    <w:p>
      <w:pPr>
        <w:spacing w:after="200"/>
        <w:jc w:val="both"/>
      </w:pPr>
      <w:r>
        <w:rPr>
          <w:rFonts w:ascii="Calibri" w:cs="Calibri" w:eastAsia="Calibri" w:hAnsi="Calibri"/>
          <w:color w:val="262626"/>
          <w:sz w:val="22"/>
          <w:szCs w:val="22"/>
        </w:rPr>
        <w:t xml:space="preserve">Employees must present their jury summons notice as soon as possible so that the Company may make arrangements to cover their shift. Employees must promptly report to work whenever their jury duty schedule does not conflict with their work schedule. The Company may allow employees called for jury duty to use accrued PTO or other leave upon request. Time off for jury duty should be reported and appropriately logged in each employee's time records. Notify your supervisor that you have been selected for jury duty as soon as possible.</w:t>
      </w:r>
    </w:p>
    <w:p>
      <w:pPr>
        <w:spacing w:after="200"/>
        <w:jc w:val="both"/>
      </w:pPr>
      <w:r>
        <w:rPr>
          <w:rFonts w:ascii="Calibri" w:cs="Calibri" w:eastAsia="Calibri" w:hAnsi="Calibri"/>
          <w:color w:val="262626"/>
          <w:sz w:val="22"/>
          <w:szCs w:val="22"/>
        </w:rPr>
        <w:t xml:space="preserve">The Company will not allow any form of retaliation against employees selected to serve on jury duty.</w:t>
      </w:r>
    </w:p>
    <w:p>
      <w:pPr>
        <w:pStyle w:val="Heading2"/>
        <w:spacing w:after="120" w:before="260"/>
      </w:pPr>
      <w:r>
        <w:rPr>
          <w:rFonts w:ascii="Cambria" w:cs="Cambria" w:eastAsia="Cambria" w:hAnsi="Cambria"/>
          <w:b/>
          <w:bCs/>
          <w:color w:val="1F3864"/>
          <w:sz w:val="24"/>
          <w:szCs w:val="24"/>
        </w:rPr>
        <w:t xml:space="preserve">6.9 Voting Leave</w:t>
      </w:r>
    </w:p>
    <w:p>
      <w:pPr>
        <w:spacing w:after="200"/>
        <w:jc w:val="both"/>
      </w:pPr>
      <w:r>
        <w:rPr>
          <w:rFonts w:ascii="Calibri" w:cs="Calibri" w:eastAsia="Calibri" w:hAnsi="Calibri"/>
          <w:color w:val="262626"/>
          <w:sz w:val="22"/>
          <w:szCs w:val="22"/>
        </w:rPr>
        <w:t xml:space="preserve">The Company encourages employees to fulfill their civic duty to vote in elections. If possible, employees must vote outside of work hours either before or after their scheduled shifts. The Company may grant employees unpaid time off sufficient to vote upon request. Unless the time off to vote occurs at the end of the work shift, employees must return to</w:t>
      </w:r>
    </w:p>
    <w:p>
      <w:pPr>
        <w:spacing w:after="200"/>
        <w:jc w:val="both"/>
      </w:pPr>
      <w:r>
        <w:rPr>
          <w:rFonts w:ascii="Calibri" w:cs="Calibri" w:eastAsia="Calibri" w:hAnsi="Calibri"/>
          <w:color w:val="262626"/>
          <w:sz w:val="22"/>
          <w:szCs w:val="22"/>
        </w:rPr>
        <w:t xml:space="preserve">work promptly after voting. Time off to vote should be reported and appropriately logged in each employee's time records.</w:t>
      </w:r>
    </w:p>
    <w:p>
      <w:pPr>
        <w:spacing w:after="200"/>
        <w:jc w:val="both"/>
      </w:pPr>
      <w:r>
        <w:rPr>
          <w:rFonts w:ascii="Calibri" w:cs="Calibri" w:eastAsia="Calibri" w:hAnsi="Calibri"/>
          <w:color w:val="262626"/>
          <w:sz w:val="22"/>
          <w:szCs w:val="22"/>
        </w:rPr>
        <w:t xml:space="preserve">The Company will not fire or threaten to fire any employee for voting or not voting in an election, for a particular candidate, or for a specific ballot measure. Consult a Human Resource Manager if you have any questions or concerns regarding voting leave.</w:t>
      </w:r>
    </w:p>
    <w:p>
      <w:pPr>
        <w:pStyle w:val="Heading2"/>
        <w:spacing w:after="120" w:before="260"/>
      </w:pPr>
      <w:r>
        <w:rPr>
          <w:rFonts w:ascii="Cambria" w:cs="Cambria" w:eastAsia="Cambria" w:hAnsi="Cambria"/>
          <w:b/>
          <w:bCs/>
          <w:color w:val="1F3864"/>
          <w:sz w:val="24"/>
          <w:szCs w:val="24"/>
        </w:rPr>
        <w:t xml:space="preserve">6.10 Parental Leave for School Functions</w:t>
      </w:r>
    </w:p>
    <w:p>
      <w:pPr>
        <w:spacing w:after="200"/>
        <w:jc w:val="both"/>
      </w:pPr>
      <w:r>
        <w:rPr>
          <w:rFonts w:ascii="Calibri" w:cs="Calibri" w:eastAsia="Calibri" w:hAnsi="Calibri"/>
          <w:color w:val="262626"/>
          <w:sz w:val="22"/>
          <w:szCs w:val="22"/>
        </w:rPr>
        <w:t xml:space="preserve">Upon proper notice and request, the Company may allow unpaid time off for eligible employee-parents to attend their children's school functions upon request. The Company may require you to use accrued personal time off. If approved, you are required to promptly return to work upon the completion of the school function. Requests will be granted based on departmental coverage and Company needs at the time. The Company has the right to disapprove any requests that may interfere with or negatively impact its operations, unless otherwise required by law.</w:t>
      </w:r>
    </w:p>
    <w:p>
      <w:pPr>
        <w:pStyle w:val="Heading1"/>
        <w:pageBreakBefore/>
        <w:pBdr>
          <w:bottom w:val="single" w:color="AB8A2F" w:sz="8" w:space="8"/>
        </w:pBdr>
        <w:spacing w:after="280"/>
        <w:jc w:val="center"/>
      </w:pPr>
      <w:r>
        <w:rPr>
          <w:rFonts w:ascii="Cambria" w:cs="Cambria" w:eastAsia="Cambria" w:hAnsi="Cambria"/>
          <w:b/>
          <w:bCs/>
          <w:color w:val="1F3864"/>
          <w:spacing w:val="10"/>
          <w:sz w:val="30"/>
          <w:szCs w:val="30"/>
        </w:rPr>
        <w:t xml:space="preserve">HANDBOOK ACKNOWLEDGMENT</w:t>
      </w:r>
    </w:p>
    <w:p>
      <w:pPr>
        <w:spacing w:after="200"/>
        <w:jc w:val="both"/>
      </w:pPr>
      <w:r>
        <w:rPr>
          <w:rFonts w:ascii="Calibri" w:cs="Calibri" w:eastAsia="Calibri" w:hAnsi="Calibri"/>
          <w:color w:val="262626"/>
          <w:sz w:val="22"/>
          <w:szCs w:val="22"/>
        </w:rPr>
        <w:t xml:space="preserve">This employee handbook is an important document intended to help you become acquainted with [Company Name]. This document is intended to provide guidelines and general descriptions only; it is not the final word in all cases. Individual circumstances may call for individual attention.</w:t>
      </w:r>
    </w:p>
    <w:p>
      <w:pPr>
        <w:spacing w:after="200"/>
        <w:jc w:val="both"/>
      </w:pPr>
      <w:r>
        <w:rPr>
          <w:rFonts w:ascii="Calibri" w:cs="Calibri" w:eastAsia="Calibri" w:hAnsi="Calibri"/>
          <w:color w:val="262626"/>
          <w:sz w:val="22"/>
          <w:szCs w:val="22"/>
        </w:rPr>
        <w:t xml:space="preserve">Because [Company Name]'s operations may change, the contents of this handbook may be changed at any time, with or without notice, in an individual case or generally, at the sole discretion of management.</w:t>
      </w:r>
    </w:p>
    <w:p>
      <w:pPr>
        <w:spacing w:after="200"/>
        <w:jc w:val="both"/>
      </w:pPr>
      <w:r>
        <w:rPr>
          <w:rFonts w:ascii="Calibri" w:cs="Calibri" w:eastAsia="Calibri" w:hAnsi="Calibri"/>
          <w:color w:val="262626"/>
          <w:sz w:val="22"/>
          <w:szCs w:val="22"/>
        </w:rPr>
        <w:t xml:space="preserve">I, the undersigned employee, understand and acknowledge the following:</w:t>
      </w:r>
    </w:p>
    <w:p>
      <w:pPr>
        <w:spacing w:after="200"/>
        <w:jc w:val="both"/>
      </w:pPr>
      <w:r>
        <w:rPr>
          <w:rFonts w:ascii="Calibri" w:cs="Calibri" w:eastAsia="Calibri" w:hAnsi="Calibri"/>
          <w:color w:val="262626"/>
          <w:sz w:val="22"/>
          <w:szCs w:val="22"/>
        </w:rPr>
        <w:t xml:space="preserve">That I have received a copy of this Employee Handbook and that it is my responsibility to read and be aware of, and comply with all policies contained in it and any official notices that supersede it, including, but not limited to, policies on confidentiality, health, safety, anti-harassment, discrimination, and drugs and alcohol.</w:t>
      </w:r>
    </w:p>
    <w:p>
      <w:pPr>
        <w:spacing w:after="200"/>
        <w:jc w:val="both"/>
      </w:pPr>
      <w:r>
        <w:rPr>
          <w:rFonts w:ascii="Calibri" w:cs="Calibri" w:eastAsia="Calibri" w:hAnsi="Calibri"/>
          <w:color w:val="262626"/>
          <w:sz w:val="22"/>
          <w:szCs w:val="22"/>
        </w:rPr>
        <w:t xml:space="preserve">That, unless expressly stated to the contrary in a written employment agreement between me and Company, this is an at-will employment relationship, and as such, both myself and the Company may terminate this agreement at any time, with or without cause or notice, as permitted by law. Nothing in this Employee Handbook is intended to modify my at-will employment relationship with Company.</w:t>
      </w:r>
    </w:p>
    <w:p>
      <w:pPr>
        <w:spacing w:after="200"/>
        <w:jc w:val="both"/>
      </w:pPr>
      <w:r>
        <w:rPr>
          <w:rFonts w:ascii="Calibri" w:cs="Calibri" w:eastAsia="Calibri" w:hAnsi="Calibri"/>
          <w:color w:val="262626"/>
          <w:sz w:val="22"/>
          <w:szCs w:val="22"/>
        </w:rPr>
        <w:t xml:space="preserve">That this is not a contract of employment or a guarantee of a continued employment relationship for any period of time.</w:t>
      </w:r>
    </w:p>
    <w:p>
      <w:pPr>
        <w:spacing w:after="200"/>
        <w:jc w:val="both"/>
      </w:pPr>
      <w:r>
        <w:rPr>
          <w:rFonts w:ascii="Calibri" w:cs="Calibri" w:eastAsia="Calibri" w:hAnsi="Calibri"/>
          <w:color w:val="262626"/>
          <w:sz w:val="22"/>
          <w:szCs w:val="22"/>
        </w:rPr>
        <w:t xml:space="preserve">That this Employee Handbook and the policies contained herein modifies, supersedes, and revokes any and all prior policies, procedures, practices, and oral or written representations to the contrary or that are otherwise inconsistent with its terms.</w:t>
      </w:r>
    </w:p>
    <w:p>
      <w:pPr>
        <w:spacing w:after="200"/>
        <w:jc w:val="both"/>
      </w:pPr>
      <w:r>
        <w:rPr>
          <w:rFonts w:ascii="Calibri" w:cs="Calibri" w:eastAsia="Calibri" w:hAnsi="Calibri"/>
          <w:color w:val="262626"/>
          <w:sz w:val="22"/>
          <w:szCs w:val="22"/>
        </w:rPr>
        <w:t xml:space="preserve">I understand that my signature below indicates that I have read and understand the above statements and that I have received a copy of [Company Name]'s employee handbook.</w:t>
      </w:r>
    </w:p>
    <w:p>
      <w:pPr>
        <w:tabs>
          <w:tab w:val="right" w:pos="9000"/>
        </w:tabs>
        <w:spacing w:after="60" w:before="300"/>
      </w:pPr>
      <w:r>
        <w:rPr>
          <w:rFonts w:ascii="Calibri" w:cs="Calibri" w:eastAsia="Calibri" w:hAnsi="Calibri"/>
          <w:color w:val="1F3864"/>
          <w:sz w:val="22"/>
          <w:szCs w:val="22"/>
        </w:rPr>
        <w:t xml:space="preserve">_______________________________________________</w:t>
      </w:r>
    </w:p>
    <w:p>
      <w:pPr>
        <w:tabs>
          <w:tab w:val="left" w:pos="5400"/>
        </w:tabs>
        <w:spacing w:after="240"/>
      </w:pPr>
      <w:r>
        <w:rPr>
          <w:rFonts w:ascii="Calibri" w:cs="Calibri" w:eastAsia="Calibri" w:hAnsi="Calibri"/>
          <w:i/>
          <w:iCs/>
          <w:color w:val="262626"/>
          <w:sz w:val="20"/>
          <w:szCs w:val="20"/>
        </w:rPr>
        <w:t xml:space="preserve">Employee's Printed Name	Position</w:t>
      </w:r>
    </w:p>
    <w:p>
      <w:pPr>
        <w:tabs>
          <w:tab w:val="right" w:pos="9000"/>
        </w:tabs>
        <w:spacing w:after="60" w:before="300"/>
      </w:pPr>
      <w:r>
        <w:rPr>
          <w:rFonts w:ascii="Calibri" w:cs="Calibri" w:eastAsia="Calibri" w:hAnsi="Calibri"/>
          <w:color w:val="1F3864"/>
          <w:sz w:val="22"/>
          <w:szCs w:val="22"/>
        </w:rPr>
        <w:t xml:space="preserve">_______________________________________________</w:t>
      </w:r>
    </w:p>
    <w:p>
      <w:pPr>
        <w:tabs>
          <w:tab w:val="left" w:pos="5400"/>
        </w:tabs>
        <w:spacing w:after="240"/>
      </w:pPr>
      <w:r>
        <w:rPr>
          <w:rFonts w:ascii="Calibri" w:cs="Calibri" w:eastAsia="Calibri" w:hAnsi="Calibri"/>
          <w:i/>
          <w:iCs/>
          <w:color w:val="262626"/>
          <w:sz w:val="20"/>
          <w:szCs w:val="20"/>
        </w:rPr>
        <w:t xml:space="preserve">Employee's Signature	Date</w:t>
      </w:r>
    </w:p>
    <w:p>
      <w:pPr>
        <w:spacing w:after="0" w:before="300"/>
        <w:jc w:val="both"/>
      </w:pPr>
      <w:r>
        <w:rPr>
          <w:rFonts w:ascii="Calibri" w:cs="Calibri" w:eastAsia="Calibri" w:hAnsi="Calibri"/>
          <w:color w:val="262626"/>
          <w:sz w:val="22"/>
          <w:szCs w:val="22"/>
        </w:rPr>
        <w:t xml:space="preserve">The signed original copy of this acknowledgment should be given to management - it will be filed in your personnel file.</w:t>
      </w:r>
    </w:p>
    <w:sectPr>
      <w:footerReference w:type="default" r:id="rId9"/>
      <w:type w:val="nextPage"/>
      <w:pgSz w:w="12240" w:h="15840"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B8A2F" w:sz="4" w:space="4"/>
      </w:pBdr>
      <w:tabs>
        <w:tab w:val="center" w:pos="4500"/>
        <w:tab w:val="right" w:pos="9000"/>
      </w:tabs>
    </w:pPr>
    <w:r>
      <w:rPr>
        <w:rFonts w:ascii="Calibri" w:cs="Calibri" w:eastAsia="Calibri" w:hAnsi="Calibri"/>
        <w:b/>
        <w:bCs/>
        <w:color w:val="1F3864"/>
        <w:sz w:val="18"/>
        <w:szCs w:val="18"/>
      </w:rPr>
      <w:t xml:space="preserve">[Company Name]</w:t>
    </w:r>
    <w:r>
      <w:rPr>
        <w:rFonts w:ascii="Calibri" w:cs="Calibri" w:eastAsia="Calibri" w:hAnsi="Calibri"/>
        <w:color w:val="1F3864"/>
        <w:sz w:val="18"/>
        <w:szCs w:val="18"/>
      </w:rPr>
      <w:t xml:space="preserve">	Employee Handbook	</w:t>
    </w:r>
    <w:r>
      <w:rPr>
        <w:rFonts w:ascii="Calibri" w:cs="Calibri" w:eastAsia="Calibri" w:hAnsi="Calibri"/>
        <w:color w:val="1F3864"/>
        <w:sz w:val="18"/>
        <w:szCs w:val="18"/>
      </w:rPr>
      <w:t xml:space="preserve">Page </w:t>
    </w:r>
    <w:r>
      <w:rPr>
        <w:rFonts w:ascii="Calibri" w:cs="Calibri" w:eastAsia="Calibri" w:hAnsi="Calibri"/>
        <w:color w:val="1F3864"/>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B8A2F" w:sz="4" w:space="4"/>
      </w:pBdr>
      <w:tabs>
        <w:tab w:val="center" w:pos="4500"/>
        <w:tab w:val="right" w:pos="9000"/>
      </w:tabs>
    </w:pPr>
    <w:r>
      <w:rPr>
        <w:rFonts w:ascii="Calibri" w:cs="Calibri" w:eastAsia="Calibri" w:hAnsi="Calibri"/>
        <w:b/>
        <w:bCs/>
        <w:color w:val="1F3864"/>
        <w:sz w:val="18"/>
        <w:szCs w:val="18"/>
      </w:rPr>
      <w:t xml:space="preserve">[Company Name]</w:t>
    </w:r>
    <w:r>
      <w:rPr>
        <w:rFonts w:ascii="Calibri" w:cs="Calibri" w:eastAsia="Calibri" w:hAnsi="Calibri"/>
        <w:color w:val="1F3864"/>
        <w:sz w:val="18"/>
        <w:szCs w:val="18"/>
      </w:rPr>
      <w:t xml:space="preserve">	Employee Handbook	</w:t>
    </w:r>
    <w:r>
      <w:rPr>
        <w:rFonts w:ascii="Calibri" w:cs="Calibri" w:eastAsia="Calibri" w:hAnsi="Calibri"/>
        <w:color w:val="1F3864"/>
        <w:sz w:val="18"/>
        <w:szCs w:val="18"/>
      </w:rPr>
      <w:t xml:space="preserve">Page </w:t>
    </w:r>
    <w:r>
      <w:rPr>
        <w:rFonts w:ascii="Calibri" w:cs="Calibri" w:eastAsia="Calibri" w:hAnsi="Calibri"/>
        <w:color w:val="1F386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80" w:before="240"/>
      <w:jc w:val="center"/>
    </w:pPr>
    <w:rPr>
      <w:rFonts w:ascii="Cambria" w:cs="Cambria" w:eastAsia="Cambria" w:hAnsi="Cambria"/>
      <w:b/>
      <w:bCs/>
      <w:color w:val="1F3864"/>
      <w:sz w:val="30"/>
      <w:szCs w:val="30"/>
    </w:rPr>
  </w:style>
  <w:style w:type="paragraph" w:styleId="Heading2">
    <w:name w:val="Heading 2"/>
    <w:basedOn w:val="Normal"/>
    <w:next w:val="Normal"/>
    <w:qFormat/>
    <w:pPr>
      <w:spacing w:after="120" w:before="260"/>
    </w:pPr>
    <w:rPr>
      <w:rFonts w:ascii="Cambria" w:cs="Cambria" w:eastAsia="Cambria" w:hAnsi="Cambria"/>
      <w:b/>
      <w:bCs/>
      <w:color w:val="1F3864"/>
      <w:sz w:val="24"/>
      <w:szCs w:val="24"/>
    </w:rPr>
  </w:style>
  <w:style w:type="paragraph" w:styleId="Heading3">
    <w:name w:val="Heading 3"/>
    <w:basedOn w:val="Normal"/>
    <w:next w:val="Normal"/>
    <w:qFormat/>
    <w:pPr>
      <w:spacing w:after="120" w:before="260"/>
      <w:ind w:left="360"/>
    </w:pPr>
    <w:rPr>
      <w:rFonts w:ascii="Cambria" w:cs="Cambria" w:eastAsia="Cambria" w:hAnsi="Cambria"/>
      <w:b/>
      <w:bCs/>
      <w:color w:val="1F3864"/>
      <w:sz w:val="24"/>
      <w:szCs w:val="24"/>
    </w:rPr>
  </w:style>
  <w:style w:type="paragraph" w:styleId="TOC1">
    <w:name w:val="TOC 1"/>
    <w:basedOn w:val="Normal"/>
    <w:next w:val="Normal"/>
    <w:pPr>
      <w:spacing w:after="0" w:before="120"/>
      <w:ind w:left="0"/>
    </w:pPr>
    <w:rPr>
      <w:rFonts w:ascii="Cambria" w:cs="Cambria" w:eastAsia="Cambria" w:hAnsi="Cambria"/>
      <w:b/>
      <w:bCs/>
      <w:color w:val="1F3864"/>
      <w:sz w:val="22"/>
      <w:szCs w:val="22"/>
    </w:rPr>
  </w:style>
  <w:style w:type="paragraph" w:styleId="TOC2">
    <w:name w:val="TOC 2"/>
    <w:basedOn w:val="Normal"/>
    <w:next w:val="Normal"/>
    <w:pPr>
      <w:spacing w:after="0"/>
      <w:ind w:left="360"/>
    </w:pPr>
    <w:rPr>
      <w:rFonts w:ascii="Calibri" w:cs="Calibri" w:eastAsia="Calibri" w:hAnsi="Calibri"/>
      <w:color w:val="262626"/>
      <w:sz w:val="22"/>
      <w:szCs w:val="22"/>
    </w:rPr>
  </w:style>
  <w:style w:type="paragraph" w:styleId="TOC3">
    <w:name w:val="TOC 3"/>
    <w:basedOn w:val="Normal"/>
    <w:next w:val="Normal"/>
    <w:pPr>
      <w:spacing w:after="0"/>
      <w:ind w:left="720"/>
    </w:pPr>
    <w:rPr>
      <w:rFonts w:ascii="Calibri" w:cs="Calibri" w:eastAsia="Calibri" w:hAnsi="Calibri"/>
      <w:color w:val="26262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2026-08-17T13:04:35.091Z</dcterms:created>
  <dcterms:modified xsi:type="dcterms:W3CDTF">2026-08-17T13:04:35.091Z</dcterms:modified>
</cp:coreProperties>
</file>

<file path=docProps/custom.xml><?xml version="1.0" encoding="utf-8"?>
<Properties xmlns="http://schemas.openxmlformats.org/officeDocument/2006/custom-properties" xmlns:vt="http://schemas.openxmlformats.org/officeDocument/2006/docPropsVTypes"/>
</file>