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159024CD" w:rsidR="00E327E9" w:rsidRPr="00C50627" w:rsidRDefault="004A4B7F" w:rsidP="00EE4DF7">
            <w:pPr>
              <w:spacing w:line="240" w:lineRule="atLeast"/>
              <w:rPr>
                <w:b/>
              </w:rPr>
            </w:pPr>
            <w:r>
              <w:rPr>
                <w:b/>
              </w:rPr>
              <w:t xml:space="preserve">Werkafspraak </w:t>
            </w:r>
            <w:r w:rsidR="00EE4DF7">
              <w:rPr>
                <w:b/>
              </w:rPr>
              <w:t>”inmeten</w:t>
            </w:r>
            <w:r w:rsidR="00630E2F">
              <w:rPr>
                <w:b/>
              </w:rPr>
              <w:t xml:space="preserve"> posities &amp; inmeten maaiveld</w:t>
            </w:r>
            <w:r w:rsidR="00EE4DF7">
              <w:rPr>
                <w:b/>
              </w:rPr>
              <w:t>”</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77777777"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77777777" w:rsidR="009E46B2" w:rsidRDefault="004A4B7F" w:rsidP="00EB7E16">
            <w:pPr>
              <w:spacing w:line="240" w:lineRule="atLeast"/>
              <w:rPr>
                <w:b/>
              </w:rPr>
            </w:pPr>
            <w:r>
              <w:rPr>
                <w:b/>
              </w:rPr>
              <w:t>Platform meetnetbeheerders</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211C64E8" w:rsidR="00E327E9" w:rsidRPr="00C50627" w:rsidRDefault="007B368B" w:rsidP="00EB7E16">
            <w:pPr>
              <w:spacing w:line="240" w:lineRule="atLeast"/>
              <w:rPr>
                <w:b/>
              </w:rPr>
            </w:pPr>
            <w:r>
              <w:rPr>
                <w:b/>
              </w:rPr>
              <w:t>1</w:t>
            </w:r>
            <w:r w:rsidR="008417DD">
              <w:rPr>
                <w:b/>
              </w:rPr>
              <w:t>5</w:t>
            </w:r>
            <w:r w:rsidR="009E46B2">
              <w:rPr>
                <w:b/>
              </w:rPr>
              <w:t>-</w:t>
            </w:r>
            <w:r w:rsidR="00555A87">
              <w:rPr>
                <w:b/>
              </w:rPr>
              <w:t>10</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55E09CB8" w:rsidR="003A0199" w:rsidRPr="003A0199" w:rsidRDefault="003A0199" w:rsidP="003A0199">
      <w:pPr>
        <w:rPr>
          <w:b/>
          <w:lang w:eastAsia="en-US"/>
        </w:rPr>
      </w:pPr>
      <w:r w:rsidRPr="003A0199">
        <w:t>In ketentesten en praktijkproeven met bronhouders is gebleken dat bronhouders en hun gegevensleveranciers belang hechten aan het in de BRO opnemen van gegevens vanuit uitgevoerde meetrondes. Het feit dat de gegevens opnieuw zijn bepaald</w:t>
      </w:r>
      <w:r w:rsidR="00EE4DF7">
        <w:t>/ingemeten</w:t>
      </w:r>
      <w:r w:rsidRPr="003A0199">
        <w:t xml:space="preserve">, en de opnieuw bepaalde gegevens van bovenkant buis en maaiveld vertegenwoordigen waarde voor de gebruiker, ook bij putten die stabiel verankerd staan in de ondergrond. </w:t>
      </w:r>
    </w:p>
    <w:p w14:paraId="65BAE7A4" w14:textId="77777777" w:rsidR="004A4B7F" w:rsidRDefault="004A4B7F" w:rsidP="004A4B7F">
      <w:pPr>
        <w:pStyle w:val="Kop1"/>
      </w:pPr>
      <w:r>
        <w:t>Werkafspraak</w:t>
      </w:r>
    </w:p>
    <w:p w14:paraId="4E557D5C" w14:textId="3314324A" w:rsidR="004A4B7F" w:rsidRDefault="003A0199" w:rsidP="003A0199">
      <w:pPr>
        <w:spacing w:after="160" w:line="259" w:lineRule="auto"/>
      </w:pPr>
      <w:r>
        <w:t xml:space="preserve">De  BRO </w:t>
      </w:r>
      <w:r w:rsidR="00EE4DF7">
        <w:t xml:space="preserve">kent </w:t>
      </w:r>
      <w:r w:rsidR="0044293D">
        <w:t>twee</w:t>
      </w:r>
      <w:r>
        <w:t xml:space="preserve"> nieuw</w:t>
      </w:r>
      <w:r w:rsidR="00EE4DF7">
        <w:t>e</w:t>
      </w:r>
      <w:r>
        <w:t xml:space="preserve"> </w:t>
      </w:r>
      <w:r w:rsidR="00EE4DF7">
        <w:t>gebeurtenis</w:t>
      </w:r>
      <w:r w:rsidR="0044293D">
        <w:t>sen</w:t>
      </w:r>
      <w:r w:rsidR="00EE4DF7">
        <w:t xml:space="preserve"> </w:t>
      </w:r>
      <w:r>
        <w:t xml:space="preserve">“inmeten” met opnieuw bepaalde gegevens </w:t>
      </w:r>
      <w:r w:rsidR="00EE4DF7">
        <w:t xml:space="preserve">van </w:t>
      </w:r>
      <w:r>
        <w:t>putten.</w:t>
      </w:r>
    </w:p>
    <w:p w14:paraId="40B709CA" w14:textId="315F36C7" w:rsidR="000A6E7A" w:rsidRDefault="00E87A53" w:rsidP="00E87A53">
      <w:r>
        <w:t xml:space="preserve">De landelijke voorziening BRO staat toe dat verandering in </w:t>
      </w:r>
      <w:r w:rsidR="000A6E7A">
        <w:t xml:space="preserve">verticale </w:t>
      </w:r>
      <w:r>
        <w:t xml:space="preserve">positie </w:t>
      </w:r>
      <w:r w:rsidR="000A6E7A">
        <w:t>van maaiveld en/of bovenkant buis</w:t>
      </w:r>
      <w:r w:rsidR="000A6E7A" w:rsidRPr="000A6E7A">
        <w:t xml:space="preserve"> </w:t>
      </w:r>
      <w:r w:rsidR="000A6E7A">
        <w:t>wordt doorgegeven</w:t>
      </w:r>
      <w:r>
        <w:t xml:space="preserve">. </w:t>
      </w:r>
    </w:p>
    <w:p w14:paraId="48FF5C47" w14:textId="77777777" w:rsidR="000A6E7A" w:rsidRDefault="000A6E7A" w:rsidP="00E87A53"/>
    <w:p w14:paraId="0783FE17" w14:textId="7F3BCEBE" w:rsidR="00E87A53" w:rsidRDefault="00E87A53" w:rsidP="00E87A53">
      <w:r>
        <w:t>Aan de 11 gebeurtenissen uit de catalogus GMW wordt een 12e gebeurtenis “</w:t>
      </w:r>
      <w:r w:rsidR="00EE4DF7">
        <w:t>inmeten</w:t>
      </w:r>
      <w:r>
        <w:t xml:space="preserve">” toegevoegd die het concept periodieke meetronde/waterpassing uitlegt. Daarmee kan de afnemer weten waarom de </w:t>
      </w:r>
      <w:r w:rsidR="00FD247E">
        <w:t>opnieuw bepaalde gegevens worden doorgegeven</w:t>
      </w:r>
      <w:r w:rsidR="000A6E7A">
        <w:t>,</w:t>
      </w:r>
      <w:r>
        <w:t xml:space="preserve"> </w:t>
      </w:r>
      <w:r w:rsidR="000A6E7A">
        <w:t xml:space="preserve">ook als </w:t>
      </w:r>
      <w:r>
        <w:t xml:space="preserve">de put </w:t>
      </w:r>
      <w:r w:rsidR="000A6E7A">
        <w:t xml:space="preserve">als </w:t>
      </w:r>
      <w:r>
        <w:t xml:space="preserve">stabiel </w:t>
      </w:r>
      <w:r w:rsidR="000A6E7A">
        <w:t>geregistreerd staat</w:t>
      </w:r>
      <w:r>
        <w:t>.</w:t>
      </w:r>
    </w:p>
    <w:p w14:paraId="6DB77A37" w14:textId="77777777" w:rsidR="000A6E7A" w:rsidRDefault="000A6E7A" w:rsidP="00E87A53"/>
    <w:p w14:paraId="32D88339" w14:textId="77777777" w:rsidR="000A6E7A" w:rsidRDefault="000A6E7A" w:rsidP="00E87A53">
      <w:r>
        <w:t xml:space="preserve">De reeds bestaande gebeurtenis “posities” behelst het doorgeven van veranderingen in verticale posities naar aanleiding </w:t>
      </w:r>
      <w:r w:rsidRPr="00630E2F">
        <w:rPr>
          <w:b/>
        </w:rPr>
        <w:t>van een natuurlijk proces</w:t>
      </w:r>
      <w:r>
        <w:t xml:space="preserve">. </w:t>
      </w:r>
    </w:p>
    <w:p w14:paraId="372EE345" w14:textId="77777777" w:rsidR="000A6E7A" w:rsidRDefault="000A6E7A" w:rsidP="00E87A53"/>
    <w:p w14:paraId="1CD1A56F" w14:textId="10782038" w:rsidR="000A6E7A" w:rsidRDefault="000A6E7A" w:rsidP="000A6E7A">
      <w:r>
        <w:t xml:space="preserve">De nieuwe gebeurtenis “inmeten” behelst het doorgeven van veranderingen in verticale posities naar aanleiding van een inmeetproces. </w:t>
      </w:r>
    </w:p>
    <w:p w14:paraId="31C46539" w14:textId="77777777" w:rsidR="000A6E7A" w:rsidRDefault="000A6E7A" w:rsidP="000A6E7A"/>
    <w:p w14:paraId="566C03A3" w14:textId="4A5401CF" w:rsidR="00051DA4" w:rsidRDefault="00051DA4" w:rsidP="00E87A53">
      <w:r>
        <w:t>Gebaseerd op deze gebeurtenis word</w:t>
      </w:r>
      <w:r w:rsidR="00286EE6">
        <w:t>en</w:t>
      </w:r>
      <w:r>
        <w:t xml:space="preserve"> </w:t>
      </w:r>
      <w:r w:rsidR="00286EE6">
        <w:t>twee</w:t>
      </w:r>
      <w:r w:rsidR="003C132D">
        <w:t xml:space="preserve"> </w:t>
      </w:r>
      <w:r>
        <w:t>nieuw</w:t>
      </w:r>
      <w:r w:rsidR="00286EE6">
        <w:t>e</w:t>
      </w:r>
      <w:r>
        <w:t xml:space="preserve"> bericht</w:t>
      </w:r>
      <w:r w:rsidR="00286EE6">
        <w:t>en</w:t>
      </w:r>
      <w:r>
        <w:t xml:space="preserve"> toegevoegd voor het aanleveren van meetgegevens.</w:t>
      </w:r>
      <w:r w:rsidR="000F06AC">
        <w:t xml:space="preserve"> Deze twee berichten zijn gebaseerd op de bestaande berichten GMW-Maaiveldpositie en GMW-Posities</w:t>
      </w:r>
      <w:r w:rsidR="002A3CF8">
        <w:t>. De eerste is bedoeld voor het aanleveren van alleen een nieuwe maaiveld positie. De tweede is bedoeld voor het aanleveren van een nieuwe positie van één of meerdere buizen in een put en indien van toepassing bijbehorende maaiveldverandering.</w:t>
      </w:r>
    </w:p>
    <w:p w14:paraId="38617C31" w14:textId="0EE6237E" w:rsidR="002A3CF8" w:rsidRDefault="002A3CF8" w:rsidP="00E87A53"/>
    <w:p w14:paraId="2DEC5B63" w14:textId="77777777" w:rsidR="002A3CF8" w:rsidRDefault="002A3CF8" w:rsidP="00E87A53"/>
    <w:p w14:paraId="08D46C72" w14:textId="5F81A30A" w:rsidR="00051DA4" w:rsidRPr="00286EE6" w:rsidRDefault="00051DA4" w:rsidP="00051DA4">
      <w:pPr>
        <w:pStyle w:val="Kop2"/>
      </w:pPr>
      <w:bookmarkStart w:id="0" w:name="_Toc504380802"/>
      <w:r w:rsidRPr="00286EE6">
        <w:t>GMW-Maaiveldpositie</w:t>
      </w:r>
      <w:bookmarkEnd w:id="0"/>
      <w:r w:rsidR="00193922">
        <w:t>-</w:t>
      </w:r>
      <w:r w:rsidR="00286EE6">
        <w:t>inmeten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286EE6" w14:paraId="58EE40F9" w14:textId="77777777" w:rsidTr="00716507">
        <w:trPr>
          <w:tblCellSpacing w:w="15" w:type="dxa"/>
        </w:trPr>
        <w:tc>
          <w:tcPr>
            <w:tcW w:w="2635" w:type="dxa"/>
          </w:tcPr>
          <w:p w14:paraId="5850F7ED" w14:textId="77777777" w:rsidR="00051DA4" w:rsidRPr="00286EE6" w:rsidRDefault="00051DA4" w:rsidP="00716507">
            <w:pPr>
              <w:pStyle w:val="Plattetekst"/>
              <w:widowControl w:val="0"/>
              <w:spacing w:after="0"/>
              <w:rPr>
                <w:b/>
              </w:rPr>
            </w:pPr>
          </w:p>
          <w:p w14:paraId="354426E0" w14:textId="77777777" w:rsidR="00051DA4" w:rsidRPr="00286EE6" w:rsidRDefault="00051DA4" w:rsidP="00716507">
            <w:pPr>
              <w:pStyle w:val="Plattetekst"/>
              <w:widowControl w:val="0"/>
              <w:spacing w:after="0"/>
              <w:rPr>
                <w:b/>
              </w:rPr>
            </w:pPr>
            <w:r w:rsidRPr="00286EE6">
              <w:rPr>
                <w:b/>
              </w:rPr>
              <w:t>Tussentijdse gebeurtenis</w:t>
            </w:r>
          </w:p>
        </w:tc>
        <w:tc>
          <w:tcPr>
            <w:tcW w:w="4691" w:type="dxa"/>
            <w:vAlign w:val="center"/>
          </w:tcPr>
          <w:p w14:paraId="129428CF" w14:textId="77777777" w:rsidR="00051DA4" w:rsidRPr="00286EE6" w:rsidRDefault="00051DA4" w:rsidP="00716507">
            <w:pPr>
              <w:pStyle w:val="Plattetekst"/>
              <w:widowControl w:val="0"/>
              <w:spacing w:after="0"/>
            </w:pPr>
          </w:p>
        </w:tc>
      </w:tr>
      <w:tr w:rsidR="00051DA4" w:rsidRPr="00286EE6" w14:paraId="2D23E7CB" w14:textId="77777777" w:rsidTr="00716507">
        <w:trPr>
          <w:tblCellSpacing w:w="15" w:type="dxa"/>
        </w:trPr>
        <w:tc>
          <w:tcPr>
            <w:tcW w:w="2635" w:type="dxa"/>
            <w:hideMark/>
          </w:tcPr>
          <w:p w14:paraId="473F7E01" w14:textId="77777777" w:rsidR="00051DA4" w:rsidRPr="00286EE6" w:rsidRDefault="00051DA4" w:rsidP="00716507">
            <w:pPr>
              <w:pStyle w:val="Plattetekst"/>
              <w:widowControl w:val="0"/>
              <w:spacing w:after="0"/>
              <w:rPr>
                <w:b/>
              </w:rPr>
            </w:pPr>
            <w:r w:rsidRPr="00286EE6">
              <w:rPr>
                <w:b/>
              </w:rPr>
              <w:t>Naam gebeurtenis</w:t>
            </w:r>
          </w:p>
        </w:tc>
        <w:tc>
          <w:tcPr>
            <w:tcW w:w="4691" w:type="dxa"/>
            <w:vAlign w:val="center"/>
            <w:hideMark/>
          </w:tcPr>
          <w:p w14:paraId="69D1B544" w14:textId="37EF0B0D" w:rsidR="00051DA4" w:rsidRPr="00286EE6" w:rsidRDefault="00051DA4" w:rsidP="00716507">
            <w:pPr>
              <w:pStyle w:val="Plattetekst"/>
              <w:widowControl w:val="0"/>
              <w:spacing w:after="0"/>
            </w:pPr>
            <w:r w:rsidRPr="00286EE6">
              <w:t xml:space="preserve">NaamGebeurtenis = </w:t>
            </w:r>
            <w:r w:rsidR="00630E2F" w:rsidRPr="00E467FB">
              <w:rPr>
                <w:color w:val="00B050"/>
              </w:rPr>
              <w:t>inmeten</w:t>
            </w:r>
            <w:r w:rsidRPr="00E467FB">
              <w:rPr>
                <w:color w:val="00B050"/>
              </w:rPr>
              <w:t>Maaiveld</w:t>
            </w:r>
          </w:p>
        </w:tc>
      </w:tr>
      <w:tr w:rsidR="00051DA4" w:rsidRPr="00286EE6" w14:paraId="632F924A" w14:textId="77777777" w:rsidTr="00716507">
        <w:trPr>
          <w:tblCellSpacing w:w="15" w:type="dxa"/>
        </w:trPr>
        <w:tc>
          <w:tcPr>
            <w:tcW w:w="2635" w:type="dxa"/>
            <w:hideMark/>
          </w:tcPr>
          <w:p w14:paraId="55801469" w14:textId="77777777" w:rsidR="00051DA4" w:rsidRPr="00286EE6" w:rsidRDefault="00051DA4" w:rsidP="00716507">
            <w:pPr>
              <w:pStyle w:val="Plattetekst"/>
              <w:widowControl w:val="0"/>
              <w:spacing w:after="0"/>
            </w:pPr>
            <w:r w:rsidRPr="00286EE6">
              <w:t xml:space="preserve">Toelichting </w:t>
            </w:r>
          </w:p>
        </w:tc>
        <w:tc>
          <w:tcPr>
            <w:tcW w:w="4691" w:type="dxa"/>
            <w:vAlign w:val="center"/>
            <w:hideMark/>
          </w:tcPr>
          <w:p w14:paraId="2D9BECCB" w14:textId="24718473" w:rsidR="00051DA4" w:rsidRPr="00286EE6" w:rsidRDefault="00051DA4" w:rsidP="00716507">
            <w:pPr>
              <w:pStyle w:val="Plattetekst"/>
              <w:widowControl w:val="0"/>
              <w:spacing w:after="0"/>
            </w:pPr>
            <w:r w:rsidRPr="00286EE6">
              <w:t xml:space="preserve">De maaiveldpositie bij de </w:t>
            </w:r>
            <w:r w:rsidRPr="00E467FB">
              <w:rPr>
                <w:color w:val="00B050"/>
              </w:rPr>
              <w:t xml:space="preserve">put is </w:t>
            </w:r>
            <w:r w:rsidR="00E467FB" w:rsidRPr="00E467FB">
              <w:rPr>
                <w:color w:val="00B050"/>
              </w:rPr>
              <w:t>tijdens een meetronde</w:t>
            </w:r>
            <w:r w:rsidRPr="00E467FB">
              <w:rPr>
                <w:color w:val="00B050"/>
              </w:rPr>
              <w:t xml:space="preserve"> opnieuw vastgesteld.</w:t>
            </w:r>
            <w:r w:rsidRPr="00286EE6">
              <w:t xml:space="preserve"> De posities van de put zelf zijn ongewijzigd omdat </w:t>
            </w:r>
            <w:r w:rsidR="00E467FB" w:rsidRPr="00E467FB">
              <w:rPr>
                <w:color w:val="00B050"/>
              </w:rPr>
              <w:t>deze niet opnieuw zijn vastgesteld</w:t>
            </w:r>
          </w:p>
          <w:p w14:paraId="51D7E9C2" w14:textId="77777777" w:rsidR="00051DA4" w:rsidRPr="00286EE6" w:rsidRDefault="00051DA4" w:rsidP="00716507">
            <w:pPr>
              <w:pStyle w:val="Plattetekst"/>
              <w:widowControl w:val="0"/>
              <w:spacing w:after="0"/>
            </w:pPr>
          </w:p>
        </w:tc>
      </w:tr>
    </w:tbl>
    <w:p w14:paraId="330C006B" w14:textId="4DCCE13A" w:rsidR="00051DA4" w:rsidRPr="00286EE6" w:rsidRDefault="0044293D" w:rsidP="00051DA4">
      <w:r>
        <w:rPr>
          <w:noProof/>
        </w:rPr>
        <w:lastRenderedPageBreak/>
        <mc:AlternateContent>
          <mc:Choice Requires="wps">
            <w:drawing>
              <wp:anchor distT="0" distB="0" distL="114300" distR="114300" simplePos="0" relativeHeight="251661824" behindDoc="0" locked="0" layoutInCell="1" allowOverlap="1" wp14:anchorId="47E9431D" wp14:editId="1C3522E7">
                <wp:simplePos x="0" y="0"/>
                <wp:positionH relativeFrom="column">
                  <wp:posOffset>312420</wp:posOffset>
                </wp:positionH>
                <wp:positionV relativeFrom="paragraph">
                  <wp:posOffset>774700</wp:posOffset>
                </wp:positionV>
                <wp:extent cx="1727200" cy="6350"/>
                <wp:effectExtent l="0" t="0" r="25400" b="31750"/>
                <wp:wrapNone/>
                <wp:docPr id="1" name="Rechte verbindingslijn 1"/>
                <wp:cNvGraphicFramePr/>
                <a:graphic xmlns:a="http://schemas.openxmlformats.org/drawingml/2006/main">
                  <a:graphicData uri="http://schemas.microsoft.com/office/word/2010/wordprocessingShape">
                    <wps:wsp>
                      <wps:cNvCnPr/>
                      <wps:spPr>
                        <a:xfrm flipV="1">
                          <a:off x="0" y="0"/>
                          <a:ext cx="17272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5BE2F9" id="Rechte verbindingslijn 1"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4.6pt,61pt" to="160.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" strokecolor="#bc4542 [3045]"/>
            </w:pict>
          </mc:Fallback>
        </mc:AlternateContent>
      </w:r>
      <w:r w:rsidR="00051DA4" w:rsidRPr="00286EE6">
        <w:rPr>
          <w:noProof/>
        </w:rPr>
        <mc:AlternateContent>
          <mc:Choice Requires="wps">
            <w:drawing>
              <wp:anchor distT="0" distB="0" distL="114300" distR="114300" simplePos="0" relativeHeight="251658752" behindDoc="0" locked="0" layoutInCell="1" allowOverlap="1" wp14:anchorId="30ABA243" wp14:editId="28518ED1">
                <wp:simplePos x="0" y="0"/>
                <wp:positionH relativeFrom="column">
                  <wp:posOffset>306070</wp:posOffset>
                </wp:positionH>
                <wp:positionV relativeFrom="paragraph">
                  <wp:posOffset>904240</wp:posOffset>
                </wp:positionV>
                <wp:extent cx="1752600" cy="12700"/>
                <wp:effectExtent l="0" t="0" r="19050" b="25400"/>
                <wp:wrapNone/>
                <wp:docPr id="6" name="Rechte verbindingslijn 6"/>
                <wp:cNvGraphicFramePr/>
                <a:graphic xmlns:a="http://schemas.openxmlformats.org/drawingml/2006/main">
                  <a:graphicData uri="http://schemas.microsoft.com/office/word/2010/wordprocessingShape">
                    <wps:wsp>
                      <wps:cNvCnPr/>
                      <wps:spPr>
                        <a:xfrm>
                          <a:off x="0" y="0"/>
                          <a:ext cx="1752600" cy="12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B9DE9D" id="Rechte verbindingslijn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1pt,71.2pt" to="162.1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" strokecolor="#bc4542 [3045]"/>
            </w:pict>
          </mc:Fallback>
        </mc:AlternateContent>
      </w:r>
      <w:r w:rsidR="00051DA4" w:rsidRPr="00286EE6">
        <w:rPr>
          <w:noProof/>
        </w:rPr>
        <w:drawing>
          <wp:inline distT="0" distB="0" distL="0" distR="0" wp14:anchorId="23D519AB" wp14:editId="414684B2">
            <wp:extent cx="3723005" cy="1502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005" cy="1502410"/>
                    </a:xfrm>
                    <a:prstGeom prst="rect">
                      <a:avLst/>
                    </a:prstGeom>
                    <a:noFill/>
                    <a:ln>
                      <a:noFill/>
                    </a:ln>
                  </pic:spPr>
                </pic:pic>
              </a:graphicData>
            </a:graphic>
          </wp:inline>
        </w:drawing>
      </w:r>
    </w:p>
    <w:p w14:paraId="6E78D30C" w14:textId="77777777" w:rsidR="00051DA4" w:rsidRPr="00286EE6" w:rsidRDefault="00051DA4" w:rsidP="00051DA4"/>
    <w:p w14:paraId="2C456CD2" w14:textId="326E876B" w:rsidR="00051DA4" w:rsidRPr="00286EE6" w:rsidRDefault="00051DA4" w:rsidP="00051DA4">
      <w:r w:rsidRPr="00286EE6">
        <w:t xml:space="preserve">[zie </w:t>
      </w:r>
      <w:r w:rsidRPr="00286EE6">
        <w:fldChar w:fldCharType="begin"/>
      </w:r>
      <w:r w:rsidRPr="00286EE6">
        <w:instrText xml:space="preserve"> REF _Ref504376489 \r \h </w:instrText>
      </w:r>
      <w:r w:rsidR="00286EE6" w:rsidRPr="00286EE6">
        <w:instrText xml:space="preserve"> \* MERGEFORMAT </w:instrText>
      </w:r>
      <w:r w:rsidRPr="00286EE6">
        <w:fldChar w:fldCharType="separate"/>
      </w:r>
      <w:r w:rsidRPr="00286EE6">
        <w:t>7.1.2</w:t>
      </w:r>
      <w:r w:rsidRPr="00286EE6">
        <w:fldChar w:fldCharType="end"/>
      </w:r>
      <w:r w:rsidRPr="00286EE6">
        <w:t>]</w:t>
      </w:r>
    </w:p>
    <w:p w14:paraId="7E6C78B2" w14:textId="77777777" w:rsidR="00051DA4" w:rsidRPr="00286EE6" w:rsidRDefault="00051DA4" w:rsidP="00051DA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286EE6" w14:paraId="1F473041" w14:textId="77777777" w:rsidTr="00716507">
        <w:trPr>
          <w:tblCellSpacing w:w="15" w:type="dxa"/>
        </w:trPr>
        <w:tc>
          <w:tcPr>
            <w:tcW w:w="2635" w:type="dxa"/>
            <w:hideMark/>
          </w:tcPr>
          <w:p w14:paraId="225F3EA6" w14:textId="77777777" w:rsidR="00051DA4" w:rsidRPr="0044293D" w:rsidRDefault="00051DA4" w:rsidP="00716507">
            <w:pPr>
              <w:pStyle w:val="Plattetekst"/>
              <w:widowControl w:val="0"/>
              <w:spacing w:after="0"/>
              <w:rPr>
                <w:b/>
                <w:strike/>
              </w:rPr>
            </w:pPr>
            <w:r w:rsidRPr="0044293D">
              <w:rPr>
                <w:b/>
                <w:strike/>
              </w:rPr>
              <w:t>Naam attribuut</w:t>
            </w:r>
          </w:p>
        </w:tc>
        <w:tc>
          <w:tcPr>
            <w:tcW w:w="4691" w:type="dxa"/>
            <w:vAlign w:val="center"/>
            <w:hideMark/>
          </w:tcPr>
          <w:p w14:paraId="3AF3350E" w14:textId="77777777" w:rsidR="00051DA4" w:rsidRPr="0044293D" w:rsidRDefault="00051DA4" w:rsidP="00716507">
            <w:pPr>
              <w:pStyle w:val="Plattetekst"/>
              <w:widowControl w:val="0"/>
              <w:spacing w:after="0"/>
              <w:rPr>
                <w:strike/>
              </w:rPr>
            </w:pPr>
            <w:r w:rsidRPr="0044293D">
              <w:rPr>
                <w:strike/>
              </w:rPr>
              <w:t xml:space="preserve">putstabiliteit    </w:t>
            </w:r>
          </w:p>
        </w:tc>
      </w:tr>
      <w:tr w:rsidR="00051DA4" w:rsidRPr="00286EE6" w14:paraId="59DE0D4B" w14:textId="77777777" w:rsidTr="00716507">
        <w:trPr>
          <w:tblCellSpacing w:w="15" w:type="dxa"/>
        </w:trPr>
        <w:tc>
          <w:tcPr>
            <w:tcW w:w="2635" w:type="dxa"/>
          </w:tcPr>
          <w:p w14:paraId="0913031C" w14:textId="77777777" w:rsidR="00051DA4" w:rsidRPr="0044293D" w:rsidRDefault="00051DA4" w:rsidP="00716507">
            <w:pPr>
              <w:pStyle w:val="Plattetekst"/>
              <w:widowControl w:val="0"/>
              <w:spacing w:after="0"/>
              <w:rPr>
                <w:strike/>
              </w:rPr>
            </w:pPr>
            <w:r w:rsidRPr="0044293D">
              <w:rPr>
                <w:strike/>
              </w:rPr>
              <w:t>Rol</w:t>
            </w:r>
          </w:p>
        </w:tc>
        <w:tc>
          <w:tcPr>
            <w:tcW w:w="4691" w:type="dxa"/>
            <w:vAlign w:val="center"/>
          </w:tcPr>
          <w:p w14:paraId="396B0650" w14:textId="77777777" w:rsidR="00051DA4" w:rsidRPr="0044293D" w:rsidRDefault="00051DA4" w:rsidP="00716507">
            <w:pPr>
              <w:pStyle w:val="Plattetekst"/>
              <w:widowControl w:val="0"/>
              <w:spacing w:after="0"/>
              <w:rPr>
                <w:strike/>
              </w:rPr>
            </w:pPr>
            <w:r w:rsidRPr="0044293D">
              <w:rPr>
                <w:strike/>
              </w:rPr>
              <w:t xml:space="preserve">Validatiegegeven </w:t>
            </w:r>
          </w:p>
        </w:tc>
      </w:tr>
      <w:tr w:rsidR="00051DA4" w:rsidRPr="00286EE6" w14:paraId="714D799D" w14:textId="77777777" w:rsidTr="00716507">
        <w:trPr>
          <w:tblCellSpacing w:w="15" w:type="dxa"/>
        </w:trPr>
        <w:tc>
          <w:tcPr>
            <w:tcW w:w="2635" w:type="dxa"/>
            <w:hideMark/>
          </w:tcPr>
          <w:p w14:paraId="36B0D51B" w14:textId="77777777" w:rsidR="00051DA4" w:rsidRPr="0044293D" w:rsidRDefault="00051DA4" w:rsidP="00716507">
            <w:pPr>
              <w:pStyle w:val="Plattetekst"/>
              <w:widowControl w:val="0"/>
              <w:spacing w:after="0"/>
              <w:rPr>
                <w:strike/>
              </w:rPr>
            </w:pPr>
            <w:r w:rsidRPr="0044293D">
              <w:rPr>
                <w:strike/>
              </w:rPr>
              <w:t>Regels IMBRO/A</w:t>
            </w:r>
          </w:p>
        </w:tc>
        <w:tc>
          <w:tcPr>
            <w:tcW w:w="4691" w:type="dxa"/>
            <w:vAlign w:val="center"/>
            <w:hideMark/>
          </w:tcPr>
          <w:p w14:paraId="38EC4500" w14:textId="77777777" w:rsidR="00051DA4" w:rsidRPr="0044293D" w:rsidRDefault="00051DA4" w:rsidP="00716507">
            <w:pPr>
              <w:pStyle w:val="Plattetekst"/>
              <w:widowControl w:val="0"/>
              <w:spacing w:after="0"/>
              <w:rPr>
                <w:strike/>
              </w:rPr>
            </w:pPr>
            <w:r w:rsidRPr="0044293D">
              <w:rPr>
                <w:strike/>
              </w:rPr>
              <w:t xml:space="preserve">De waarde van het gegeven mag niet ontbreken. </w:t>
            </w:r>
          </w:p>
          <w:p w14:paraId="5B1FE2D2" w14:textId="77777777" w:rsidR="00051DA4" w:rsidRPr="0044293D" w:rsidRDefault="00051DA4" w:rsidP="00716507">
            <w:pPr>
              <w:pStyle w:val="Plattetekst"/>
              <w:widowControl w:val="0"/>
              <w:spacing w:after="0"/>
              <w:rPr>
                <w:strike/>
              </w:rPr>
            </w:pPr>
          </w:p>
        </w:tc>
      </w:tr>
      <w:tr w:rsidR="00051DA4" w:rsidRPr="00286EE6" w14:paraId="060B447D" w14:textId="77777777" w:rsidTr="00716507">
        <w:trPr>
          <w:tblCellSpacing w:w="15" w:type="dxa"/>
        </w:trPr>
        <w:tc>
          <w:tcPr>
            <w:tcW w:w="2635" w:type="dxa"/>
            <w:hideMark/>
          </w:tcPr>
          <w:p w14:paraId="443F6862" w14:textId="77777777" w:rsidR="00051DA4" w:rsidRPr="0044293D" w:rsidRDefault="00051DA4" w:rsidP="00716507">
            <w:pPr>
              <w:pStyle w:val="Plattetekst"/>
              <w:widowControl w:val="0"/>
              <w:spacing w:after="0"/>
              <w:rPr>
                <w:b/>
                <w:strike/>
              </w:rPr>
            </w:pPr>
            <w:r w:rsidRPr="0044293D">
              <w:rPr>
                <w:b/>
                <w:strike/>
              </w:rPr>
              <w:t>Naam attribuut</w:t>
            </w:r>
          </w:p>
        </w:tc>
        <w:tc>
          <w:tcPr>
            <w:tcW w:w="4691" w:type="dxa"/>
            <w:vAlign w:val="center"/>
            <w:hideMark/>
          </w:tcPr>
          <w:p w14:paraId="4F944441" w14:textId="77777777" w:rsidR="00051DA4" w:rsidRPr="0044293D" w:rsidRDefault="00051DA4" w:rsidP="00716507">
            <w:pPr>
              <w:pStyle w:val="Plattetekst"/>
              <w:widowControl w:val="0"/>
              <w:spacing w:after="0"/>
              <w:rPr>
                <w:strike/>
              </w:rPr>
            </w:pPr>
            <w:r w:rsidRPr="0044293D">
              <w:rPr>
                <w:strike/>
              </w:rPr>
              <w:t xml:space="preserve">maaiveld stabiel    </w:t>
            </w:r>
          </w:p>
        </w:tc>
      </w:tr>
      <w:tr w:rsidR="00051DA4" w:rsidRPr="00286EE6" w14:paraId="353B3202" w14:textId="77777777" w:rsidTr="00716507">
        <w:trPr>
          <w:tblCellSpacing w:w="15" w:type="dxa"/>
        </w:trPr>
        <w:tc>
          <w:tcPr>
            <w:tcW w:w="2635" w:type="dxa"/>
          </w:tcPr>
          <w:p w14:paraId="794F1ED6" w14:textId="77777777" w:rsidR="00051DA4" w:rsidRPr="0044293D" w:rsidRDefault="00051DA4" w:rsidP="00716507">
            <w:pPr>
              <w:pStyle w:val="Plattetekst"/>
              <w:widowControl w:val="0"/>
              <w:spacing w:after="0"/>
              <w:rPr>
                <w:strike/>
              </w:rPr>
            </w:pPr>
            <w:r w:rsidRPr="0044293D">
              <w:rPr>
                <w:strike/>
              </w:rPr>
              <w:t>Rol</w:t>
            </w:r>
          </w:p>
        </w:tc>
        <w:tc>
          <w:tcPr>
            <w:tcW w:w="4691" w:type="dxa"/>
            <w:vAlign w:val="center"/>
          </w:tcPr>
          <w:p w14:paraId="6B5EF71E" w14:textId="77777777" w:rsidR="00051DA4" w:rsidRPr="0044293D" w:rsidRDefault="00051DA4" w:rsidP="00716507">
            <w:pPr>
              <w:pStyle w:val="Plattetekst"/>
              <w:widowControl w:val="0"/>
              <w:spacing w:after="0"/>
              <w:rPr>
                <w:strike/>
              </w:rPr>
            </w:pPr>
            <w:r w:rsidRPr="0044293D">
              <w:rPr>
                <w:strike/>
              </w:rPr>
              <w:t>Validatiegegeven</w:t>
            </w:r>
          </w:p>
        </w:tc>
      </w:tr>
      <w:tr w:rsidR="00051DA4" w:rsidRPr="00286EE6" w14:paraId="61C0A846" w14:textId="77777777" w:rsidTr="00716507">
        <w:trPr>
          <w:tblCellSpacing w:w="15" w:type="dxa"/>
        </w:trPr>
        <w:tc>
          <w:tcPr>
            <w:tcW w:w="2635" w:type="dxa"/>
            <w:hideMark/>
          </w:tcPr>
          <w:p w14:paraId="3AFA5729" w14:textId="77777777" w:rsidR="00051DA4" w:rsidRPr="0044293D" w:rsidRDefault="00051DA4" w:rsidP="00716507">
            <w:pPr>
              <w:pStyle w:val="Plattetekst"/>
              <w:widowControl w:val="0"/>
              <w:spacing w:after="0"/>
              <w:rPr>
                <w:strike/>
              </w:rPr>
            </w:pPr>
            <w:r w:rsidRPr="0044293D">
              <w:rPr>
                <w:strike/>
              </w:rPr>
              <w:t>Regels IMBRO/A</w:t>
            </w:r>
          </w:p>
        </w:tc>
        <w:tc>
          <w:tcPr>
            <w:tcW w:w="4691" w:type="dxa"/>
            <w:vAlign w:val="center"/>
            <w:hideMark/>
          </w:tcPr>
          <w:p w14:paraId="30EE90F8" w14:textId="77777777" w:rsidR="00051DA4" w:rsidRPr="0044293D" w:rsidRDefault="00051DA4" w:rsidP="00716507">
            <w:pPr>
              <w:pStyle w:val="Plattetekst"/>
              <w:widowControl w:val="0"/>
              <w:spacing w:after="0"/>
              <w:rPr>
                <w:strike/>
              </w:rPr>
            </w:pPr>
            <w:r w:rsidRPr="0044293D">
              <w:rPr>
                <w:strike/>
              </w:rPr>
              <w:t xml:space="preserve">De waarde van het gegeven mag niet ontbreken. </w:t>
            </w:r>
          </w:p>
          <w:p w14:paraId="4B3C4219" w14:textId="77777777" w:rsidR="00051DA4" w:rsidRPr="0044293D" w:rsidRDefault="00051DA4" w:rsidP="00716507">
            <w:pPr>
              <w:pStyle w:val="Plattetekst"/>
              <w:widowControl w:val="0"/>
              <w:spacing w:after="0"/>
              <w:rPr>
                <w:strike/>
              </w:rPr>
            </w:pPr>
          </w:p>
        </w:tc>
      </w:tr>
      <w:tr w:rsidR="00051DA4" w:rsidRPr="00286EE6" w14:paraId="0631C400" w14:textId="77777777" w:rsidTr="00716507">
        <w:trPr>
          <w:tblCellSpacing w:w="15" w:type="dxa"/>
        </w:trPr>
        <w:tc>
          <w:tcPr>
            <w:tcW w:w="2635" w:type="dxa"/>
            <w:hideMark/>
          </w:tcPr>
          <w:p w14:paraId="3704748D" w14:textId="77777777" w:rsidR="00051DA4" w:rsidRPr="00286EE6" w:rsidRDefault="00051DA4" w:rsidP="00716507">
            <w:pPr>
              <w:pStyle w:val="Plattetekst"/>
              <w:widowControl w:val="0"/>
              <w:spacing w:after="0"/>
              <w:rPr>
                <w:b/>
              </w:rPr>
            </w:pPr>
            <w:r w:rsidRPr="00286EE6">
              <w:rPr>
                <w:b/>
              </w:rPr>
              <w:t>Naam attribuut</w:t>
            </w:r>
          </w:p>
        </w:tc>
        <w:tc>
          <w:tcPr>
            <w:tcW w:w="4691" w:type="dxa"/>
            <w:vAlign w:val="center"/>
            <w:hideMark/>
          </w:tcPr>
          <w:p w14:paraId="40F80703" w14:textId="77777777" w:rsidR="00051DA4" w:rsidRPr="00286EE6" w:rsidRDefault="00051DA4" w:rsidP="00716507">
            <w:pPr>
              <w:pStyle w:val="Plattetekst"/>
              <w:widowControl w:val="0"/>
              <w:spacing w:after="0"/>
            </w:pPr>
            <w:r w:rsidRPr="00286EE6">
              <w:t xml:space="preserve">maaiveldpositie    </w:t>
            </w:r>
          </w:p>
        </w:tc>
      </w:tr>
      <w:tr w:rsidR="00051DA4" w:rsidRPr="00286EE6" w14:paraId="19B70D51" w14:textId="77777777" w:rsidTr="00716507">
        <w:trPr>
          <w:tblCellSpacing w:w="15" w:type="dxa"/>
        </w:trPr>
        <w:tc>
          <w:tcPr>
            <w:tcW w:w="2635" w:type="dxa"/>
            <w:hideMark/>
          </w:tcPr>
          <w:p w14:paraId="5F0DA322" w14:textId="77777777" w:rsidR="00051DA4" w:rsidRDefault="00051DA4" w:rsidP="00716507">
            <w:pPr>
              <w:pStyle w:val="Plattetekst"/>
              <w:widowControl w:val="0"/>
              <w:spacing w:after="0"/>
            </w:pPr>
            <w:r w:rsidRPr="00286EE6">
              <w:t>Regels IMBRO/A</w:t>
            </w:r>
          </w:p>
          <w:p w14:paraId="3E38F989" w14:textId="6CDA507A" w:rsidR="00555A87" w:rsidRPr="00286EE6" w:rsidRDefault="00555A87" w:rsidP="00716507">
            <w:pPr>
              <w:pStyle w:val="Plattetekst"/>
              <w:widowControl w:val="0"/>
              <w:spacing w:after="0"/>
            </w:pPr>
            <w:r w:rsidRPr="005A5035">
              <w:rPr>
                <w:color w:val="00B050"/>
              </w:rPr>
              <w:t>Regels</w:t>
            </w:r>
          </w:p>
        </w:tc>
        <w:tc>
          <w:tcPr>
            <w:tcW w:w="4691" w:type="dxa"/>
            <w:vAlign w:val="center"/>
            <w:hideMark/>
          </w:tcPr>
          <w:p w14:paraId="6F44F763" w14:textId="77777777" w:rsidR="00051DA4" w:rsidRDefault="00051DA4" w:rsidP="00716507">
            <w:pPr>
              <w:pStyle w:val="Plattetekst"/>
              <w:widowControl w:val="0"/>
              <w:spacing w:after="0"/>
            </w:pPr>
            <w:r w:rsidRPr="00286EE6">
              <w:t xml:space="preserve">De waarde van het gegeven mag niet ontbreken. </w:t>
            </w:r>
          </w:p>
          <w:p w14:paraId="2AC9C5D4" w14:textId="2AD5238A" w:rsidR="00555A87" w:rsidRPr="00286EE6" w:rsidRDefault="00555A87" w:rsidP="00716507">
            <w:pPr>
              <w:pStyle w:val="Plattetekst"/>
              <w:widowControl w:val="0"/>
              <w:spacing w:after="0"/>
            </w:pPr>
            <w:r w:rsidRPr="00E467FB">
              <w:rPr>
                <w:color w:val="00B050"/>
              </w:rPr>
              <w:t>De waarde van het gegeven mag gelijk zijn aan de actuele waarde in de registratie ondergrond.</w:t>
            </w:r>
          </w:p>
        </w:tc>
      </w:tr>
    </w:tbl>
    <w:p w14:paraId="1E8691DA" w14:textId="77777777" w:rsidR="00051DA4" w:rsidRPr="00286EE6" w:rsidRDefault="00051DA4" w:rsidP="00051DA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286EE6" w14:paraId="545FA862" w14:textId="77777777" w:rsidTr="00716507">
        <w:trPr>
          <w:tblCellSpacing w:w="15" w:type="dxa"/>
        </w:trPr>
        <w:tc>
          <w:tcPr>
            <w:tcW w:w="2635" w:type="dxa"/>
            <w:hideMark/>
          </w:tcPr>
          <w:p w14:paraId="2B961F3B" w14:textId="77777777" w:rsidR="00051DA4" w:rsidRPr="00286EE6" w:rsidRDefault="00051DA4" w:rsidP="00716507">
            <w:pPr>
              <w:pStyle w:val="Plattetekst"/>
              <w:widowControl w:val="0"/>
              <w:spacing w:after="0"/>
              <w:rPr>
                <w:b/>
              </w:rPr>
            </w:pPr>
            <w:r w:rsidRPr="00286EE6">
              <w:rPr>
                <w:b/>
              </w:rPr>
              <w:t>Naam attribuut</w:t>
            </w:r>
          </w:p>
        </w:tc>
        <w:tc>
          <w:tcPr>
            <w:tcW w:w="4691" w:type="dxa"/>
            <w:vAlign w:val="center"/>
            <w:hideMark/>
          </w:tcPr>
          <w:p w14:paraId="3938D567" w14:textId="77777777" w:rsidR="00051DA4" w:rsidRPr="00286EE6" w:rsidRDefault="00051DA4" w:rsidP="00716507">
            <w:pPr>
              <w:pStyle w:val="Plattetekst"/>
              <w:widowControl w:val="0"/>
              <w:spacing w:after="0"/>
            </w:pPr>
            <w:r w:rsidRPr="00286EE6">
              <w:t xml:space="preserve">methode positiebepaling maaiveld    </w:t>
            </w:r>
          </w:p>
        </w:tc>
      </w:tr>
      <w:tr w:rsidR="00051DA4" w:rsidRPr="00286EE6" w14:paraId="530149D2" w14:textId="77777777" w:rsidTr="00716507">
        <w:trPr>
          <w:tblCellSpacing w:w="15" w:type="dxa"/>
        </w:trPr>
        <w:tc>
          <w:tcPr>
            <w:tcW w:w="2635" w:type="dxa"/>
            <w:hideMark/>
          </w:tcPr>
          <w:p w14:paraId="74CB9AE1" w14:textId="77777777" w:rsidR="00051DA4" w:rsidRPr="00286EE6" w:rsidRDefault="00051DA4" w:rsidP="00716507">
            <w:pPr>
              <w:pStyle w:val="Plattetekst"/>
              <w:widowControl w:val="0"/>
              <w:spacing w:after="0"/>
            </w:pPr>
            <w:r w:rsidRPr="00286EE6">
              <w:t xml:space="preserve">Regels </w:t>
            </w:r>
          </w:p>
        </w:tc>
        <w:tc>
          <w:tcPr>
            <w:tcW w:w="4691" w:type="dxa"/>
            <w:vAlign w:val="center"/>
            <w:hideMark/>
          </w:tcPr>
          <w:p w14:paraId="42019D6E" w14:textId="77777777" w:rsidR="00051DA4" w:rsidRPr="00286EE6" w:rsidRDefault="00051DA4" w:rsidP="00716507">
            <w:pPr>
              <w:pStyle w:val="Plattetekst"/>
              <w:spacing w:after="0"/>
            </w:pPr>
            <w:r w:rsidRPr="00286EE6">
              <w:t>De waarde van het gegeven mag gelijk zijn aan de actuele waarde in de registratie ondergrond.</w:t>
            </w:r>
          </w:p>
        </w:tc>
      </w:tr>
    </w:tbl>
    <w:p w14:paraId="7379D45A" w14:textId="77777777" w:rsidR="00051DA4" w:rsidRDefault="00051DA4" w:rsidP="00051DA4"/>
    <w:p w14:paraId="23D48372" w14:textId="77777777" w:rsidR="00051DA4" w:rsidRPr="00051DA4" w:rsidRDefault="00051DA4" w:rsidP="00E87A53"/>
    <w:p w14:paraId="2AC384E8" w14:textId="5E28BD27" w:rsidR="00051DA4" w:rsidRDefault="00051DA4" w:rsidP="00051DA4">
      <w:pPr>
        <w:pStyle w:val="Kop2"/>
      </w:pPr>
      <w:bookmarkStart w:id="1" w:name="_Toc504380805"/>
      <w:r>
        <w:t>GMW-Posities</w:t>
      </w:r>
      <w:bookmarkEnd w:id="1"/>
      <w:r w:rsidR="000F06AC">
        <w:t>-</w:t>
      </w:r>
      <w:r w:rsidR="00286EE6">
        <w:t>inmeten</w:t>
      </w:r>
    </w:p>
    <w:p w14:paraId="29CE7F9D" w14:textId="77777777" w:rsidR="00051DA4" w:rsidRDefault="00051DA4" w:rsidP="00051DA4">
      <w:pPr>
        <w:rPr>
          <w:b/>
          <w:i/>
          <w:highlight w:val="magenta"/>
        </w:rPr>
      </w:pPr>
    </w:p>
    <w:p w14:paraId="720280E0" w14:textId="77777777" w:rsidR="00051DA4" w:rsidRDefault="00051DA4" w:rsidP="00051DA4">
      <w:pPr>
        <w:rPr>
          <w:b/>
          <w:i/>
          <w:highlight w:val="magent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633293" w14:paraId="34FA069B" w14:textId="77777777" w:rsidTr="00716507">
        <w:trPr>
          <w:tblCellSpacing w:w="15" w:type="dxa"/>
        </w:trPr>
        <w:tc>
          <w:tcPr>
            <w:tcW w:w="2635" w:type="dxa"/>
          </w:tcPr>
          <w:p w14:paraId="6516FF38" w14:textId="77777777" w:rsidR="00051DA4" w:rsidRPr="00633293" w:rsidRDefault="00051DA4" w:rsidP="00716507">
            <w:pPr>
              <w:pStyle w:val="Plattetekst"/>
              <w:widowControl w:val="0"/>
              <w:spacing w:after="0"/>
              <w:rPr>
                <w:b/>
              </w:rPr>
            </w:pPr>
            <w:r w:rsidRPr="008452C6">
              <w:t>Tussentijdse gebeurtenis</w:t>
            </w:r>
          </w:p>
        </w:tc>
        <w:tc>
          <w:tcPr>
            <w:tcW w:w="4691" w:type="dxa"/>
            <w:vAlign w:val="center"/>
          </w:tcPr>
          <w:p w14:paraId="3E49EC46" w14:textId="77777777" w:rsidR="00051DA4" w:rsidRPr="00633293" w:rsidRDefault="00051DA4" w:rsidP="00716507">
            <w:pPr>
              <w:pStyle w:val="Plattetekst"/>
              <w:widowControl w:val="0"/>
              <w:spacing w:after="0"/>
            </w:pPr>
          </w:p>
        </w:tc>
      </w:tr>
      <w:tr w:rsidR="00051DA4" w:rsidRPr="00633293" w14:paraId="2E9B91AF" w14:textId="77777777" w:rsidTr="00716507">
        <w:trPr>
          <w:tblCellSpacing w:w="15" w:type="dxa"/>
        </w:trPr>
        <w:tc>
          <w:tcPr>
            <w:tcW w:w="2635" w:type="dxa"/>
            <w:hideMark/>
          </w:tcPr>
          <w:p w14:paraId="76DC4597" w14:textId="77777777" w:rsidR="00051DA4" w:rsidRPr="00633293" w:rsidRDefault="00051DA4" w:rsidP="00716507">
            <w:pPr>
              <w:pStyle w:val="Plattetekst"/>
              <w:widowControl w:val="0"/>
              <w:spacing w:after="0"/>
              <w:rPr>
                <w:b/>
              </w:rPr>
            </w:pPr>
            <w:r w:rsidRPr="00633293">
              <w:rPr>
                <w:b/>
              </w:rPr>
              <w:t xml:space="preserve">Naam </w:t>
            </w:r>
            <w:r>
              <w:rPr>
                <w:b/>
              </w:rPr>
              <w:t>gebeurtenis</w:t>
            </w:r>
          </w:p>
        </w:tc>
        <w:tc>
          <w:tcPr>
            <w:tcW w:w="4691" w:type="dxa"/>
            <w:vAlign w:val="center"/>
            <w:hideMark/>
          </w:tcPr>
          <w:p w14:paraId="7B66B786" w14:textId="33683105" w:rsidR="00051DA4" w:rsidRPr="00633293" w:rsidRDefault="00051DA4" w:rsidP="00716507">
            <w:pPr>
              <w:pStyle w:val="Plattetekst"/>
              <w:widowControl w:val="0"/>
              <w:spacing w:after="0"/>
            </w:pPr>
            <w:r>
              <w:t xml:space="preserve">NaamGebeurtenis = </w:t>
            </w:r>
            <w:r w:rsidR="003562B3" w:rsidRPr="00E467FB">
              <w:rPr>
                <w:color w:val="00B050"/>
              </w:rPr>
              <w:t>inmeten</w:t>
            </w:r>
            <w:r w:rsidR="005A5035">
              <w:rPr>
                <w:color w:val="00B050"/>
              </w:rPr>
              <w:t>P</w:t>
            </w:r>
            <w:r w:rsidR="0044293D" w:rsidRPr="00E467FB">
              <w:rPr>
                <w:color w:val="00B050"/>
              </w:rPr>
              <w:t xml:space="preserve">osities </w:t>
            </w:r>
          </w:p>
        </w:tc>
      </w:tr>
      <w:tr w:rsidR="00051DA4" w:rsidRPr="00633293" w14:paraId="345389C6" w14:textId="77777777" w:rsidTr="00716507">
        <w:trPr>
          <w:tblCellSpacing w:w="15" w:type="dxa"/>
        </w:trPr>
        <w:tc>
          <w:tcPr>
            <w:tcW w:w="2635" w:type="dxa"/>
            <w:hideMark/>
          </w:tcPr>
          <w:p w14:paraId="21309FBF" w14:textId="77777777" w:rsidR="00051DA4" w:rsidRPr="00633293" w:rsidRDefault="00051DA4" w:rsidP="00716507">
            <w:pPr>
              <w:pStyle w:val="Plattetekst"/>
              <w:widowControl w:val="0"/>
              <w:spacing w:after="0"/>
            </w:pPr>
            <w:r>
              <w:t>Toelichting</w:t>
            </w:r>
            <w:r w:rsidRPr="00633293">
              <w:t xml:space="preserve"> </w:t>
            </w:r>
          </w:p>
        </w:tc>
        <w:tc>
          <w:tcPr>
            <w:tcW w:w="4691" w:type="dxa"/>
            <w:vAlign w:val="center"/>
            <w:hideMark/>
          </w:tcPr>
          <w:p w14:paraId="616D2C90" w14:textId="622C9E89" w:rsidR="00051DA4" w:rsidRPr="00633293" w:rsidRDefault="00051DA4" w:rsidP="003C132D">
            <w:pPr>
              <w:pStyle w:val="Plattetekst"/>
              <w:widowControl w:val="0"/>
              <w:spacing w:after="0"/>
            </w:pPr>
            <w:r>
              <w:t>D</w:t>
            </w:r>
            <w:r w:rsidRPr="007C71CA">
              <w:t xml:space="preserve">e posities van de put en het maaiveld </w:t>
            </w:r>
            <w:r w:rsidRPr="00E467FB">
              <w:rPr>
                <w:color w:val="00B050"/>
              </w:rPr>
              <w:t xml:space="preserve">zijn </w:t>
            </w:r>
            <w:r w:rsidR="003C132D" w:rsidRPr="00E467FB">
              <w:rPr>
                <w:color w:val="00B050"/>
              </w:rPr>
              <w:t xml:space="preserve">opnieuw ingemeten </w:t>
            </w:r>
            <w:r w:rsidRPr="00E467FB">
              <w:rPr>
                <w:color w:val="00B050"/>
              </w:rPr>
              <w:t>en zijn daarom opnieuw vastgesteld</w:t>
            </w:r>
            <w:r w:rsidRPr="007C71CA">
              <w:t>.</w:t>
            </w:r>
          </w:p>
        </w:tc>
      </w:tr>
    </w:tbl>
    <w:p w14:paraId="03D93545" w14:textId="77777777" w:rsidR="00051DA4" w:rsidRDefault="000F06AC" w:rsidP="00051DA4">
      <w:pPr>
        <w:pStyle w:val="Plattetekst"/>
      </w:pPr>
      <w:r>
        <w:rPr>
          <w:noProof/>
        </w:rPr>
        <w:lastRenderedPageBreak/>
        <mc:AlternateContent>
          <mc:Choice Requires="wps">
            <w:drawing>
              <wp:anchor distT="0" distB="0" distL="114300" distR="114300" simplePos="0" relativeHeight="251660800" behindDoc="0" locked="0" layoutInCell="1" allowOverlap="1" wp14:anchorId="495D76C2" wp14:editId="21A1BF01">
                <wp:simplePos x="0" y="0"/>
                <wp:positionH relativeFrom="column">
                  <wp:posOffset>280670</wp:posOffset>
                </wp:positionH>
                <wp:positionV relativeFrom="paragraph">
                  <wp:posOffset>814070</wp:posOffset>
                </wp:positionV>
                <wp:extent cx="1663700" cy="6350"/>
                <wp:effectExtent l="0" t="0" r="31750" b="31750"/>
                <wp:wrapNone/>
                <wp:docPr id="9" name="Rechte verbindingslijn 9"/>
                <wp:cNvGraphicFramePr/>
                <a:graphic xmlns:a="http://schemas.openxmlformats.org/drawingml/2006/main">
                  <a:graphicData uri="http://schemas.microsoft.com/office/word/2010/wordprocessingShape">
                    <wps:wsp>
                      <wps:cNvCnPr/>
                      <wps:spPr>
                        <a:xfrm>
                          <a:off x="0" y="0"/>
                          <a:ext cx="16637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B11F77" id="Rechte verbindingslijn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2.1pt,64.1pt" to="153.1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" strokecolor="#bc4542 [3045]"/>
            </w:pict>
          </mc:Fallback>
        </mc:AlternateContent>
      </w:r>
      <w:r>
        <w:rPr>
          <w:noProof/>
        </w:rPr>
        <mc:AlternateContent>
          <mc:Choice Requires="wps">
            <w:drawing>
              <wp:anchor distT="0" distB="0" distL="114300" distR="114300" simplePos="0" relativeHeight="251659776" behindDoc="0" locked="0" layoutInCell="1" allowOverlap="1" wp14:anchorId="55294AA0" wp14:editId="2C20BDFC">
                <wp:simplePos x="0" y="0"/>
                <wp:positionH relativeFrom="column">
                  <wp:posOffset>287020</wp:posOffset>
                </wp:positionH>
                <wp:positionV relativeFrom="paragraph">
                  <wp:posOffset>1061720</wp:posOffset>
                </wp:positionV>
                <wp:extent cx="1841500"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184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5CCEEB" id="Rechte verbindingslijn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2.6pt,83.6pt" to="167.6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" strokecolor="#bc4542 [3045]"/>
            </w:pict>
          </mc:Fallback>
        </mc:AlternateContent>
      </w:r>
      <w:r w:rsidR="00051DA4" w:rsidRPr="00F819BB">
        <w:rPr>
          <w:noProof/>
        </w:rPr>
        <w:drawing>
          <wp:inline distT="0" distB="0" distL="0" distR="0" wp14:anchorId="7F252890" wp14:editId="4F92091C">
            <wp:extent cx="4184650" cy="294640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2946400"/>
                    </a:xfrm>
                    <a:prstGeom prst="rect">
                      <a:avLst/>
                    </a:prstGeom>
                    <a:noFill/>
                    <a:ln>
                      <a:noFill/>
                    </a:ln>
                  </pic:spPr>
                </pic:pic>
              </a:graphicData>
            </a:graphic>
          </wp:inline>
        </w:drawing>
      </w:r>
    </w:p>
    <w:p w14:paraId="3EDD3E5B" w14:textId="77777777" w:rsidR="00051DA4" w:rsidRDefault="00051DA4" w:rsidP="00051DA4">
      <w:r>
        <w:t xml:space="preserve">[zie </w:t>
      </w:r>
      <w:r>
        <w:fldChar w:fldCharType="begin"/>
      </w:r>
      <w:r>
        <w:instrText xml:space="preserve"> REF _Ref504376489 \r \h </w:instrText>
      </w:r>
      <w:r>
        <w:fldChar w:fldCharType="separate"/>
      </w:r>
      <w:r>
        <w:t>7.1.2</w:t>
      </w:r>
      <w:r>
        <w:fldChar w:fldCharType="end"/>
      </w:r>
      <w:r>
        <w:t>]</w:t>
      </w:r>
    </w:p>
    <w:p w14:paraId="48ADFBEE" w14:textId="77777777" w:rsidR="00051DA4" w:rsidRDefault="00051DA4" w:rsidP="00051DA4">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740F7A" w14:paraId="2CAFD73D" w14:textId="77777777" w:rsidTr="00716507">
        <w:trPr>
          <w:tblCellSpacing w:w="15" w:type="dxa"/>
        </w:trPr>
        <w:tc>
          <w:tcPr>
            <w:tcW w:w="2635" w:type="dxa"/>
            <w:hideMark/>
          </w:tcPr>
          <w:p w14:paraId="55A6AF41" w14:textId="77777777" w:rsidR="00051DA4" w:rsidRPr="000F06AC" w:rsidRDefault="00051DA4" w:rsidP="00716507">
            <w:pPr>
              <w:pStyle w:val="Plattetekst"/>
              <w:widowControl w:val="0"/>
              <w:spacing w:after="0"/>
              <w:rPr>
                <w:b/>
                <w:strike/>
              </w:rPr>
            </w:pPr>
            <w:r w:rsidRPr="000F06AC">
              <w:rPr>
                <w:b/>
                <w:strike/>
              </w:rPr>
              <w:t>Naam attribuut</w:t>
            </w:r>
          </w:p>
        </w:tc>
        <w:tc>
          <w:tcPr>
            <w:tcW w:w="4691" w:type="dxa"/>
            <w:vAlign w:val="center"/>
            <w:hideMark/>
          </w:tcPr>
          <w:p w14:paraId="769E29A0" w14:textId="77777777" w:rsidR="00051DA4" w:rsidRPr="000F06AC" w:rsidRDefault="00051DA4" w:rsidP="00716507">
            <w:pPr>
              <w:pStyle w:val="Plattetekst"/>
              <w:widowControl w:val="0"/>
              <w:spacing w:after="0"/>
              <w:rPr>
                <w:strike/>
              </w:rPr>
            </w:pPr>
            <w:r w:rsidRPr="000F06AC">
              <w:rPr>
                <w:strike/>
              </w:rPr>
              <w:t xml:space="preserve">putstabiliteit    </w:t>
            </w:r>
          </w:p>
        </w:tc>
      </w:tr>
      <w:tr w:rsidR="00051DA4" w:rsidRPr="00740F7A" w14:paraId="2866CC62" w14:textId="77777777" w:rsidTr="00716507">
        <w:trPr>
          <w:tblCellSpacing w:w="15" w:type="dxa"/>
        </w:trPr>
        <w:tc>
          <w:tcPr>
            <w:tcW w:w="2635" w:type="dxa"/>
          </w:tcPr>
          <w:p w14:paraId="70E0F93A" w14:textId="77777777" w:rsidR="00051DA4" w:rsidRPr="000F06AC" w:rsidRDefault="00051DA4" w:rsidP="00716507">
            <w:pPr>
              <w:pStyle w:val="Plattetekst"/>
              <w:widowControl w:val="0"/>
              <w:spacing w:after="0"/>
              <w:rPr>
                <w:strike/>
              </w:rPr>
            </w:pPr>
            <w:r w:rsidRPr="000F06AC">
              <w:rPr>
                <w:strike/>
              </w:rPr>
              <w:t>Rol</w:t>
            </w:r>
          </w:p>
        </w:tc>
        <w:tc>
          <w:tcPr>
            <w:tcW w:w="4691" w:type="dxa"/>
            <w:vAlign w:val="center"/>
          </w:tcPr>
          <w:p w14:paraId="01C61D83" w14:textId="77777777" w:rsidR="00051DA4" w:rsidRPr="000F06AC" w:rsidRDefault="00051DA4" w:rsidP="00716507">
            <w:pPr>
              <w:pStyle w:val="Plattetekst"/>
              <w:widowControl w:val="0"/>
              <w:spacing w:after="0"/>
              <w:rPr>
                <w:strike/>
              </w:rPr>
            </w:pPr>
            <w:r w:rsidRPr="000F06AC">
              <w:rPr>
                <w:strike/>
              </w:rPr>
              <w:t>Validatiegegeven</w:t>
            </w:r>
          </w:p>
        </w:tc>
      </w:tr>
      <w:tr w:rsidR="00051DA4" w:rsidRPr="00740F7A" w14:paraId="4AC86260" w14:textId="77777777" w:rsidTr="00716507">
        <w:trPr>
          <w:tblCellSpacing w:w="15" w:type="dxa"/>
        </w:trPr>
        <w:tc>
          <w:tcPr>
            <w:tcW w:w="2635" w:type="dxa"/>
          </w:tcPr>
          <w:p w14:paraId="0ABBA260" w14:textId="77777777" w:rsidR="00051DA4" w:rsidRPr="00740F7A" w:rsidRDefault="00051DA4" w:rsidP="00716507">
            <w:pPr>
              <w:pStyle w:val="Plattetekst"/>
              <w:widowControl w:val="0"/>
              <w:spacing w:after="0"/>
              <w:rPr>
                <w:b/>
              </w:rPr>
            </w:pPr>
          </w:p>
        </w:tc>
        <w:tc>
          <w:tcPr>
            <w:tcW w:w="4691" w:type="dxa"/>
            <w:vAlign w:val="center"/>
          </w:tcPr>
          <w:p w14:paraId="5B50EE07" w14:textId="77777777" w:rsidR="00051DA4" w:rsidRPr="00740F7A" w:rsidRDefault="00051DA4" w:rsidP="00716507">
            <w:pPr>
              <w:pStyle w:val="Plattetekst"/>
              <w:widowControl w:val="0"/>
              <w:spacing w:after="0"/>
            </w:pPr>
          </w:p>
        </w:tc>
      </w:tr>
      <w:tr w:rsidR="00051DA4" w:rsidRPr="00740F7A" w14:paraId="18E2A9BD" w14:textId="77777777" w:rsidTr="00716507">
        <w:trPr>
          <w:tblCellSpacing w:w="15" w:type="dxa"/>
        </w:trPr>
        <w:tc>
          <w:tcPr>
            <w:tcW w:w="2635" w:type="dxa"/>
            <w:hideMark/>
          </w:tcPr>
          <w:p w14:paraId="0472E2EE" w14:textId="77777777" w:rsidR="00051DA4" w:rsidRPr="00740F7A" w:rsidRDefault="00051DA4" w:rsidP="00716507">
            <w:pPr>
              <w:pStyle w:val="Plattetekst"/>
              <w:widowControl w:val="0"/>
              <w:spacing w:after="0"/>
              <w:rPr>
                <w:b/>
              </w:rPr>
            </w:pPr>
            <w:r w:rsidRPr="00740F7A">
              <w:rPr>
                <w:b/>
              </w:rPr>
              <w:t>Naam attribuut</w:t>
            </w:r>
          </w:p>
        </w:tc>
        <w:tc>
          <w:tcPr>
            <w:tcW w:w="4691" w:type="dxa"/>
            <w:vAlign w:val="center"/>
            <w:hideMark/>
          </w:tcPr>
          <w:p w14:paraId="46788712" w14:textId="77777777" w:rsidR="00051DA4" w:rsidRPr="00740F7A" w:rsidRDefault="00051DA4" w:rsidP="00716507">
            <w:pPr>
              <w:pStyle w:val="Plattetekst"/>
              <w:widowControl w:val="0"/>
              <w:spacing w:after="0"/>
            </w:pPr>
            <w:r w:rsidRPr="00740F7A">
              <w:t xml:space="preserve">aantal monitoringbuizen    </w:t>
            </w:r>
          </w:p>
        </w:tc>
      </w:tr>
      <w:tr w:rsidR="00051DA4" w:rsidRPr="00740F7A" w14:paraId="51D9BA2C" w14:textId="77777777" w:rsidTr="00716507">
        <w:trPr>
          <w:tblCellSpacing w:w="15" w:type="dxa"/>
        </w:trPr>
        <w:tc>
          <w:tcPr>
            <w:tcW w:w="2635" w:type="dxa"/>
          </w:tcPr>
          <w:p w14:paraId="4A96763A" w14:textId="77777777" w:rsidR="00051DA4" w:rsidRPr="00740F7A" w:rsidRDefault="00051DA4" w:rsidP="00716507">
            <w:pPr>
              <w:pStyle w:val="Plattetekst"/>
              <w:widowControl w:val="0"/>
              <w:spacing w:after="0"/>
            </w:pPr>
            <w:r w:rsidRPr="00740F7A">
              <w:t>Rol</w:t>
            </w:r>
          </w:p>
        </w:tc>
        <w:tc>
          <w:tcPr>
            <w:tcW w:w="4691" w:type="dxa"/>
            <w:vAlign w:val="center"/>
          </w:tcPr>
          <w:p w14:paraId="09425C40" w14:textId="77777777" w:rsidR="00051DA4" w:rsidRPr="00740F7A" w:rsidRDefault="00051DA4" w:rsidP="00716507">
            <w:pPr>
              <w:pStyle w:val="Plattetekst"/>
              <w:widowControl w:val="0"/>
              <w:spacing w:after="0"/>
            </w:pPr>
            <w:r w:rsidRPr="00740F7A">
              <w:t>Validatiegegeven</w:t>
            </w:r>
          </w:p>
        </w:tc>
      </w:tr>
      <w:tr w:rsidR="00051DA4" w:rsidRPr="00740F7A" w14:paraId="7133868F" w14:textId="77777777" w:rsidTr="00716507">
        <w:trPr>
          <w:tblCellSpacing w:w="15" w:type="dxa"/>
        </w:trPr>
        <w:tc>
          <w:tcPr>
            <w:tcW w:w="2635" w:type="dxa"/>
          </w:tcPr>
          <w:p w14:paraId="28C8094B" w14:textId="77777777" w:rsidR="00051DA4" w:rsidRPr="00740F7A" w:rsidRDefault="00051DA4" w:rsidP="00716507">
            <w:pPr>
              <w:pStyle w:val="Plattetekst"/>
              <w:widowControl w:val="0"/>
              <w:spacing w:after="0"/>
              <w:rPr>
                <w:b/>
              </w:rPr>
            </w:pPr>
          </w:p>
        </w:tc>
        <w:tc>
          <w:tcPr>
            <w:tcW w:w="4691" w:type="dxa"/>
            <w:vAlign w:val="center"/>
          </w:tcPr>
          <w:p w14:paraId="1D195DE3" w14:textId="77777777" w:rsidR="00051DA4" w:rsidRPr="00740F7A" w:rsidRDefault="00051DA4" w:rsidP="00716507">
            <w:pPr>
              <w:pStyle w:val="Plattetekst"/>
              <w:widowControl w:val="0"/>
              <w:spacing w:after="0"/>
            </w:pPr>
          </w:p>
        </w:tc>
      </w:tr>
      <w:tr w:rsidR="00051DA4" w:rsidRPr="00740F7A" w14:paraId="52EC6762" w14:textId="77777777" w:rsidTr="00716507">
        <w:trPr>
          <w:tblCellSpacing w:w="15" w:type="dxa"/>
        </w:trPr>
        <w:tc>
          <w:tcPr>
            <w:tcW w:w="2635" w:type="dxa"/>
            <w:hideMark/>
          </w:tcPr>
          <w:p w14:paraId="60BE0586" w14:textId="77777777" w:rsidR="00051DA4" w:rsidRPr="000F06AC" w:rsidRDefault="00051DA4" w:rsidP="00716507">
            <w:pPr>
              <w:pStyle w:val="Plattetekst"/>
              <w:widowControl w:val="0"/>
              <w:spacing w:after="0"/>
              <w:rPr>
                <w:b/>
                <w:strike/>
              </w:rPr>
            </w:pPr>
            <w:r w:rsidRPr="000F06AC">
              <w:rPr>
                <w:b/>
                <w:strike/>
              </w:rPr>
              <w:t>Naam attribuut</w:t>
            </w:r>
          </w:p>
        </w:tc>
        <w:tc>
          <w:tcPr>
            <w:tcW w:w="4691" w:type="dxa"/>
            <w:vAlign w:val="center"/>
            <w:hideMark/>
          </w:tcPr>
          <w:p w14:paraId="74E6BCF8" w14:textId="77777777" w:rsidR="00051DA4" w:rsidRPr="000F06AC" w:rsidRDefault="00051DA4" w:rsidP="00716507">
            <w:pPr>
              <w:pStyle w:val="Plattetekst"/>
              <w:widowControl w:val="0"/>
              <w:spacing w:after="0"/>
              <w:rPr>
                <w:strike/>
              </w:rPr>
            </w:pPr>
            <w:r w:rsidRPr="000F06AC">
              <w:rPr>
                <w:strike/>
              </w:rPr>
              <w:t xml:space="preserve">maaiveld stabiel    </w:t>
            </w:r>
          </w:p>
        </w:tc>
      </w:tr>
      <w:tr w:rsidR="00051DA4" w:rsidRPr="00740F7A" w14:paraId="318892BC" w14:textId="77777777" w:rsidTr="00716507">
        <w:trPr>
          <w:tblCellSpacing w:w="15" w:type="dxa"/>
        </w:trPr>
        <w:tc>
          <w:tcPr>
            <w:tcW w:w="2635" w:type="dxa"/>
          </w:tcPr>
          <w:p w14:paraId="52470D04" w14:textId="77777777" w:rsidR="00051DA4" w:rsidRPr="000F06AC" w:rsidRDefault="00051DA4" w:rsidP="00716507">
            <w:pPr>
              <w:pStyle w:val="Plattetekst"/>
              <w:widowControl w:val="0"/>
              <w:spacing w:after="0"/>
              <w:rPr>
                <w:strike/>
              </w:rPr>
            </w:pPr>
            <w:r w:rsidRPr="000F06AC">
              <w:rPr>
                <w:strike/>
              </w:rPr>
              <w:t>Rol</w:t>
            </w:r>
          </w:p>
        </w:tc>
        <w:tc>
          <w:tcPr>
            <w:tcW w:w="4691" w:type="dxa"/>
            <w:vAlign w:val="center"/>
          </w:tcPr>
          <w:p w14:paraId="0ACB3A4F" w14:textId="77777777" w:rsidR="00051DA4" w:rsidRPr="000F06AC" w:rsidRDefault="00051DA4" w:rsidP="00716507">
            <w:pPr>
              <w:pStyle w:val="Plattetekst"/>
              <w:widowControl w:val="0"/>
              <w:spacing w:after="0"/>
              <w:rPr>
                <w:strike/>
              </w:rPr>
            </w:pPr>
            <w:r w:rsidRPr="000F06AC">
              <w:rPr>
                <w:strike/>
              </w:rPr>
              <w:t>Validatiegegeven</w:t>
            </w:r>
          </w:p>
        </w:tc>
      </w:tr>
      <w:tr w:rsidR="00051DA4" w:rsidRPr="00740F7A" w14:paraId="3D62F6EE" w14:textId="77777777" w:rsidTr="00716507">
        <w:trPr>
          <w:tblCellSpacing w:w="15" w:type="dxa"/>
        </w:trPr>
        <w:tc>
          <w:tcPr>
            <w:tcW w:w="2635" w:type="dxa"/>
          </w:tcPr>
          <w:p w14:paraId="5F720C50" w14:textId="77777777" w:rsidR="00051DA4" w:rsidRPr="00740F7A" w:rsidRDefault="00051DA4" w:rsidP="00716507">
            <w:pPr>
              <w:pStyle w:val="Plattetekst"/>
              <w:widowControl w:val="0"/>
              <w:spacing w:after="0"/>
              <w:rPr>
                <w:b/>
              </w:rPr>
            </w:pPr>
          </w:p>
        </w:tc>
        <w:tc>
          <w:tcPr>
            <w:tcW w:w="4691" w:type="dxa"/>
            <w:vAlign w:val="center"/>
          </w:tcPr>
          <w:p w14:paraId="354F46FC" w14:textId="77777777" w:rsidR="00051DA4" w:rsidRPr="00740F7A" w:rsidRDefault="00051DA4" w:rsidP="00716507">
            <w:pPr>
              <w:pStyle w:val="Plattetekst"/>
              <w:widowControl w:val="0"/>
              <w:spacing w:after="0"/>
            </w:pPr>
          </w:p>
        </w:tc>
      </w:tr>
      <w:tr w:rsidR="00051DA4" w:rsidRPr="00740F7A" w14:paraId="6C39452D" w14:textId="77777777" w:rsidTr="00716507">
        <w:trPr>
          <w:tblCellSpacing w:w="15" w:type="dxa"/>
        </w:trPr>
        <w:tc>
          <w:tcPr>
            <w:tcW w:w="2635" w:type="dxa"/>
            <w:hideMark/>
          </w:tcPr>
          <w:p w14:paraId="18A7E9F2" w14:textId="77777777" w:rsidR="00051DA4" w:rsidRPr="00740F7A" w:rsidRDefault="00051DA4" w:rsidP="00716507">
            <w:pPr>
              <w:pStyle w:val="Plattetekst"/>
              <w:widowControl w:val="0"/>
              <w:spacing w:after="0"/>
              <w:rPr>
                <w:b/>
              </w:rPr>
            </w:pPr>
            <w:r w:rsidRPr="00740F7A">
              <w:rPr>
                <w:b/>
              </w:rPr>
              <w:t>Naam attribuut</w:t>
            </w:r>
          </w:p>
        </w:tc>
        <w:tc>
          <w:tcPr>
            <w:tcW w:w="4691" w:type="dxa"/>
            <w:vAlign w:val="center"/>
            <w:hideMark/>
          </w:tcPr>
          <w:p w14:paraId="7CC6A873" w14:textId="77777777" w:rsidR="00051DA4" w:rsidRPr="00740F7A" w:rsidRDefault="00051DA4" w:rsidP="00716507">
            <w:pPr>
              <w:pStyle w:val="Plattetekst"/>
              <w:widowControl w:val="0"/>
              <w:spacing w:after="0"/>
            </w:pPr>
            <w:r w:rsidRPr="00740F7A">
              <w:t xml:space="preserve">methode positiebepaling maaiveld    </w:t>
            </w:r>
          </w:p>
        </w:tc>
      </w:tr>
      <w:tr w:rsidR="00051DA4" w:rsidRPr="00740F7A" w14:paraId="1F56F496" w14:textId="77777777" w:rsidTr="00716507">
        <w:trPr>
          <w:tblCellSpacing w:w="15" w:type="dxa"/>
        </w:trPr>
        <w:tc>
          <w:tcPr>
            <w:tcW w:w="2635" w:type="dxa"/>
            <w:hideMark/>
          </w:tcPr>
          <w:p w14:paraId="6C1FC3DC" w14:textId="77777777" w:rsidR="00051DA4" w:rsidRPr="00740F7A" w:rsidRDefault="00051DA4" w:rsidP="00716507">
            <w:pPr>
              <w:pStyle w:val="Plattetekst"/>
              <w:widowControl w:val="0"/>
              <w:spacing w:after="0"/>
            </w:pPr>
            <w:r w:rsidRPr="00740F7A">
              <w:t xml:space="preserve">Regels </w:t>
            </w:r>
          </w:p>
        </w:tc>
        <w:tc>
          <w:tcPr>
            <w:tcW w:w="4691" w:type="dxa"/>
            <w:vAlign w:val="center"/>
            <w:hideMark/>
          </w:tcPr>
          <w:p w14:paraId="48C2CF7E" w14:textId="77777777" w:rsidR="005A5035" w:rsidRDefault="00193922" w:rsidP="00716507">
            <w:pPr>
              <w:pStyle w:val="Plattetekst"/>
              <w:widowControl w:val="0"/>
              <w:spacing w:after="0"/>
              <w:rPr>
                <w:color w:val="00B050"/>
              </w:rPr>
            </w:pPr>
            <w:r w:rsidRPr="00E467FB">
              <w:rPr>
                <w:color w:val="00B050"/>
              </w:rPr>
              <w:t xml:space="preserve">Het gegeven ontbreekt als het gegeven maaiveldpositie ontbreekt. Het gegeven is aanwezig als het gegeven maaiveldpositie aanwezig is. </w:t>
            </w:r>
          </w:p>
          <w:p w14:paraId="19A9BA26" w14:textId="3F2D5280" w:rsidR="00051DA4" w:rsidRPr="00740F7A" w:rsidRDefault="00051DA4" w:rsidP="00716507">
            <w:pPr>
              <w:pStyle w:val="Plattetekst"/>
              <w:widowControl w:val="0"/>
              <w:spacing w:after="0"/>
            </w:pPr>
            <w:r w:rsidRPr="00740F7A">
              <w:t>De waarde van het gegeven mag gelijk zijn aan de actuele waarde in de registratie ondergrond.</w:t>
            </w:r>
          </w:p>
        </w:tc>
      </w:tr>
      <w:tr w:rsidR="00051DA4" w:rsidRPr="00740F7A" w14:paraId="1DAD08B6" w14:textId="77777777" w:rsidTr="00716507">
        <w:trPr>
          <w:tblCellSpacing w:w="15" w:type="dxa"/>
        </w:trPr>
        <w:tc>
          <w:tcPr>
            <w:tcW w:w="2635" w:type="dxa"/>
          </w:tcPr>
          <w:p w14:paraId="65F1DB7B" w14:textId="77777777" w:rsidR="00051DA4" w:rsidRPr="00740F7A" w:rsidRDefault="00051DA4" w:rsidP="00716507">
            <w:pPr>
              <w:pStyle w:val="Plattetekst"/>
              <w:widowControl w:val="0"/>
              <w:spacing w:after="0"/>
              <w:rPr>
                <w:b/>
              </w:rPr>
            </w:pPr>
          </w:p>
        </w:tc>
        <w:tc>
          <w:tcPr>
            <w:tcW w:w="4691" w:type="dxa"/>
            <w:vAlign w:val="center"/>
          </w:tcPr>
          <w:p w14:paraId="0A7DF858" w14:textId="77777777" w:rsidR="00051DA4" w:rsidRPr="00740F7A" w:rsidRDefault="00051DA4" w:rsidP="00716507">
            <w:pPr>
              <w:pStyle w:val="Plattetekst"/>
              <w:widowControl w:val="0"/>
              <w:spacing w:after="0"/>
            </w:pPr>
          </w:p>
        </w:tc>
      </w:tr>
      <w:tr w:rsidR="00051DA4" w:rsidRPr="00740F7A" w14:paraId="6DB8A8B7" w14:textId="77777777" w:rsidTr="00716507">
        <w:trPr>
          <w:tblCellSpacing w:w="15" w:type="dxa"/>
        </w:trPr>
        <w:tc>
          <w:tcPr>
            <w:tcW w:w="2635" w:type="dxa"/>
            <w:hideMark/>
          </w:tcPr>
          <w:p w14:paraId="1233DF33" w14:textId="77777777" w:rsidR="00051DA4" w:rsidRPr="006B2A68" w:rsidRDefault="00051DA4" w:rsidP="00716507">
            <w:pPr>
              <w:pStyle w:val="Plattetekst"/>
              <w:widowControl w:val="0"/>
              <w:spacing w:after="0"/>
              <w:rPr>
                <w:b/>
              </w:rPr>
            </w:pPr>
            <w:r w:rsidRPr="006B2A68">
              <w:rPr>
                <w:b/>
              </w:rPr>
              <w:t>Naam attribuut</w:t>
            </w:r>
          </w:p>
        </w:tc>
        <w:tc>
          <w:tcPr>
            <w:tcW w:w="4691" w:type="dxa"/>
            <w:vAlign w:val="center"/>
            <w:hideMark/>
          </w:tcPr>
          <w:p w14:paraId="6B065A07" w14:textId="54249B54" w:rsidR="006B2A68" w:rsidRPr="006B2A68" w:rsidRDefault="00051DA4" w:rsidP="00716507">
            <w:pPr>
              <w:pStyle w:val="Plattetekst"/>
              <w:widowControl w:val="0"/>
              <w:spacing w:after="0"/>
            </w:pPr>
            <w:r w:rsidRPr="006B2A68">
              <w:t xml:space="preserve">maaiveldpositie    </w:t>
            </w:r>
          </w:p>
        </w:tc>
      </w:tr>
      <w:tr w:rsidR="00051DA4" w:rsidRPr="000B7F1B" w14:paraId="1FE05B7B" w14:textId="77777777" w:rsidTr="00716507">
        <w:trPr>
          <w:tblCellSpacing w:w="15" w:type="dxa"/>
        </w:trPr>
        <w:tc>
          <w:tcPr>
            <w:tcW w:w="2635" w:type="dxa"/>
            <w:hideMark/>
          </w:tcPr>
          <w:p w14:paraId="5790650D" w14:textId="77777777" w:rsidR="00051DA4" w:rsidRDefault="00051DA4" w:rsidP="00716507">
            <w:pPr>
              <w:pStyle w:val="Plattetekst"/>
              <w:widowControl w:val="0"/>
              <w:spacing w:after="0"/>
              <w:rPr>
                <w:strike/>
              </w:rPr>
            </w:pPr>
            <w:r w:rsidRPr="00630E2F">
              <w:rPr>
                <w:strike/>
              </w:rPr>
              <w:t>Regels IMBRO/A</w:t>
            </w:r>
          </w:p>
          <w:p w14:paraId="602D5D27" w14:textId="62008A50" w:rsidR="006B2A68" w:rsidRPr="006B2A68" w:rsidRDefault="006B2A68" w:rsidP="00716507">
            <w:pPr>
              <w:pStyle w:val="Plattetekst"/>
              <w:widowControl w:val="0"/>
              <w:spacing w:after="0"/>
            </w:pPr>
            <w:r w:rsidRPr="005A5035">
              <w:rPr>
                <w:color w:val="00B050"/>
              </w:rPr>
              <w:t>Regels</w:t>
            </w:r>
          </w:p>
        </w:tc>
        <w:tc>
          <w:tcPr>
            <w:tcW w:w="4691" w:type="dxa"/>
            <w:vAlign w:val="center"/>
            <w:hideMark/>
          </w:tcPr>
          <w:p w14:paraId="18DCF7CC" w14:textId="77777777" w:rsidR="00051DA4" w:rsidRDefault="00051DA4" w:rsidP="00716507">
            <w:pPr>
              <w:pStyle w:val="Plattetekst"/>
              <w:widowControl w:val="0"/>
              <w:spacing w:after="0"/>
              <w:rPr>
                <w:strike/>
              </w:rPr>
            </w:pPr>
            <w:r w:rsidRPr="00630E2F">
              <w:rPr>
                <w:strike/>
              </w:rPr>
              <w:t xml:space="preserve">De waarde van het gegeven mag niet ontbreken. </w:t>
            </w:r>
            <w:r w:rsidR="006B2A68" w:rsidRPr="00630E2F">
              <w:rPr>
                <w:strike/>
              </w:rPr>
              <w:t xml:space="preserve"> </w:t>
            </w:r>
          </w:p>
          <w:p w14:paraId="475B97EE" w14:textId="279576AE" w:rsidR="006B2A68" w:rsidRPr="00630E2F" w:rsidRDefault="00193922" w:rsidP="00716507">
            <w:pPr>
              <w:pStyle w:val="Plattetekst"/>
              <w:widowControl w:val="0"/>
              <w:spacing w:after="0"/>
              <w:rPr>
                <w:strike/>
              </w:rPr>
            </w:pPr>
            <w:r w:rsidRPr="00E467FB">
              <w:rPr>
                <w:color w:val="00B050"/>
              </w:rPr>
              <w:t xml:space="preserve">Het gegeven mag ontbreken. </w:t>
            </w:r>
            <w:r w:rsidR="00555A87" w:rsidRPr="00E467FB">
              <w:rPr>
                <w:color w:val="00B050"/>
              </w:rPr>
              <w:t>De waarde van het gegeven mag gelijk zijn aan de actuele waarde in de registratie ondergrond.</w:t>
            </w:r>
          </w:p>
        </w:tc>
      </w:tr>
      <w:tr w:rsidR="00051DA4" w:rsidRPr="000B7F1B" w14:paraId="404645EA" w14:textId="77777777" w:rsidTr="00716507">
        <w:trPr>
          <w:tblCellSpacing w:w="15" w:type="dxa"/>
        </w:trPr>
        <w:tc>
          <w:tcPr>
            <w:tcW w:w="2635" w:type="dxa"/>
          </w:tcPr>
          <w:p w14:paraId="7D22453D" w14:textId="77777777" w:rsidR="00051DA4" w:rsidRPr="000B7F1B" w:rsidRDefault="00051DA4" w:rsidP="00716507">
            <w:pPr>
              <w:pStyle w:val="Plattetekst"/>
              <w:widowControl w:val="0"/>
              <w:spacing w:after="0"/>
              <w:rPr>
                <w:b/>
              </w:rPr>
            </w:pPr>
          </w:p>
        </w:tc>
        <w:tc>
          <w:tcPr>
            <w:tcW w:w="4691" w:type="dxa"/>
            <w:vAlign w:val="center"/>
          </w:tcPr>
          <w:p w14:paraId="26C720E9" w14:textId="77777777" w:rsidR="00051DA4" w:rsidRPr="000B7F1B" w:rsidRDefault="00051DA4" w:rsidP="00716507">
            <w:pPr>
              <w:pStyle w:val="Plattetekst"/>
              <w:widowControl w:val="0"/>
              <w:spacing w:after="0"/>
            </w:pPr>
          </w:p>
        </w:tc>
      </w:tr>
      <w:tr w:rsidR="00051DA4" w:rsidRPr="000B7F1B" w14:paraId="76A23F4A" w14:textId="77777777" w:rsidTr="00716507">
        <w:trPr>
          <w:tblCellSpacing w:w="15" w:type="dxa"/>
        </w:trPr>
        <w:tc>
          <w:tcPr>
            <w:tcW w:w="2635" w:type="dxa"/>
            <w:hideMark/>
          </w:tcPr>
          <w:p w14:paraId="62F4EF7B" w14:textId="77777777" w:rsidR="00051DA4" w:rsidRPr="000B7F1B" w:rsidRDefault="00051DA4" w:rsidP="00716507">
            <w:pPr>
              <w:pStyle w:val="Plattetekst"/>
              <w:widowControl w:val="0"/>
              <w:spacing w:after="0"/>
              <w:rPr>
                <w:b/>
              </w:rPr>
            </w:pPr>
            <w:r w:rsidRPr="000B7F1B">
              <w:rPr>
                <w:b/>
              </w:rPr>
              <w:t>Naam entiteit</w:t>
            </w:r>
          </w:p>
        </w:tc>
        <w:tc>
          <w:tcPr>
            <w:tcW w:w="4691" w:type="dxa"/>
            <w:vAlign w:val="center"/>
            <w:hideMark/>
          </w:tcPr>
          <w:p w14:paraId="69943AD7" w14:textId="77777777" w:rsidR="00051DA4" w:rsidRPr="000B7F1B" w:rsidRDefault="00051DA4" w:rsidP="00716507">
            <w:pPr>
              <w:pStyle w:val="Plattetekst"/>
              <w:widowControl w:val="0"/>
              <w:spacing w:after="0"/>
            </w:pPr>
            <w:r w:rsidRPr="000B7F1B">
              <w:t xml:space="preserve">Monitoringbuis    </w:t>
            </w:r>
          </w:p>
        </w:tc>
      </w:tr>
      <w:tr w:rsidR="00051DA4" w:rsidRPr="000B7F1B" w14:paraId="7FB43934" w14:textId="77777777" w:rsidTr="00716507">
        <w:trPr>
          <w:tblCellSpacing w:w="15" w:type="dxa"/>
        </w:trPr>
        <w:tc>
          <w:tcPr>
            <w:tcW w:w="2635" w:type="dxa"/>
            <w:hideMark/>
          </w:tcPr>
          <w:p w14:paraId="4962FD62" w14:textId="77777777" w:rsidR="00051DA4" w:rsidRPr="000B7F1B" w:rsidRDefault="00051DA4" w:rsidP="00716507">
            <w:pPr>
              <w:pStyle w:val="Plattetekst"/>
              <w:widowControl w:val="0"/>
              <w:spacing w:after="0"/>
            </w:pPr>
            <w:r w:rsidRPr="000B7F1B">
              <w:t xml:space="preserve">Regels </w:t>
            </w:r>
          </w:p>
        </w:tc>
        <w:tc>
          <w:tcPr>
            <w:tcW w:w="4691" w:type="dxa"/>
            <w:vAlign w:val="center"/>
            <w:hideMark/>
          </w:tcPr>
          <w:p w14:paraId="759F6A0C" w14:textId="2495D4C3" w:rsidR="00051DA4" w:rsidRPr="000B7F1B" w:rsidRDefault="00051DA4" w:rsidP="00716507">
            <w:pPr>
              <w:pStyle w:val="Plattetekst"/>
              <w:widowControl w:val="0"/>
              <w:spacing w:after="0"/>
            </w:pPr>
            <w:r w:rsidRPr="000B7F1B">
              <w:t>Het aantal keren dat het gegeven voorkomt wordt bepaald door de waarde van het attribuut a</w:t>
            </w:r>
            <w:r w:rsidRPr="000B7F1B">
              <w:rPr>
                <w:i/>
              </w:rPr>
              <w:t>antal monitoringbuizen</w:t>
            </w:r>
            <w:r w:rsidRPr="000B7F1B">
              <w:t>.</w:t>
            </w:r>
          </w:p>
        </w:tc>
      </w:tr>
    </w:tbl>
    <w:p w14:paraId="400380FE" w14:textId="77777777" w:rsidR="00051DA4" w:rsidRPr="000B7F1B" w:rsidRDefault="00051DA4" w:rsidP="00051DA4">
      <w:pPr>
        <w:pStyle w:val="Plattetekst"/>
        <w:widowControl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0B7F1B" w14:paraId="1BF3A865" w14:textId="77777777" w:rsidTr="00716507">
        <w:trPr>
          <w:tblCellSpacing w:w="15" w:type="dxa"/>
        </w:trPr>
        <w:tc>
          <w:tcPr>
            <w:tcW w:w="2635" w:type="dxa"/>
            <w:hideMark/>
          </w:tcPr>
          <w:p w14:paraId="617868E9" w14:textId="77777777" w:rsidR="00051DA4" w:rsidRPr="000B7F1B" w:rsidRDefault="00051DA4" w:rsidP="00716507">
            <w:pPr>
              <w:pStyle w:val="Plattetekst"/>
              <w:widowControl w:val="0"/>
              <w:spacing w:after="0"/>
              <w:rPr>
                <w:b/>
              </w:rPr>
            </w:pPr>
            <w:r w:rsidRPr="000B7F1B">
              <w:rPr>
                <w:b/>
              </w:rPr>
              <w:lastRenderedPageBreak/>
              <w:t>Naam attribuut</w:t>
            </w:r>
          </w:p>
        </w:tc>
        <w:tc>
          <w:tcPr>
            <w:tcW w:w="4691" w:type="dxa"/>
            <w:vAlign w:val="center"/>
            <w:hideMark/>
          </w:tcPr>
          <w:p w14:paraId="635DAE46" w14:textId="77777777" w:rsidR="00051DA4" w:rsidRPr="000B7F1B" w:rsidRDefault="00051DA4" w:rsidP="00716507">
            <w:pPr>
              <w:pStyle w:val="Plattetekst"/>
              <w:widowControl w:val="0"/>
              <w:spacing w:after="0"/>
            </w:pPr>
            <w:r w:rsidRPr="000B7F1B">
              <w:t xml:space="preserve">buisnummer    </w:t>
            </w:r>
          </w:p>
        </w:tc>
      </w:tr>
      <w:tr w:rsidR="00051DA4" w:rsidRPr="000B7F1B" w14:paraId="7E154F6C" w14:textId="77777777" w:rsidTr="00716507">
        <w:trPr>
          <w:tblCellSpacing w:w="15" w:type="dxa"/>
        </w:trPr>
        <w:tc>
          <w:tcPr>
            <w:tcW w:w="2635" w:type="dxa"/>
          </w:tcPr>
          <w:p w14:paraId="6D8FF2EB" w14:textId="77777777" w:rsidR="00051DA4" w:rsidRPr="000B7F1B" w:rsidRDefault="00051DA4" w:rsidP="00716507">
            <w:pPr>
              <w:pStyle w:val="Plattetekst"/>
              <w:widowControl w:val="0"/>
              <w:spacing w:after="0"/>
            </w:pPr>
            <w:r w:rsidRPr="000B7F1B">
              <w:t>Rol</w:t>
            </w:r>
          </w:p>
        </w:tc>
        <w:tc>
          <w:tcPr>
            <w:tcW w:w="4691" w:type="dxa"/>
            <w:vAlign w:val="center"/>
          </w:tcPr>
          <w:p w14:paraId="46672578" w14:textId="77777777" w:rsidR="00051DA4" w:rsidRPr="000B7F1B" w:rsidRDefault="00051DA4" w:rsidP="00716507">
            <w:pPr>
              <w:pStyle w:val="Plattetekst"/>
              <w:widowControl w:val="0"/>
              <w:spacing w:after="0"/>
            </w:pPr>
            <w:r w:rsidRPr="000B7F1B">
              <w:t>Validatiegegeven</w:t>
            </w:r>
          </w:p>
        </w:tc>
      </w:tr>
      <w:tr w:rsidR="00051DA4" w:rsidRPr="000B7F1B" w14:paraId="38E6ABD8" w14:textId="77777777" w:rsidTr="00716507">
        <w:trPr>
          <w:tblCellSpacing w:w="15" w:type="dxa"/>
        </w:trPr>
        <w:tc>
          <w:tcPr>
            <w:tcW w:w="2635" w:type="dxa"/>
            <w:hideMark/>
          </w:tcPr>
          <w:p w14:paraId="1294D27B" w14:textId="77777777" w:rsidR="00051DA4" w:rsidRPr="000B7F1B" w:rsidRDefault="00051DA4" w:rsidP="00716507">
            <w:pPr>
              <w:pStyle w:val="Plattetekst"/>
              <w:widowControl w:val="0"/>
              <w:spacing w:after="0"/>
            </w:pPr>
            <w:r w:rsidRPr="000B7F1B">
              <w:t xml:space="preserve">Regels </w:t>
            </w:r>
          </w:p>
        </w:tc>
        <w:tc>
          <w:tcPr>
            <w:tcW w:w="4691" w:type="dxa"/>
            <w:vAlign w:val="center"/>
            <w:hideMark/>
          </w:tcPr>
          <w:p w14:paraId="725B700E" w14:textId="77777777" w:rsidR="00051DA4" w:rsidRPr="000B7F1B" w:rsidRDefault="00051DA4" w:rsidP="00716507">
            <w:pPr>
              <w:pStyle w:val="Plattetekst"/>
              <w:widowControl w:val="0"/>
              <w:spacing w:after="0"/>
            </w:pPr>
            <w:r w:rsidRPr="000B7F1B">
              <w:t>De waarde van het gegeven is uniek binnen het brondocument</w:t>
            </w:r>
          </w:p>
        </w:tc>
      </w:tr>
      <w:tr w:rsidR="00051DA4" w:rsidRPr="000B7F1B" w14:paraId="6C54AE23" w14:textId="77777777" w:rsidTr="00716507">
        <w:trPr>
          <w:tblCellSpacing w:w="15" w:type="dxa"/>
        </w:trPr>
        <w:tc>
          <w:tcPr>
            <w:tcW w:w="2635" w:type="dxa"/>
          </w:tcPr>
          <w:p w14:paraId="045B4089" w14:textId="77777777" w:rsidR="00051DA4" w:rsidRPr="000B7F1B" w:rsidRDefault="00051DA4" w:rsidP="00716507">
            <w:pPr>
              <w:pStyle w:val="Plattetekst"/>
              <w:widowControl w:val="0"/>
              <w:spacing w:after="0"/>
            </w:pPr>
          </w:p>
        </w:tc>
        <w:tc>
          <w:tcPr>
            <w:tcW w:w="4691" w:type="dxa"/>
            <w:vAlign w:val="center"/>
          </w:tcPr>
          <w:p w14:paraId="3BC76AB0" w14:textId="77777777" w:rsidR="00051DA4" w:rsidRPr="00740F7A" w:rsidRDefault="00051DA4" w:rsidP="00716507">
            <w:pPr>
              <w:pStyle w:val="Plattetekst"/>
              <w:widowControl w:val="0"/>
              <w:spacing w:after="0"/>
            </w:pPr>
          </w:p>
        </w:tc>
      </w:tr>
      <w:tr w:rsidR="00051DA4" w:rsidRPr="00740F7A" w14:paraId="674C5995" w14:textId="77777777" w:rsidTr="00716507">
        <w:trPr>
          <w:tblCellSpacing w:w="15" w:type="dxa"/>
        </w:trPr>
        <w:tc>
          <w:tcPr>
            <w:tcW w:w="2635" w:type="dxa"/>
            <w:hideMark/>
          </w:tcPr>
          <w:p w14:paraId="07A96A82" w14:textId="77777777" w:rsidR="00051DA4" w:rsidRPr="00740F7A" w:rsidRDefault="00051DA4" w:rsidP="00716507">
            <w:pPr>
              <w:pStyle w:val="Plattetekst"/>
              <w:widowControl w:val="0"/>
              <w:spacing w:after="0"/>
              <w:rPr>
                <w:b/>
              </w:rPr>
            </w:pPr>
            <w:r w:rsidRPr="00740F7A">
              <w:rPr>
                <w:b/>
              </w:rPr>
              <w:t>Naam attribuut</w:t>
            </w:r>
          </w:p>
        </w:tc>
        <w:tc>
          <w:tcPr>
            <w:tcW w:w="4691" w:type="dxa"/>
            <w:vAlign w:val="center"/>
            <w:hideMark/>
          </w:tcPr>
          <w:p w14:paraId="09679F06" w14:textId="77777777" w:rsidR="00051DA4" w:rsidRPr="00740F7A" w:rsidRDefault="00051DA4" w:rsidP="00716507">
            <w:pPr>
              <w:pStyle w:val="Plattetekst"/>
              <w:widowControl w:val="0"/>
              <w:spacing w:after="0"/>
            </w:pPr>
            <w:r w:rsidRPr="00740F7A">
              <w:t xml:space="preserve">positie bovenkant buis    </w:t>
            </w:r>
          </w:p>
        </w:tc>
      </w:tr>
      <w:tr w:rsidR="00051DA4" w:rsidRPr="00633293" w14:paraId="48310DBA" w14:textId="77777777" w:rsidTr="00716507">
        <w:trPr>
          <w:tblCellSpacing w:w="15" w:type="dxa"/>
        </w:trPr>
        <w:tc>
          <w:tcPr>
            <w:tcW w:w="2635" w:type="dxa"/>
            <w:hideMark/>
          </w:tcPr>
          <w:p w14:paraId="77159001" w14:textId="77777777" w:rsidR="00051DA4" w:rsidRPr="00740F7A" w:rsidRDefault="00051DA4" w:rsidP="00716507">
            <w:pPr>
              <w:pStyle w:val="Plattetekst"/>
              <w:widowControl w:val="0"/>
              <w:spacing w:after="0"/>
            </w:pPr>
            <w:bookmarkStart w:id="2" w:name="buisnummer" w:colFirst="1" w:colLast="1"/>
            <w:r w:rsidRPr="00740F7A">
              <w:t xml:space="preserve">Regels </w:t>
            </w:r>
          </w:p>
        </w:tc>
        <w:tc>
          <w:tcPr>
            <w:tcW w:w="4691" w:type="dxa"/>
            <w:vAlign w:val="center"/>
            <w:hideMark/>
          </w:tcPr>
          <w:p w14:paraId="11425F44" w14:textId="77777777" w:rsidR="00051DA4" w:rsidRPr="000F06AC" w:rsidRDefault="00051DA4" w:rsidP="00716507">
            <w:pPr>
              <w:pStyle w:val="Plattetekst"/>
              <w:spacing w:after="0"/>
              <w:rPr>
                <w:strike/>
              </w:rPr>
            </w:pPr>
            <w:r w:rsidRPr="00740F7A">
              <w:t>De waarde van het gegeven mag gelijk zijn aan de actuele waarde in de registratie ondergrond</w:t>
            </w:r>
            <w:r w:rsidRPr="000F06AC">
              <w:rPr>
                <w:strike/>
              </w:rPr>
              <w:t>, als minimaal één positie bovenkant buis in het brondocument afwijkt van de actuele waarde in de registratie ondergrond.</w:t>
            </w:r>
          </w:p>
          <w:p w14:paraId="3A4D7292" w14:textId="77777777" w:rsidR="00051DA4" w:rsidRPr="00740F7A" w:rsidRDefault="00051DA4" w:rsidP="00716507">
            <w:pPr>
              <w:pStyle w:val="Plattetekst"/>
              <w:widowControl w:val="0"/>
              <w:spacing w:after="0"/>
            </w:pPr>
          </w:p>
        </w:tc>
      </w:tr>
      <w:bookmarkEnd w:id="2"/>
    </w:tbl>
    <w:p w14:paraId="1CE86560" w14:textId="77777777" w:rsidR="00051DA4" w:rsidRDefault="00051DA4" w:rsidP="00051DA4">
      <w:pPr>
        <w:pStyle w:val="Plattetekst"/>
        <w:keepNext/>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736"/>
      </w:tblGrid>
      <w:tr w:rsidR="00051DA4" w:rsidRPr="00633293" w14:paraId="7AC5FC5E" w14:textId="77777777" w:rsidTr="00716507">
        <w:trPr>
          <w:tblCellSpacing w:w="15" w:type="dxa"/>
        </w:trPr>
        <w:tc>
          <w:tcPr>
            <w:tcW w:w="2635" w:type="dxa"/>
            <w:hideMark/>
          </w:tcPr>
          <w:p w14:paraId="1A85CE52" w14:textId="77777777" w:rsidR="00051DA4" w:rsidRPr="00633293" w:rsidRDefault="00051DA4" w:rsidP="00716507">
            <w:pPr>
              <w:pStyle w:val="Plattetekst"/>
              <w:widowControl w:val="0"/>
              <w:spacing w:after="0"/>
              <w:rPr>
                <w:b/>
              </w:rPr>
            </w:pPr>
            <w:r w:rsidRPr="00633293">
              <w:rPr>
                <w:b/>
              </w:rPr>
              <w:t xml:space="preserve">Naam </w:t>
            </w:r>
            <w:r>
              <w:rPr>
                <w:b/>
              </w:rPr>
              <w:t>attribuut</w:t>
            </w:r>
          </w:p>
        </w:tc>
        <w:tc>
          <w:tcPr>
            <w:tcW w:w="4691" w:type="dxa"/>
            <w:vAlign w:val="center"/>
            <w:hideMark/>
          </w:tcPr>
          <w:p w14:paraId="1A48ED58" w14:textId="77777777" w:rsidR="00051DA4" w:rsidRPr="00633293" w:rsidRDefault="00051DA4" w:rsidP="00716507">
            <w:pPr>
              <w:pStyle w:val="Plattetekst"/>
              <w:widowControl w:val="0"/>
              <w:spacing w:after="0"/>
            </w:pPr>
            <w:r>
              <w:t>methode positiebepaling bovenkant buis</w:t>
            </w:r>
            <w:r w:rsidRPr="00633293">
              <w:t xml:space="preserve">    </w:t>
            </w:r>
          </w:p>
        </w:tc>
      </w:tr>
      <w:tr w:rsidR="00051DA4" w:rsidRPr="00633293" w14:paraId="2E6C6FD7" w14:textId="77777777" w:rsidTr="00716507">
        <w:trPr>
          <w:tblCellSpacing w:w="15" w:type="dxa"/>
        </w:trPr>
        <w:tc>
          <w:tcPr>
            <w:tcW w:w="2635" w:type="dxa"/>
            <w:hideMark/>
          </w:tcPr>
          <w:p w14:paraId="186F9338" w14:textId="77777777" w:rsidR="00051DA4" w:rsidRPr="00173643" w:rsidRDefault="00051DA4" w:rsidP="00716507">
            <w:pPr>
              <w:pStyle w:val="Plattetekst"/>
              <w:widowControl w:val="0"/>
              <w:spacing w:after="0"/>
            </w:pPr>
            <w:r w:rsidRPr="00173643">
              <w:t xml:space="preserve">Regels </w:t>
            </w:r>
          </w:p>
        </w:tc>
        <w:tc>
          <w:tcPr>
            <w:tcW w:w="4691" w:type="dxa"/>
            <w:vAlign w:val="center"/>
            <w:hideMark/>
          </w:tcPr>
          <w:p w14:paraId="0B6F8292" w14:textId="77777777" w:rsidR="00051DA4" w:rsidRPr="009013DC" w:rsidRDefault="00051DA4" w:rsidP="00716507">
            <w:pPr>
              <w:pStyle w:val="Plattetekst"/>
              <w:spacing w:after="0"/>
            </w:pPr>
            <w:r w:rsidRPr="009013DC">
              <w:t xml:space="preserve">De waarde van het gegeven mag gelijk zijn </w:t>
            </w:r>
            <w:r w:rsidRPr="000F06AC">
              <w:rPr>
                <w:strike/>
              </w:rPr>
              <w:t>de</w:t>
            </w:r>
            <w:r w:rsidRPr="009013DC">
              <w:t xml:space="preserve"> </w:t>
            </w:r>
            <w:r w:rsidR="003C132D">
              <w:t xml:space="preserve">aan </w:t>
            </w:r>
            <w:r w:rsidRPr="009013DC">
              <w:t>de actuele waarde in de registratie ondergrond.</w:t>
            </w:r>
          </w:p>
          <w:p w14:paraId="4FF0C97E" w14:textId="77777777" w:rsidR="00051DA4" w:rsidRDefault="00051DA4" w:rsidP="00716507">
            <w:pPr>
              <w:pStyle w:val="Plattetekst"/>
              <w:widowControl w:val="0"/>
              <w:spacing w:after="0"/>
            </w:pPr>
            <w:r w:rsidRPr="009013DC">
              <w:t>De waarde ‘afgeleid</w:t>
            </w:r>
            <w:r>
              <w:t>S</w:t>
            </w:r>
            <w:r w:rsidRPr="009013DC">
              <w:t>bl’ mag niet aangeleverd worden</w:t>
            </w:r>
          </w:p>
          <w:p w14:paraId="636ED84A" w14:textId="77777777" w:rsidR="00051DA4" w:rsidRPr="009013DC" w:rsidRDefault="00051DA4" w:rsidP="00716507">
            <w:pPr>
              <w:pStyle w:val="Plattetekst"/>
              <w:widowControl w:val="0"/>
              <w:spacing w:after="0"/>
            </w:pPr>
          </w:p>
        </w:tc>
      </w:tr>
    </w:tbl>
    <w:p w14:paraId="110B6699" w14:textId="77777777" w:rsidR="00051DA4" w:rsidRDefault="00051DA4" w:rsidP="00051DA4">
      <w:pPr>
        <w:pStyle w:val="Plattetekst"/>
        <w:keepNext/>
        <w:spacing w:after="0"/>
      </w:pPr>
      <w:r>
        <w:t>De volgende gegevens worden door de BRO afgeleid:</w:t>
      </w:r>
    </w:p>
    <w:p w14:paraId="7D6BA6BD" w14:textId="77777777" w:rsidR="00051DA4" w:rsidRDefault="00051DA4" w:rsidP="00051DA4">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051DA4" w:rsidRPr="00802320" w14:paraId="79547841" w14:textId="77777777" w:rsidTr="00716507">
        <w:trPr>
          <w:tblCellSpacing w:w="15" w:type="dxa"/>
        </w:trPr>
        <w:tc>
          <w:tcPr>
            <w:tcW w:w="2719" w:type="dxa"/>
            <w:hideMark/>
          </w:tcPr>
          <w:p w14:paraId="25E8927A" w14:textId="77777777" w:rsidR="00051DA4" w:rsidRPr="00802320" w:rsidRDefault="00051DA4" w:rsidP="00716507">
            <w:pPr>
              <w:rPr>
                <w:rFonts w:cs="Arial"/>
                <w:b/>
                <w:color w:val="000000"/>
              </w:rPr>
            </w:pPr>
            <w:r w:rsidRPr="00802320">
              <w:rPr>
                <w:rFonts w:cs="Arial"/>
                <w:b/>
                <w:color w:val="000000"/>
              </w:rPr>
              <w:t>Naam attribuut</w:t>
            </w:r>
          </w:p>
        </w:tc>
        <w:tc>
          <w:tcPr>
            <w:tcW w:w="5766" w:type="dxa"/>
            <w:vAlign w:val="center"/>
            <w:hideMark/>
          </w:tcPr>
          <w:p w14:paraId="664828DC" w14:textId="77777777" w:rsidR="00051DA4" w:rsidRPr="00802320" w:rsidRDefault="00051DA4" w:rsidP="00716507">
            <w:pPr>
              <w:rPr>
                <w:rFonts w:cs="Arial"/>
                <w:color w:val="000000"/>
              </w:rPr>
            </w:pPr>
            <w:r>
              <w:rPr>
                <w:rFonts w:cs="Arial"/>
                <w:color w:val="000000"/>
              </w:rPr>
              <w:t>positie bovenkant filter</w:t>
            </w:r>
            <w:r w:rsidRPr="00802320">
              <w:rPr>
                <w:rFonts w:cs="Arial"/>
                <w:color w:val="000000"/>
              </w:rPr>
              <w:t xml:space="preserve">    </w:t>
            </w:r>
          </w:p>
        </w:tc>
      </w:tr>
      <w:tr w:rsidR="00051DA4" w:rsidRPr="008128A7" w14:paraId="7902B6CD" w14:textId="77777777" w:rsidTr="00716507">
        <w:trPr>
          <w:tblCellSpacing w:w="15" w:type="dxa"/>
        </w:trPr>
        <w:tc>
          <w:tcPr>
            <w:tcW w:w="2719" w:type="dxa"/>
            <w:hideMark/>
          </w:tcPr>
          <w:p w14:paraId="38964AE0" w14:textId="77777777" w:rsidR="00051DA4" w:rsidRPr="008128A7" w:rsidRDefault="00051DA4" w:rsidP="00716507">
            <w:pPr>
              <w:rPr>
                <w:rFonts w:cs="Arial"/>
                <w:color w:val="000000"/>
              </w:rPr>
            </w:pPr>
            <w:r w:rsidRPr="008128A7">
              <w:rPr>
                <w:rFonts w:cs="Arial"/>
                <w:color w:val="000000"/>
              </w:rPr>
              <w:t xml:space="preserve">Transformatieregel </w:t>
            </w:r>
          </w:p>
        </w:tc>
        <w:tc>
          <w:tcPr>
            <w:tcW w:w="5766" w:type="dxa"/>
            <w:vAlign w:val="center"/>
            <w:hideMark/>
          </w:tcPr>
          <w:p w14:paraId="78C3578D" w14:textId="77777777" w:rsidR="00051DA4" w:rsidRPr="00B158BC" w:rsidRDefault="00051DA4" w:rsidP="00716507">
            <w:pPr>
              <w:rPr>
                <w:rFonts w:cs="Arial"/>
                <w:i/>
                <w:color w:val="000000"/>
              </w:rPr>
            </w:pPr>
            <w:r w:rsidRPr="00B158BC">
              <w:rPr>
                <w:i/>
                <w:sz w:val="18"/>
              </w:rPr>
              <w:t>{positie bovenkant buis} – {lengte stijgbuisdeel}</w:t>
            </w:r>
          </w:p>
        </w:tc>
      </w:tr>
    </w:tbl>
    <w:p w14:paraId="782BDCF7" w14:textId="77777777" w:rsidR="00051DA4" w:rsidRPr="008128A7" w:rsidRDefault="00051DA4" w:rsidP="00051DA4">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051DA4" w:rsidRPr="008128A7" w14:paraId="7EAA2FC5" w14:textId="77777777" w:rsidTr="00716507">
        <w:trPr>
          <w:tblCellSpacing w:w="15" w:type="dxa"/>
        </w:trPr>
        <w:tc>
          <w:tcPr>
            <w:tcW w:w="2719" w:type="dxa"/>
            <w:hideMark/>
          </w:tcPr>
          <w:p w14:paraId="45C8F1BB" w14:textId="77777777" w:rsidR="00051DA4" w:rsidRPr="008128A7" w:rsidRDefault="00051DA4" w:rsidP="00716507">
            <w:pPr>
              <w:rPr>
                <w:rFonts w:cs="Arial"/>
                <w:b/>
                <w:color w:val="000000"/>
              </w:rPr>
            </w:pPr>
            <w:r w:rsidRPr="008128A7">
              <w:rPr>
                <w:rFonts w:cs="Arial"/>
                <w:b/>
                <w:color w:val="000000"/>
              </w:rPr>
              <w:t>Naam attribuut</w:t>
            </w:r>
          </w:p>
        </w:tc>
        <w:tc>
          <w:tcPr>
            <w:tcW w:w="5766" w:type="dxa"/>
            <w:vAlign w:val="center"/>
            <w:hideMark/>
          </w:tcPr>
          <w:p w14:paraId="48EE7278" w14:textId="77777777" w:rsidR="00051DA4" w:rsidRPr="008128A7" w:rsidRDefault="00051DA4" w:rsidP="00716507">
            <w:pPr>
              <w:rPr>
                <w:rFonts w:cs="Arial"/>
                <w:color w:val="000000"/>
              </w:rPr>
            </w:pPr>
            <w:r w:rsidRPr="008128A7">
              <w:rPr>
                <w:rFonts w:cs="Arial"/>
                <w:color w:val="000000"/>
              </w:rPr>
              <w:t xml:space="preserve">positie onderkant filter    </w:t>
            </w:r>
          </w:p>
        </w:tc>
      </w:tr>
      <w:tr w:rsidR="00051DA4" w:rsidRPr="008128A7" w14:paraId="1C419643" w14:textId="77777777" w:rsidTr="00716507">
        <w:trPr>
          <w:tblCellSpacing w:w="15" w:type="dxa"/>
        </w:trPr>
        <w:tc>
          <w:tcPr>
            <w:tcW w:w="2719" w:type="dxa"/>
            <w:hideMark/>
          </w:tcPr>
          <w:p w14:paraId="61F79206" w14:textId="77777777" w:rsidR="00051DA4" w:rsidRPr="008128A7" w:rsidRDefault="00051DA4" w:rsidP="00716507">
            <w:pPr>
              <w:rPr>
                <w:rFonts w:cs="Arial"/>
                <w:color w:val="000000"/>
              </w:rPr>
            </w:pPr>
            <w:r w:rsidRPr="008128A7">
              <w:rPr>
                <w:rFonts w:cs="Arial"/>
                <w:color w:val="000000"/>
              </w:rPr>
              <w:t xml:space="preserve">Transformatieregel </w:t>
            </w:r>
          </w:p>
        </w:tc>
        <w:tc>
          <w:tcPr>
            <w:tcW w:w="5766" w:type="dxa"/>
            <w:vAlign w:val="center"/>
            <w:hideMark/>
          </w:tcPr>
          <w:p w14:paraId="71A9DAF3" w14:textId="77777777" w:rsidR="00051DA4" w:rsidRPr="00B158BC" w:rsidRDefault="00051DA4" w:rsidP="00716507">
            <w:pPr>
              <w:rPr>
                <w:rFonts w:cs="Arial"/>
                <w:i/>
                <w:color w:val="000000"/>
              </w:rPr>
            </w:pPr>
            <w:r w:rsidRPr="00B158BC">
              <w:rPr>
                <w:i/>
                <w:sz w:val="18"/>
              </w:rPr>
              <w:t>{positie bovenkant buis} – {lengte stijgbuisdeel} – {lengte filterdeel}</w:t>
            </w:r>
          </w:p>
        </w:tc>
      </w:tr>
    </w:tbl>
    <w:p w14:paraId="1B2E5718" w14:textId="77777777" w:rsidR="00051DA4" w:rsidRPr="008128A7" w:rsidRDefault="00051DA4" w:rsidP="00051DA4">
      <w:pPr>
        <w:pStyle w:val="Plattetekst"/>
        <w:keepNext/>
        <w:spacing w:after="0"/>
      </w:pPr>
    </w:p>
    <w:tbl>
      <w:tblPr>
        <w:tblW w:w="8575" w:type="dxa"/>
        <w:tblCellSpacing w:w="15" w:type="dxa"/>
        <w:tblInd w:w="-25" w:type="dxa"/>
        <w:tblCellMar>
          <w:top w:w="15" w:type="dxa"/>
          <w:left w:w="15" w:type="dxa"/>
          <w:bottom w:w="15" w:type="dxa"/>
          <w:right w:w="15" w:type="dxa"/>
        </w:tblCellMar>
        <w:tblLook w:val="04A0" w:firstRow="1" w:lastRow="0" w:firstColumn="1" w:lastColumn="0" w:noHBand="0" w:noVBand="1"/>
      </w:tblPr>
      <w:tblGrid>
        <w:gridCol w:w="2764"/>
        <w:gridCol w:w="5811"/>
      </w:tblGrid>
      <w:tr w:rsidR="00051DA4" w:rsidRPr="00C96818" w14:paraId="4694B87D" w14:textId="77777777" w:rsidTr="00716507">
        <w:trPr>
          <w:tblCellSpacing w:w="15" w:type="dxa"/>
        </w:trPr>
        <w:tc>
          <w:tcPr>
            <w:tcW w:w="2719" w:type="dxa"/>
            <w:hideMark/>
          </w:tcPr>
          <w:p w14:paraId="5BCFE386" w14:textId="77777777" w:rsidR="00051DA4" w:rsidRPr="00C96818" w:rsidRDefault="00051DA4" w:rsidP="00716507">
            <w:pPr>
              <w:rPr>
                <w:rFonts w:cs="Arial"/>
                <w:b/>
                <w:color w:val="000000"/>
              </w:rPr>
            </w:pPr>
            <w:r w:rsidRPr="00C96818">
              <w:rPr>
                <w:rFonts w:cs="Arial"/>
                <w:b/>
                <w:color w:val="000000"/>
              </w:rPr>
              <w:t>Naam attribuut</w:t>
            </w:r>
          </w:p>
        </w:tc>
        <w:tc>
          <w:tcPr>
            <w:tcW w:w="5766" w:type="dxa"/>
            <w:vAlign w:val="center"/>
            <w:hideMark/>
          </w:tcPr>
          <w:p w14:paraId="5158612C" w14:textId="77777777" w:rsidR="00051DA4" w:rsidRPr="00C96818" w:rsidRDefault="00051DA4" w:rsidP="00716507">
            <w:pPr>
              <w:rPr>
                <w:rFonts w:cs="Arial"/>
                <w:color w:val="000000"/>
              </w:rPr>
            </w:pPr>
            <w:r w:rsidRPr="00C96818">
              <w:rPr>
                <w:rFonts w:cs="Arial"/>
                <w:color w:val="000000"/>
              </w:rPr>
              <w:t xml:space="preserve">elektrodepositie </w:t>
            </w:r>
          </w:p>
        </w:tc>
      </w:tr>
      <w:tr w:rsidR="00051DA4" w:rsidRPr="00C96818" w14:paraId="0506E7E2" w14:textId="77777777" w:rsidTr="00716507">
        <w:trPr>
          <w:tblCellSpacing w:w="15" w:type="dxa"/>
        </w:trPr>
        <w:tc>
          <w:tcPr>
            <w:tcW w:w="2719" w:type="dxa"/>
            <w:hideMark/>
          </w:tcPr>
          <w:p w14:paraId="527675A4" w14:textId="77777777" w:rsidR="00051DA4" w:rsidRPr="00C96818" w:rsidRDefault="00051DA4" w:rsidP="00716507">
            <w:pPr>
              <w:rPr>
                <w:rFonts w:cs="Arial"/>
                <w:color w:val="000000"/>
              </w:rPr>
            </w:pPr>
            <w:r w:rsidRPr="00C96818">
              <w:rPr>
                <w:rFonts w:cs="Arial"/>
                <w:color w:val="000000"/>
              </w:rPr>
              <w:t xml:space="preserve">Transformatieregel </w:t>
            </w:r>
          </w:p>
        </w:tc>
        <w:tc>
          <w:tcPr>
            <w:tcW w:w="5766" w:type="dxa"/>
            <w:vAlign w:val="center"/>
            <w:hideMark/>
          </w:tcPr>
          <w:p w14:paraId="258BF370" w14:textId="77777777" w:rsidR="00051DA4" w:rsidRPr="00B158BC" w:rsidRDefault="00051DA4" w:rsidP="00716507">
            <w:pPr>
              <w:rPr>
                <w:rFonts w:cs="Arial"/>
                <w:i/>
                <w:color w:val="000000"/>
              </w:rPr>
            </w:pPr>
            <w:r w:rsidRPr="00B158BC">
              <w:rPr>
                <w:i/>
                <w:sz w:val="18"/>
              </w:rPr>
              <w:t>{actuele elektrodepositie}  - [ {actuele positie bovenkant buis} – {positie bovenkant buis} ]</w:t>
            </w:r>
          </w:p>
        </w:tc>
      </w:tr>
    </w:tbl>
    <w:p w14:paraId="74FA748F" w14:textId="77777777" w:rsidR="00051DA4" w:rsidRPr="00F819BB" w:rsidRDefault="00051DA4" w:rsidP="00051DA4">
      <w:pPr>
        <w:pStyle w:val="Plattetekst"/>
      </w:pPr>
    </w:p>
    <w:p w14:paraId="47567946" w14:textId="75844789" w:rsidR="00051DA4" w:rsidRDefault="003562B3" w:rsidP="00051DA4">
      <w:pPr>
        <w:rPr>
          <w:b/>
          <w:bCs/>
        </w:rPr>
      </w:pPr>
      <w:r w:rsidRPr="00630E2F">
        <w:rPr>
          <w:b/>
          <w:bCs/>
        </w:rPr>
        <w:t>Verduidelijken natuurlijk proces en bijbehorende gebeurtenissen</w:t>
      </w:r>
    </w:p>
    <w:p w14:paraId="7D6F45B5" w14:textId="579BEF07" w:rsidR="003562B3" w:rsidRPr="00630E2F" w:rsidRDefault="003562B3" w:rsidP="00051DA4">
      <w:r w:rsidRPr="00630E2F">
        <w:rPr>
          <w:highlight w:val="yellow"/>
        </w:rPr>
        <w:t>…</w:t>
      </w:r>
    </w:p>
    <w:p w14:paraId="41EEB423" w14:textId="77777777" w:rsidR="003562B3" w:rsidRDefault="003562B3" w:rsidP="00E87A53">
      <w:pPr>
        <w:rPr>
          <w:b/>
          <w:bCs/>
        </w:rPr>
      </w:pPr>
    </w:p>
    <w:p w14:paraId="5B775ED9" w14:textId="386EAF44" w:rsidR="00E87A53" w:rsidRPr="00E87A53" w:rsidRDefault="00E87A53" w:rsidP="00E87A53">
      <w:pPr>
        <w:rPr>
          <w:b/>
          <w:bCs/>
        </w:rPr>
      </w:pPr>
      <w:r>
        <w:rPr>
          <w:b/>
          <w:bCs/>
        </w:rPr>
        <w:t xml:space="preserve">Gebeurtenis </w:t>
      </w:r>
      <w:r w:rsidR="003C132D">
        <w:rPr>
          <w:b/>
          <w:bCs/>
        </w:rPr>
        <w:t>”inmeten</w:t>
      </w:r>
      <w:r w:rsidR="000F334C">
        <w:rPr>
          <w:b/>
          <w:bCs/>
        </w:rPr>
        <w:t>M</w:t>
      </w:r>
      <w:r w:rsidR="002A3CF8">
        <w:rPr>
          <w:b/>
          <w:bCs/>
        </w:rPr>
        <w:t>aaiveld</w:t>
      </w:r>
      <w:r w:rsidR="003C132D">
        <w:rPr>
          <w:b/>
          <w:bCs/>
        </w:rPr>
        <w:t>”</w:t>
      </w:r>
    </w:p>
    <w:p w14:paraId="0BDD7CE6" w14:textId="6FF8439E" w:rsidR="00621336" w:rsidRDefault="000F06AC" w:rsidP="00E87A53">
      <w:r>
        <w:t xml:space="preserve">Een bronhouder doet </w:t>
      </w:r>
      <w:r w:rsidR="00621336">
        <w:t xml:space="preserve">met regelmaat </w:t>
      </w:r>
      <w:r>
        <w:t xml:space="preserve"> meetronde</w:t>
      </w:r>
      <w:r w:rsidR="00621336">
        <w:t>s. De bronhouder wil alle gegevens uit een meetronde aanleveren aan de BRO. Wanneer gegevens uit een meetronde niet passen onder de overige 11 gebeurtenissen dan blijft deze gebeurtenis over als “rest optie”</w:t>
      </w:r>
      <w:r w:rsidR="002A3CF8">
        <w:t xml:space="preserve"> wanneer alleen de maaiveldpositie opnieuw is gemeten</w:t>
      </w:r>
      <w:r w:rsidR="00621336">
        <w:t xml:space="preserve">. </w:t>
      </w:r>
      <w:r>
        <w:t xml:space="preserve"> </w:t>
      </w:r>
      <w:r w:rsidR="00621336">
        <w:t xml:space="preserve"> De verwachting is dat voornamelijk de volgende twee gevallen hieronder vallen:</w:t>
      </w:r>
    </w:p>
    <w:p w14:paraId="35A03D2F" w14:textId="2246E97B" w:rsidR="00621336" w:rsidRDefault="000F06AC" w:rsidP="00DB5FB9">
      <w:pPr>
        <w:pStyle w:val="Lijstalinea"/>
        <w:numPr>
          <w:ilvl w:val="0"/>
          <w:numId w:val="19"/>
        </w:numPr>
      </w:pPr>
      <w:r>
        <w:t>De bronhouder wil altijd de laatste meetwaarde</w:t>
      </w:r>
      <w:r w:rsidR="002A3CF8">
        <w:t xml:space="preserve"> van de maaiveldpositie</w:t>
      </w:r>
      <w:r>
        <w:t xml:space="preserve"> in de BRO hebben zelfs als deze gelijk is aan de vorige waarde</w:t>
      </w:r>
    </w:p>
    <w:p w14:paraId="0D7EA4AB" w14:textId="6CFC3A28" w:rsidR="00E87A53" w:rsidRDefault="000F06AC" w:rsidP="00DB5FB9">
      <w:pPr>
        <w:pStyle w:val="Lijstalinea"/>
        <w:numPr>
          <w:ilvl w:val="0"/>
          <w:numId w:val="19"/>
        </w:numPr>
      </w:pPr>
      <w:r>
        <w:t xml:space="preserve"> </w:t>
      </w:r>
      <w:r w:rsidR="00621336">
        <w:t xml:space="preserve">Een meetwaarde </w:t>
      </w:r>
      <w:r w:rsidR="002A3CF8">
        <w:t xml:space="preserve">van de maaiveldpositie </w:t>
      </w:r>
      <w:r>
        <w:t>binnen de meetfout valt ten opzichte van de vorige aangeleverde waarde.</w:t>
      </w:r>
      <w:r w:rsidR="00621336">
        <w:t xml:space="preserve"> Maar de bronhouder wil nog steeds de laatste waarde aanleveren.</w:t>
      </w:r>
    </w:p>
    <w:p w14:paraId="234FFAB5" w14:textId="475848FE" w:rsidR="0044293D" w:rsidRDefault="0044293D" w:rsidP="0044293D">
      <w:r>
        <w:t>Deze gebeurtenis is alleen te gebruiken wanneer gegevens uit een meetronde niet onder de bestaande gebeurtenis nieuwe bepaling maaiveld zijn aan te leveren</w:t>
      </w:r>
    </w:p>
    <w:p w14:paraId="1EBFFB5E" w14:textId="77777777" w:rsidR="002A3CF8" w:rsidRDefault="002A3CF8" w:rsidP="002A3CF8">
      <w:pPr>
        <w:rPr>
          <w:b/>
          <w:bCs/>
        </w:rPr>
      </w:pPr>
    </w:p>
    <w:p w14:paraId="7FE7EDC3" w14:textId="2066B55C" w:rsidR="002A3CF8" w:rsidRPr="00E87A53" w:rsidRDefault="002A3CF8" w:rsidP="002A3CF8">
      <w:pPr>
        <w:rPr>
          <w:b/>
          <w:bCs/>
        </w:rPr>
      </w:pPr>
      <w:r>
        <w:rPr>
          <w:b/>
          <w:bCs/>
        </w:rPr>
        <w:t>Gebeurtenis ”inmeten</w:t>
      </w:r>
      <w:r w:rsidR="000F334C">
        <w:rPr>
          <w:b/>
          <w:bCs/>
        </w:rPr>
        <w:t>P</w:t>
      </w:r>
      <w:bookmarkStart w:id="3" w:name="_GoBack"/>
      <w:bookmarkEnd w:id="3"/>
      <w:r>
        <w:rPr>
          <w:b/>
          <w:bCs/>
        </w:rPr>
        <w:t>osities”</w:t>
      </w:r>
    </w:p>
    <w:p w14:paraId="7F99515D" w14:textId="212E8AD1" w:rsidR="002A3CF8" w:rsidRDefault="002A3CF8" w:rsidP="002A3CF8">
      <w:r>
        <w:t xml:space="preserve">Een bronhouder doet met regelmaat  meetrondes. De bronhouder wil alle gegevens uit een meetronde aanleveren aan de BRO. Wanneer gegevens uit een meetronde niet passen onder de overige 11 gebeurtenissen dan blijft deze gebeurtenis over als “rest optie” wanneer de hoogte bovenkantbuis opnieuw is gemeten en </w:t>
      </w:r>
      <w:r>
        <w:lastRenderedPageBreak/>
        <w:t>optioneel ook de maaiveldpositie.   De verwachting is dat voornamelijk de volgende twee gevallen hieronder vallen:</w:t>
      </w:r>
    </w:p>
    <w:p w14:paraId="37D362FC" w14:textId="11902648" w:rsidR="002A3CF8" w:rsidRDefault="002A3CF8" w:rsidP="00DB5FB9">
      <w:pPr>
        <w:pStyle w:val="Lijstalinea"/>
        <w:numPr>
          <w:ilvl w:val="0"/>
          <w:numId w:val="20"/>
        </w:numPr>
      </w:pPr>
      <w:r>
        <w:t>De bronhouder wil altijd de laatste meetwaarde in de BRO hebben zelfs als deze gelijk is aan de vorige waarde</w:t>
      </w:r>
    </w:p>
    <w:p w14:paraId="43891D50" w14:textId="7FD35362" w:rsidR="002A3CF8" w:rsidRDefault="002A3CF8" w:rsidP="00DB5FB9">
      <w:pPr>
        <w:pStyle w:val="Lijstalinea"/>
        <w:numPr>
          <w:ilvl w:val="0"/>
          <w:numId w:val="20"/>
        </w:numPr>
      </w:pPr>
      <w:r>
        <w:t xml:space="preserve"> Een meetwaarde valt binnen de meetfout valt opzichte van de vorige aangeleverde waarde. Maar de bronhouder wil nog steeds de laatste waarde aanleveren.</w:t>
      </w:r>
    </w:p>
    <w:p w14:paraId="767838FC" w14:textId="6FBA5717" w:rsidR="002A3CF8" w:rsidRDefault="002A3CF8" w:rsidP="002A3CF8">
      <w:r>
        <w:t>Daarmee is deze gebeurteni</w:t>
      </w:r>
      <w:r w:rsidR="0044293D">
        <w:t>s alleen een alternatief wanneer gegevens uit een meetronde niet met de bestaande gebeurtenis nieuwe beapling posities kan worden aangeleverd.</w:t>
      </w:r>
    </w:p>
    <w:p w14:paraId="4E7FF4EF" w14:textId="7615C754" w:rsidR="000F06AC" w:rsidRDefault="000F06AC" w:rsidP="00E87A53"/>
    <w:p w14:paraId="6CB46DAA" w14:textId="77777777" w:rsidR="00630E2F" w:rsidRDefault="00630E2F" w:rsidP="00E87A53">
      <w:pPr>
        <w:rPr>
          <w:b/>
          <w:bCs/>
        </w:rPr>
      </w:pPr>
    </w:p>
    <w:p w14:paraId="1DE4533C" w14:textId="535B32B0" w:rsidR="000F06AC" w:rsidRPr="000F06AC" w:rsidRDefault="000F06AC" w:rsidP="00E87A53">
      <w:pPr>
        <w:rPr>
          <w:b/>
          <w:bCs/>
        </w:rPr>
      </w:pPr>
      <w:r>
        <w:rPr>
          <w:b/>
          <w:bCs/>
        </w:rPr>
        <w:t>Volgende versie catalogus</w:t>
      </w:r>
    </w:p>
    <w:p w14:paraId="5B59F98A" w14:textId="557487B5" w:rsidR="004A4B7F" w:rsidRDefault="000F06AC" w:rsidP="00E87A53">
      <w:r>
        <w:t>In de volgende versie van de catalogus</w:t>
      </w:r>
      <w:r w:rsidR="00555A87">
        <w:t>(en afgeleid de bijbehorende berichtencatalogus)</w:t>
      </w:r>
      <w:r>
        <w:t xml:space="preserve"> wordt de gebeurtenis </w:t>
      </w:r>
      <w:r w:rsidR="00630E2F">
        <w:t>nieuwe gebeurtenissen</w:t>
      </w:r>
      <w:r w:rsidR="003C132D">
        <w:t xml:space="preserve"> </w:t>
      </w:r>
      <w:r>
        <w:t xml:space="preserve">opgenomen, daarnaast wordt de catalogus mogelijk nog uitgebreid met gegevens om voor de eindgebruiker duidelijker te maken dat </w:t>
      </w:r>
      <w:r w:rsidR="003C132D">
        <w:t xml:space="preserve">ingemeten hoogtegegevens van </w:t>
      </w:r>
      <w:r>
        <w:t xml:space="preserve">stabiele maaivelden en buizen toch kunnen veranderen door bijvoorbeeld aan te geven dat deze binnen de meetfout </w:t>
      </w:r>
      <w:r w:rsidR="003C132D">
        <w:t>kunnen liggen</w:t>
      </w:r>
      <w:r>
        <w:t xml:space="preserve"> ten opzichte van de vorige meting.</w:t>
      </w:r>
    </w:p>
    <w:p w14:paraId="124D5829" w14:textId="77777777" w:rsidR="00555A87" w:rsidRPr="000F06AC" w:rsidRDefault="00555A87" w:rsidP="00E87A53"/>
    <w:p w14:paraId="25C70DAF" w14:textId="77777777" w:rsidR="004A4B7F" w:rsidRDefault="004A4B7F" w:rsidP="004A4B7F">
      <w:pPr>
        <w:pStyle w:val="Kop2"/>
      </w:pPr>
      <w:r>
        <w:t>Toelichting</w:t>
      </w:r>
    </w:p>
    <w:p w14:paraId="6064B14A" w14:textId="5BD24C54" w:rsidR="004A4B7F" w:rsidRPr="007729C6" w:rsidRDefault="00E87A53" w:rsidP="004A4B7F">
      <w:r>
        <w:t>De regel dat bij een stabiele put/maaiveld geen positie verandering mag worden doorgegeven staat niet expliciet in de Catalogus. Hij staat in de innamespecificatie (document zonder juridische status) en is impliciet afgeleid uit de 11 gebeurtenissen die verandering in de materiële geschiedenis verklaren. Vandaar dat het belangrijk is een gebeurtenis toe te voegen die de verandering in materiële geschiedenis verklaar</w:t>
      </w:r>
      <w:r w:rsidR="003C132D">
        <w:t>t</w:t>
      </w:r>
      <w:r>
        <w:t>.</w:t>
      </w:r>
    </w:p>
    <w:p w14:paraId="11F23F00" w14:textId="77777777" w:rsidR="004A4B7F" w:rsidRDefault="004A4B7F" w:rsidP="004A4B7F">
      <w:pPr>
        <w:pStyle w:val="Kop2"/>
      </w:pPr>
      <w:r>
        <w:t>Aandachtspunten</w:t>
      </w:r>
    </w:p>
    <w:p w14:paraId="156791AF" w14:textId="77777777" w:rsidR="00E87A53" w:rsidRDefault="00E87A53" w:rsidP="00E87A53">
      <w:pPr>
        <w:spacing w:after="160" w:line="259" w:lineRule="auto"/>
      </w:pPr>
      <w:r>
        <w:t>Voordelen:</w:t>
      </w:r>
    </w:p>
    <w:p w14:paraId="414CA045" w14:textId="77777777" w:rsidR="00E87A53" w:rsidRDefault="00E87A53" w:rsidP="00E87A53">
      <w:pPr>
        <w:spacing w:after="160" w:line="259" w:lineRule="auto"/>
      </w:pPr>
      <w:r>
        <w:t>Bronhouder kan al zijn meetgegevens kwijt in de BRO</w:t>
      </w:r>
      <w:r w:rsidR="003C132D">
        <w:t>,</w:t>
      </w:r>
      <w:r>
        <w:t xml:space="preserve"> ook voor stabiele putten</w:t>
      </w:r>
      <w:r w:rsidR="003C132D">
        <w:t>.</w:t>
      </w:r>
    </w:p>
    <w:p w14:paraId="33AD4BA9" w14:textId="77777777" w:rsidR="00E87A53" w:rsidRDefault="00E87A53" w:rsidP="00E87A53">
      <w:pPr>
        <w:spacing w:after="160" w:line="259" w:lineRule="auto"/>
      </w:pPr>
      <w:r>
        <w:t>De bronhouder kan de BRO hergebruiken voor zijn werkprocessen</w:t>
      </w:r>
      <w:r w:rsidR="003C132D">
        <w:t>.</w:t>
      </w:r>
    </w:p>
    <w:p w14:paraId="1A3C6F02" w14:textId="2DC707A3" w:rsidR="00E87A53" w:rsidRDefault="00E87A53" w:rsidP="00E87A53">
      <w:pPr>
        <w:spacing w:after="160" w:line="259" w:lineRule="auto"/>
      </w:pPr>
      <w:r>
        <w:t>Toevoegen van een gebeurtenis zorgt dat de berichtencatalogus blijft afdwingen dat aanlevering (van een aanvulling) aan de BRO alleen gebeurt op basis van een goed beschreven gebeurtenis in de werkelijkheid. De functionaliteit van de BRO wordt niet “misbruikt” voor zaken waarvoor deze niet bedoel</w:t>
      </w:r>
      <w:r w:rsidR="003C132D">
        <w:t>d</w:t>
      </w:r>
      <w:r>
        <w:t xml:space="preserve"> is.</w:t>
      </w:r>
    </w:p>
    <w:p w14:paraId="1B7B66B0" w14:textId="77777777" w:rsidR="00E87A53" w:rsidRDefault="00E87A53" w:rsidP="00E87A53">
      <w:pPr>
        <w:spacing w:after="160" w:line="259" w:lineRule="auto"/>
      </w:pPr>
    </w:p>
    <w:p w14:paraId="681F21F0" w14:textId="77777777" w:rsidR="00E87A53" w:rsidRDefault="00E87A53" w:rsidP="00E87A53">
      <w:pPr>
        <w:spacing w:after="160" w:line="259" w:lineRule="auto"/>
      </w:pPr>
      <w:r>
        <w:t>Nadelen:</w:t>
      </w:r>
    </w:p>
    <w:p w14:paraId="0D65D047" w14:textId="75C1B633" w:rsidR="004A4B7F" w:rsidRDefault="00E87A53" w:rsidP="00E87A53">
      <w:pPr>
        <w:spacing w:after="160" w:line="259" w:lineRule="auto"/>
      </w:pPr>
      <w:r>
        <w:t xml:space="preserve">Toevoegen van een gebeurtenis is meer dan het beter uitleggen van de catalogus. Deze gebeurtenis is nooit besproken </w:t>
      </w:r>
      <w:r w:rsidR="003C132D">
        <w:t>in het</w:t>
      </w:r>
      <w:r w:rsidR="00630E2F">
        <w:t xml:space="preserve"> </w:t>
      </w:r>
      <w:r>
        <w:t>oorspronkelijk standaardisatie traject. Er is bij het modelleren van attributen voor positie geen rekening mee gehouden (anders was mogelijk extra informatie bij de meetwaarde toegevoegd). Hierdoor is het voor de afnemer in het gebruik van gegevens niet direct duidelijk waarom een stabiele put kan voorkomen</w:t>
      </w:r>
      <w:r w:rsidR="003C132D">
        <w:t xml:space="preserve"> </w:t>
      </w:r>
      <w:r>
        <w:t xml:space="preserve">met “veranderingen” in de positie(s) van put en/of maaiveld. Hij zal dit uit de werkafspraak moeten </w:t>
      </w:r>
      <w:r w:rsidR="003C132D">
        <w:t xml:space="preserve">begrijpen </w:t>
      </w:r>
      <w:r>
        <w:t>wanneer hij deze actief opzoekt.</w:t>
      </w:r>
    </w:p>
    <w:p w14:paraId="344A6410" w14:textId="3542F0ED" w:rsidR="00630E2F" w:rsidRDefault="00630E2F" w:rsidP="00630E2F">
      <w:r>
        <w:t>Let op vanuit het bericht inmeten posities worden een aantal andere gegevens ook automatisch afgeleid en aangepast te weten:</w:t>
      </w:r>
    </w:p>
    <w:p w14:paraId="24ED953A" w14:textId="77777777" w:rsidR="00630E2F" w:rsidRDefault="00630E2F" w:rsidP="00DB5FB9">
      <w:pPr>
        <w:pStyle w:val="Lijstalinea"/>
        <w:numPr>
          <w:ilvl w:val="0"/>
          <w:numId w:val="21"/>
        </w:numPr>
      </w:pPr>
      <w:r>
        <w:t>Positie bovenkant filter</w:t>
      </w:r>
    </w:p>
    <w:p w14:paraId="49829CA0" w14:textId="77777777" w:rsidR="00630E2F" w:rsidRDefault="00630E2F" w:rsidP="00DB5FB9">
      <w:pPr>
        <w:pStyle w:val="Lijstalinea"/>
        <w:numPr>
          <w:ilvl w:val="0"/>
          <w:numId w:val="21"/>
        </w:numPr>
      </w:pPr>
      <w:r>
        <w:t>Positie onderkant filter</w:t>
      </w:r>
    </w:p>
    <w:p w14:paraId="32BF75B3" w14:textId="77777777" w:rsidR="00630E2F" w:rsidRDefault="00630E2F" w:rsidP="00DB5FB9">
      <w:pPr>
        <w:pStyle w:val="Lijstalinea"/>
        <w:numPr>
          <w:ilvl w:val="0"/>
          <w:numId w:val="21"/>
        </w:numPr>
      </w:pPr>
      <w:r>
        <w:t>Elektrode positie</w:t>
      </w:r>
    </w:p>
    <w:p w14:paraId="15F3F057" w14:textId="7F8D9608" w:rsidR="004A4B7F" w:rsidRDefault="00630E2F" w:rsidP="00630E2F">
      <w:r>
        <w:t>Het “misbruiken” van dit bericht voor overige gebeurtenissen zoals oplengen en inkorten buis is dus niet verstandig aangezien dan bovengenoemde posities onbedoeld meebewegen.</w:t>
      </w:r>
    </w:p>
    <w:p w14:paraId="4A57E417" w14:textId="77777777" w:rsidR="004A4B7F" w:rsidRDefault="004A4B7F" w:rsidP="004A4B7F">
      <w:pPr>
        <w:pStyle w:val="Kop1"/>
      </w:pPr>
      <w:r>
        <w:lastRenderedPageBreak/>
        <w:t>Impact</w:t>
      </w:r>
    </w:p>
    <w:p w14:paraId="46E28910" w14:textId="3A4DA418" w:rsidR="00630E2F" w:rsidRPr="00630E2F" w:rsidRDefault="00E87A53" w:rsidP="00630E2F">
      <w:r>
        <w:t xml:space="preserve">Concept Addendum op de catalogus GMW met </w:t>
      </w:r>
      <w:r w:rsidR="00630E2F">
        <w:t>waarin de nieuwe gebeurtenissen</w:t>
      </w:r>
      <w:r>
        <w:t xml:space="preserve"> wordt vastgesteld.</w:t>
      </w:r>
    </w:p>
    <w:p w14:paraId="7BB11894" w14:textId="77777777" w:rsidR="00630E2F" w:rsidRPr="00630E2F" w:rsidRDefault="00630E2F" w:rsidP="00630E2F">
      <w:r>
        <w:t>Inname handboek en brondocumenten zullen op deze werkafspraak aangepast worden.</w:t>
      </w:r>
    </w:p>
    <w:p w14:paraId="398F907C" w14:textId="77777777" w:rsidR="00E87A53" w:rsidRDefault="00E87A53" w:rsidP="00E87A53"/>
    <w:p w14:paraId="53A6ACAD" w14:textId="77777777" w:rsidR="00E87A53" w:rsidRDefault="00E87A53" w:rsidP="00E87A53"/>
    <w:p w14:paraId="3C3B5B90" w14:textId="5FF0D49A" w:rsidR="00E87A53" w:rsidRDefault="00E87A53" w:rsidP="00E87A53">
      <w:r>
        <w:t xml:space="preserve">XSD voor GMW uitbreiden met </w:t>
      </w:r>
      <w:r w:rsidR="003C132D">
        <w:t>brondocument</w:t>
      </w:r>
      <w:r w:rsidR="00630E2F">
        <w:t>en gebaseerd op de nieuwe gebeurtenissen.</w:t>
      </w:r>
    </w:p>
    <w:p w14:paraId="4C3480AC" w14:textId="75149CCE" w:rsidR="00E87A53" w:rsidRDefault="00E87A53" w:rsidP="00E87A53">
      <w:r>
        <w:t xml:space="preserve">LV uitbreiden met </w:t>
      </w:r>
      <w:r w:rsidR="003C132D">
        <w:t xml:space="preserve">validatie en inname van </w:t>
      </w:r>
      <w:r>
        <w:t>bericht</w:t>
      </w:r>
      <w:r w:rsidR="003C132D">
        <w:t xml:space="preserve">en waarin </w:t>
      </w:r>
      <w:r w:rsidR="00630E2F">
        <w:t>de nieuwe</w:t>
      </w:r>
      <w:r w:rsidR="003C132D">
        <w:t xml:space="preserve"> brondocument</w:t>
      </w:r>
      <w:r w:rsidR="00630E2F">
        <w:t>en</w:t>
      </w:r>
      <w:r w:rsidR="003C132D">
        <w:t xml:space="preserve"> k</w:t>
      </w:r>
      <w:r w:rsidR="00630E2F">
        <w:t>unne</w:t>
      </w:r>
      <w:r w:rsidR="003C132D">
        <w:t>n worden meegegeven:</w:t>
      </w:r>
    </w:p>
    <w:p w14:paraId="15392CC4" w14:textId="77777777" w:rsidR="003C132D" w:rsidRDefault="003C132D" w:rsidP="00DB5FB9">
      <w:pPr>
        <w:pStyle w:val="Lijstalinea"/>
        <w:numPr>
          <w:ilvl w:val="0"/>
          <w:numId w:val="18"/>
        </w:numPr>
      </w:pPr>
      <w:r>
        <w:t>Registratieverzoek</w:t>
      </w:r>
    </w:p>
    <w:p w14:paraId="4D770C5B" w14:textId="77777777" w:rsidR="003C132D" w:rsidRDefault="00435A5B" w:rsidP="00DB5FB9">
      <w:pPr>
        <w:pStyle w:val="Lijstalinea"/>
        <w:numPr>
          <w:ilvl w:val="0"/>
          <w:numId w:val="18"/>
        </w:numPr>
      </w:pPr>
      <w:r>
        <w:t>4 verschillende ty</w:t>
      </w:r>
      <w:r w:rsidR="003C132D">
        <w:t>pes correctieverzoeken</w:t>
      </w:r>
    </w:p>
    <w:p w14:paraId="6B21DEE4" w14:textId="77777777" w:rsidR="003C132D" w:rsidRDefault="003C132D" w:rsidP="00DB5FB9">
      <w:pPr>
        <w:pStyle w:val="Lijstalinea"/>
        <w:numPr>
          <w:ilvl w:val="0"/>
          <w:numId w:val="18"/>
        </w:numPr>
      </w:pPr>
      <w:r>
        <w:t>Registratieverzoek putmetgeschiedenis</w:t>
      </w:r>
    </w:p>
    <w:p w14:paraId="0D70B6E2" w14:textId="77777777" w:rsidR="003C132D" w:rsidRDefault="003C132D" w:rsidP="00E87A53"/>
    <w:p w14:paraId="3824BEDD" w14:textId="351901BF" w:rsidR="00E87A53" w:rsidRDefault="00E87A53" w:rsidP="00E87A53">
      <w:r>
        <w:t xml:space="preserve">Bronhouderportaal configureren voor </w:t>
      </w:r>
      <w:r w:rsidR="003C132D">
        <w:t xml:space="preserve">de nieuwe </w:t>
      </w:r>
      <w:r>
        <w:t>bericht</w:t>
      </w:r>
      <w:r w:rsidR="003C132D">
        <w:t>en</w:t>
      </w:r>
      <w:r>
        <w:t xml:space="preserve"> </w:t>
      </w:r>
      <w:r w:rsidR="003C132D">
        <w:t xml:space="preserve">waarin </w:t>
      </w:r>
      <w:r w:rsidR="00630E2F">
        <w:t>de nieuwe</w:t>
      </w:r>
      <w:r w:rsidR="003C132D">
        <w:t xml:space="preserve"> brondocument</w:t>
      </w:r>
      <w:r w:rsidR="00630E2F">
        <w:t xml:space="preserve">en </w:t>
      </w:r>
      <w:r w:rsidR="003C132D">
        <w:t>k</w:t>
      </w:r>
      <w:r w:rsidR="00630E2F">
        <w:t>u</w:t>
      </w:r>
      <w:r w:rsidR="003C132D">
        <w:t>n</w:t>
      </w:r>
      <w:r w:rsidR="00630E2F">
        <w:t>nen</w:t>
      </w:r>
      <w:r w:rsidR="003C132D">
        <w:t xml:space="preserve"> worden meegegeven.</w:t>
      </w:r>
    </w:p>
    <w:p w14:paraId="74BAF80D" w14:textId="2BAE43E6" w:rsidR="00E87A53" w:rsidRDefault="00E87A53" w:rsidP="00E87A53">
      <w:r>
        <w:t xml:space="preserve">Eén of meer softwareleveranciers hun pakket laten uitbreiden met </w:t>
      </w:r>
      <w:r w:rsidR="00630E2F">
        <w:t>de nieuwe berichten</w:t>
      </w:r>
      <w:r w:rsidR="003C132D">
        <w:t>.</w:t>
      </w:r>
    </w:p>
    <w:p w14:paraId="1D9AB1AD" w14:textId="1B64C226" w:rsidR="004A4B7F" w:rsidRDefault="00E87A53" w:rsidP="004A4B7F">
      <w:r>
        <w:t xml:space="preserve">Ketentest houden met </w:t>
      </w:r>
      <w:r w:rsidR="00630E2F">
        <w:t xml:space="preserve">de </w:t>
      </w:r>
      <w:r>
        <w:t>bericht</w:t>
      </w:r>
      <w:r w:rsidR="003C132D">
        <w:t xml:space="preserve">en </w:t>
      </w:r>
      <w:r>
        <w:t xml:space="preserve"> </w:t>
      </w:r>
      <w:r w:rsidR="003C132D">
        <w:t xml:space="preserve">waarin </w:t>
      </w:r>
      <w:r w:rsidR="00630E2F">
        <w:t>de nieuwe</w:t>
      </w:r>
      <w:r w:rsidR="003C132D">
        <w:t xml:space="preserve"> brondocument k</w:t>
      </w:r>
      <w:r w:rsidR="00630E2F">
        <w:t>un</w:t>
      </w:r>
      <w:r w:rsidR="003C132D">
        <w:t>n</w:t>
      </w:r>
      <w:r w:rsidR="00630E2F">
        <w:t>en</w:t>
      </w:r>
      <w:r w:rsidR="003C132D">
        <w:t xml:space="preserve"> worden meegegeven. </w:t>
      </w:r>
    </w:p>
    <w:p w14:paraId="529EEBD3" w14:textId="77777777" w:rsidR="004A4B7F" w:rsidRDefault="004A4B7F" w:rsidP="004A4B7F">
      <w:pPr>
        <w:pStyle w:val="Kop1"/>
      </w:pPr>
      <w:r>
        <w:t>Registratie</w:t>
      </w:r>
    </w:p>
    <w:p w14:paraId="35C9DD69" w14:textId="77777777" w:rsidR="004A4B7F" w:rsidRDefault="004A4B7F" w:rsidP="003A0199">
      <w:r>
        <w:t xml:space="preserve">Issue aanmaken in de </w:t>
      </w:r>
      <w:r w:rsidR="007E4650">
        <w:t>G</w:t>
      </w:r>
      <w:r>
        <w:t xml:space="preserve">ithub van GMW </w:t>
      </w:r>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77777777" w:rsidR="004A4B7F" w:rsidRDefault="004A4B7F" w:rsidP="004A4B7F">
      <w:pPr>
        <w:pStyle w:val="Kop1"/>
      </w:pPr>
      <w:r>
        <w:t>Bijlage: belangrijke begrippen</w:t>
      </w:r>
    </w:p>
    <w:p w14:paraId="4A3364B7" w14:textId="77777777" w:rsidR="004A4B7F" w:rsidRDefault="004A4B7F" w:rsidP="004A4B7F"/>
    <w:sectPr w:rsidR="004A4B7F" w:rsidSect="0048274F">
      <w:headerReference w:type="default"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B3DF" w14:textId="77777777" w:rsidR="002B6C05" w:rsidRDefault="002B6C05" w:rsidP="00567F85">
      <w:pPr>
        <w:pStyle w:val="Koptekst"/>
      </w:pPr>
      <w:r>
        <w:separator/>
      </w:r>
    </w:p>
  </w:endnote>
  <w:endnote w:type="continuationSeparator" w:id="0">
    <w:p w14:paraId="51CC31DE" w14:textId="77777777" w:rsidR="002B6C05" w:rsidRDefault="002B6C0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10C6B" w14:textId="77777777" w:rsidR="002B6C05" w:rsidRDefault="002B6C05" w:rsidP="00567F85">
      <w:pPr>
        <w:pStyle w:val="Koptekst"/>
      </w:pPr>
      <w:r>
        <w:separator/>
      </w:r>
    </w:p>
  </w:footnote>
  <w:footnote w:type="continuationSeparator" w:id="0">
    <w:p w14:paraId="79F5C00A" w14:textId="77777777" w:rsidR="002B6C05" w:rsidRDefault="002B6C05"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C4B63"/>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B7290"/>
    <w:rsid w:val="008C79C7"/>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5EED"/>
    <w:rsid w:val="00EB7BA6"/>
    <w:rsid w:val="00EB7E16"/>
    <w:rsid w:val="00EE12D2"/>
    <w:rsid w:val="00EE4DF7"/>
    <w:rsid w:val="00F053FF"/>
    <w:rsid w:val="00F21411"/>
    <w:rsid w:val="00F27A21"/>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8D6A-7B03-4E71-9CB3-5FD5AB16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8</TotalTime>
  <Pages>6</Pages>
  <Words>1570</Words>
  <Characters>8640</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5</cp:revision>
  <cp:lastPrinted>2012-03-19T10:34:00Z</cp:lastPrinted>
  <dcterms:created xsi:type="dcterms:W3CDTF">2019-10-15T14:19:00Z</dcterms:created>
  <dcterms:modified xsi:type="dcterms:W3CDTF">2019-10-15T14:28:00Z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