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Security Guidelines</w:t>
      </w:r>
    </w:p>
    <w:p>
      <w:r>
        <w:t>Information security is critical to TechCorp Solutions' operations and reputation. These guidelines establish requirements for protecting company and client data from unauthorized access, disclosure, or modification.</w:t>
      </w:r>
    </w:p>
    <w:p>
      <w:r>
        <w:t>Access controls include unique user credentials, multi-factor authentication, and role-based permissions. Passwords must be complex and changed regularly. Shared accounts are prohibited.</w:t>
      </w:r>
    </w:p>
    <w:p>
      <w:r>
        <w:t>Data classification identifies information sensitivity levels: public, internal, confidential, and restricted. Handling requirements vary by classification with stricter controls for sensitive data.</w:t>
      </w:r>
    </w:p>
    <w:p>
      <w:r>
        <w:t>Physical security measures protect facilities and equipment. Badge access, visitor logging, and clean desk policies prevent unauthorized physical access to sensitive areas.</w:t>
      </w:r>
    </w:p>
    <w:p>
      <w:r>
        <w:t>Network security employs firewalls, intrusion detection, and regular vulnerability assessments. Remote access requires VPN connections and endpoint protection software.</w:t>
      </w:r>
    </w:p>
    <w:p>
      <w:r>
        <w:t>Device security mandates encryption for laptops and mobile devices, automatic screen locking, and approved security software. Personal devices require explicit approval for work use.</w:t>
      </w:r>
    </w:p>
    <w:p>
      <w:r>
        <w:t>Incident response procedures ensure rapid detection and containment of security breaches. All suspicious activity must be reported immediately through established channels.</w:t>
      </w:r>
    </w:p>
    <w:p>
      <w:r>
        <w:t>Training requirements include annual security awareness sessions and specialized training for high-risk roles. Employees must demonstrate understanding of security policies.</w:t>
      </w:r>
    </w:p>
    <w:p>
      <w:r>
        <w:t>Third-party vendors must meet security standards before access is granted. Contracts include security requirements and regular audits ensure compliance.</w:t>
      </w:r>
    </w:p>
    <w:p>
      <w:r>
        <w:t>Continuous improvement involves regular security assessments, policy updates, and adoption of emerging security technologies. Employee feedback helps identify potential vulnerabilities.</w:t>
      </w:r>
    </w:p>
    <w:p>
      <w:r>
        <w:t>Remote work security requires secure Wi-Fi, updated software, and awareness of home network risks. Company-provided equipment offers additional protection layers.</w:t>
      </w:r>
    </w:p>
    <w:p>
      <w:r>
        <w:t>Data disposal follows secure practices including shredding, degaussing, and certified destruction services. Temporary files and caches are regularly cleared.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