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004B" w14:textId="77777777" w:rsidR="00350C05" w:rsidRDefault="00350C05" w:rsidP="00350C05">
      <w:r>
        <w:t>Precios de SQL Server</w:t>
      </w:r>
    </w:p>
    <w:p w14:paraId="662FE960" w14:textId="77777777" w:rsidR="00350C05" w:rsidRDefault="00350C05" w:rsidP="008160A2">
      <w:pPr>
        <w:jc w:val="both"/>
      </w:pPr>
      <w:r>
        <w:t>Precios y licencias por SKU de SQL Server.</w:t>
      </w:r>
    </w:p>
    <w:p w14:paraId="5719078D" w14:textId="77777777" w:rsidR="00350C05" w:rsidRDefault="00350C05" w:rsidP="008160A2">
      <w:pPr>
        <w:jc w:val="both"/>
      </w:pPr>
      <w:r>
        <w:t>Ediciones de SQL Server 2017</w:t>
      </w:r>
      <w:r>
        <w:tab/>
        <w:t>Ideal para...</w:t>
      </w:r>
      <w:r>
        <w:tab/>
        <w:t>Modelo de licencia</w:t>
      </w:r>
      <w:r>
        <w:tab/>
        <w:t>Disponibilidad de canal</w:t>
      </w:r>
      <w:r>
        <w:tab/>
        <w:t>Precio de Open No Level (USD)</w:t>
      </w:r>
    </w:p>
    <w:p w14:paraId="764399D7" w14:textId="77777777" w:rsidR="00350C05" w:rsidRDefault="00350C05" w:rsidP="008160A2">
      <w:pPr>
        <w:jc w:val="both"/>
      </w:pPr>
      <w:r>
        <w:t>Enterprise</w:t>
      </w:r>
      <w:r>
        <w:tab/>
        <w:t>Rendimiento confiable y completo para satisfacer los requisitos de base de datos y de Business Intelligence más exigentes. Proporciona los niveles de servicio y el rendimiento más altos para las cargas de trabajo de nivel 1. [1]</w:t>
      </w:r>
      <w:r>
        <w:tab/>
        <w:t>Por núcleo [2]</w:t>
      </w:r>
      <w:r>
        <w:tab/>
        <w:t>Licencias por volumen, hosting</w:t>
      </w:r>
      <w:r>
        <w:tab/>
        <w:t>14.256 USD [3]</w:t>
      </w:r>
    </w:p>
    <w:p w14:paraId="1A71C358" w14:textId="77777777" w:rsidR="00350C05" w:rsidRDefault="00350C05" w:rsidP="008160A2">
      <w:pPr>
        <w:jc w:val="both"/>
      </w:pPr>
      <w:r>
        <w:t>Standard: por volumen</w:t>
      </w:r>
      <w:r>
        <w:tab/>
        <w:t>Funcionalidad de Business Intelligence y administración de datos básica para cargas de trabajo que no son críticas, con recursos de TI mínimos.</w:t>
      </w:r>
      <w:r>
        <w:tab/>
        <w:t>Por núcleo [2]</w:t>
      </w:r>
      <w:r>
        <w:tab/>
        <w:t>Licencias por volumen, hosting</w:t>
      </w:r>
      <w:r>
        <w:tab/>
        <w:t>3.717 USD [3]</w:t>
      </w:r>
    </w:p>
    <w:p w14:paraId="195FD2B9" w14:textId="77777777" w:rsidR="00350C05" w:rsidRDefault="00350C05" w:rsidP="008160A2">
      <w:pPr>
        <w:jc w:val="both"/>
      </w:pPr>
      <w:r>
        <w:t>Standard - servidor + CAL</w:t>
      </w:r>
      <w:r>
        <w:tab/>
        <w:t>Funcionalidad de Business Intelligence y administración de datos básica para cargas de trabajo que no son críticas, con recursos de TI mínimos.</w:t>
      </w:r>
      <w:r>
        <w:tab/>
        <w:t>Servidor + CAL [4]</w:t>
      </w:r>
      <w:r>
        <w:tab/>
        <w:t>Licencias por volumen, hosting, minorista (FPP)</w:t>
      </w:r>
      <w:r>
        <w:tab/>
        <w:t>931 USD [3]</w:t>
      </w:r>
    </w:p>
    <w:p w14:paraId="0C23CF30" w14:textId="77777777" w:rsidR="00350C05" w:rsidRDefault="00350C05" w:rsidP="008160A2">
      <w:pPr>
        <w:jc w:val="both"/>
      </w:pPr>
      <w:r>
        <w:t>Develo per</w:t>
      </w:r>
      <w:r>
        <w:tab/>
        <w:t>Versión completamente funcional de SQL Server que permite a los desarrolladores crear, probar y demostrar aplicaciones con software de SQL Server de una manera rentable.</w:t>
      </w:r>
      <w:r>
        <w:tab/>
        <w:t>Por usuario</w:t>
      </w:r>
      <w:r>
        <w:tab/>
        <w:t>Descarga gratuita</w:t>
      </w:r>
      <w:r>
        <w:tab/>
        <w:t>Gratis</w:t>
      </w:r>
    </w:p>
    <w:p w14:paraId="54D01EF5" w14:textId="77777777" w:rsidR="00350C05" w:rsidRDefault="00350C05" w:rsidP="008160A2">
      <w:pPr>
        <w:jc w:val="both"/>
      </w:pPr>
      <w:r>
        <w:t>Web</w:t>
      </w:r>
      <w:r>
        <w:tab/>
        <w:t>Plataforma de datos segura, rentable y altamente escalable para sitios web públicos. Disponible solo para proveedores de servicios de software de terceros.</w:t>
      </w:r>
      <w:r>
        <w:tab/>
        <w:t>No aplicable</w:t>
      </w:r>
      <w:r>
        <w:tab/>
        <w:t>Solo hosting</w:t>
      </w:r>
      <w:r>
        <w:tab/>
        <w:t>Consulta los precios con tu partner de hosting</w:t>
      </w:r>
    </w:p>
    <w:p w14:paraId="4F407186" w14:textId="77777777" w:rsidR="00350C05" w:rsidRDefault="00350C05" w:rsidP="008160A2">
      <w:pPr>
        <w:jc w:val="both"/>
      </w:pPr>
      <w:r>
        <w:t>Express</w:t>
      </w:r>
      <w:r>
        <w:tab/>
        <w:t>Base de datos básica gratuita, ideal para aprender y para crear aplicaciones de escritorio y pequeñas aplicaciones de servidor controladas por datos de hasta 10 GB.</w:t>
      </w:r>
      <w:r>
        <w:tab/>
        <w:t>No aplicable</w:t>
      </w:r>
      <w:r>
        <w:tab/>
        <w:t>Descarga gratuita</w:t>
      </w:r>
      <w:r>
        <w:tab/>
        <w:t>Gratis</w:t>
      </w:r>
    </w:p>
    <w:p w14:paraId="764FF752" w14:textId="77777777" w:rsidR="00350C05" w:rsidRDefault="00350C05" w:rsidP="008160A2">
      <w:pPr>
        <w:jc w:val="both"/>
      </w:pPr>
      <w:r>
        <w:t>[1]Los clientes que requieran un almacenamiento de datos de procesamiento paralelo masivo tienen ahora acceso a un almacenamiento de datos paralelos (PDW) a través de sus licencias por núcleo de Enterprise Edition con Software Assurance. El almacenamiento de datos paralelo forma parte de Microsoft Analytics Platform System.</w:t>
      </w:r>
      <w:r w:rsidRPr="00350C05">
        <w:t xml:space="preserve"> </w:t>
      </w:r>
      <w:r>
        <w:t>Información general de precios y licencias</w:t>
      </w:r>
    </w:p>
    <w:p w14:paraId="74CFF63A" w14:textId="77777777" w:rsidR="00350C05" w:rsidRDefault="00350C05" w:rsidP="008160A2">
      <w:pPr>
        <w:jc w:val="both"/>
      </w:pPr>
      <w:r>
        <w:t>Con el fin de brindarle una experiencia más uniforme con las licencias en entornos de varias nubes, nos trasladamos desde las licencias basadas en procesador a las licencias basadas en núcleo con las ediciones Datacenter y Standard de Windows Server 2019. Para conocer los precios exactos, póngase en contacto con el distribuidor de Microsoft.</w:t>
      </w:r>
    </w:p>
    <w:p w14:paraId="69260F92" w14:textId="77777777" w:rsidR="00350C05" w:rsidRDefault="00350C05" w:rsidP="008160A2">
      <w:pPr>
        <w:jc w:val="both"/>
      </w:pPr>
    </w:p>
    <w:p w14:paraId="743041A8" w14:textId="77777777" w:rsidR="00350C05" w:rsidRDefault="00350C05" w:rsidP="008160A2">
      <w:pPr>
        <w:jc w:val="both"/>
      </w:pPr>
      <w:r>
        <w:t>Precios y licencias compatibles con el SKU de Windows Server.</w:t>
      </w:r>
    </w:p>
    <w:p w14:paraId="7A53C044" w14:textId="77777777" w:rsidR="00350C05" w:rsidRDefault="00350C05" w:rsidP="008160A2">
      <w:pPr>
        <w:jc w:val="both"/>
      </w:pPr>
      <w:r>
        <w:t>Edición de Windows Server 2019</w:t>
      </w:r>
      <w:r>
        <w:tab/>
        <w:t>Ideal para</w:t>
      </w:r>
      <w:r>
        <w:tab/>
        <w:t>Modelo de licencias</w:t>
      </w:r>
      <w:r>
        <w:tab/>
        <w:t>Requisitos de CAL [1]</w:t>
      </w:r>
      <w:r>
        <w:tab/>
        <w:t>Precios de Open NL ERP (USD) [3]</w:t>
      </w:r>
    </w:p>
    <w:p w14:paraId="7A03E2D1" w14:textId="77777777" w:rsidR="00350C05" w:rsidRDefault="00350C05" w:rsidP="008160A2">
      <w:pPr>
        <w:jc w:val="both"/>
      </w:pPr>
      <w:r>
        <w:t>Centro de datos [2]</w:t>
      </w:r>
      <w:r>
        <w:tab/>
        <w:t>Entornos de nube y centros de datos altamente virtual izados</w:t>
      </w:r>
      <w:r>
        <w:tab/>
        <w:t>Basado en núcleo</w:t>
      </w:r>
      <w:r>
        <w:tab/>
        <w:t>Windows Server CAL</w:t>
      </w:r>
      <w:r>
        <w:tab/>
        <w:t>$6,155</w:t>
      </w:r>
    </w:p>
    <w:p w14:paraId="02215E58" w14:textId="77777777" w:rsidR="00350C05" w:rsidRDefault="00350C05" w:rsidP="008160A2">
      <w:pPr>
        <w:jc w:val="both"/>
      </w:pPr>
      <w:r>
        <w:t>Estándar [2]</w:t>
      </w:r>
      <w:r>
        <w:tab/>
        <w:t>Entornos físicos o de baja virtualización</w:t>
      </w:r>
      <w:r>
        <w:tab/>
        <w:t>Basado en núcleo</w:t>
      </w:r>
      <w:r>
        <w:tab/>
        <w:t>Windows Server CAL</w:t>
      </w:r>
      <w:r>
        <w:tab/>
        <w:t>$972</w:t>
      </w:r>
    </w:p>
    <w:p w14:paraId="552D1788" w14:textId="77777777" w:rsidR="00350C05" w:rsidRDefault="00350C05" w:rsidP="008160A2">
      <w:pPr>
        <w:jc w:val="both"/>
      </w:pPr>
      <w:r>
        <w:lastRenderedPageBreak/>
        <w:t>Essentials</w:t>
      </w:r>
      <w:r>
        <w:tab/>
        <w:t>Pequeñas empresas con hasta 25 usuarios y 50 dispositivos</w:t>
      </w:r>
      <w:r>
        <w:tab/>
        <w:t>Servidores especiales (licencia de servidor)</w:t>
      </w:r>
      <w:r>
        <w:tab/>
        <w:t>No se requiere CAL</w:t>
      </w:r>
      <w:r>
        <w:tab/>
        <w:t>$501</w:t>
      </w:r>
    </w:p>
    <w:p w14:paraId="3DEC93C7" w14:textId="77777777" w:rsidR="00350C05" w:rsidRDefault="00350C05" w:rsidP="008160A2">
      <w:pPr>
        <w:jc w:val="both"/>
      </w:pPr>
      <w:r>
        <w:t>[1]Se requiere una CAL para cada usuario o dispositivo que acceda a un servidor. Consultar detalles en los derechos de uso de los productos.</w:t>
      </w:r>
    </w:p>
    <w:p w14:paraId="37EDFBD5" w14:textId="77777777" w:rsidR="00350C05" w:rsidRDefault="00350C05" w:rsidP="008160A2">
      <w:pPr>
        <w:jc w:val="both"/>
      </w:pPr>
      <w:r>
        <w:t>[2]El precio de las ediciones Datacenter y Standard es para licencias de 16 núcleos.</w:t>
      </w:r>
    </w:p>
    <w:p w14:paraId="3FE2D93E" w14:textId="77777777" w:rsidR="00350C05" w:rsidRDefault="00350C05" w:rsidP="008160A2">
      <w:pPr>
        <w:jc w:val="both"/>
      </w:pPr>
      <w:r>
        <w:t>[3]Los precios están en USD y pueden variar por país. Póngase en contacto con su representante de Microsoft para solicitar una cotización.</w:t>
      </w:r>
    </w:p>
    <w:p w14:paraId="7CB50892" w14:textId="77777777" w:rsidR="00350C05" w:rsidRDefault="00350C05" w:rsidP="008160A2">
      <w:pPr>
        <w:jc w:val="both"/>
      </w:pPr>
      <w:r>
        <w:t>Diferenciación de las características de Windows Server 2019</w:t>
      </w:r>
    </w:p>
    <w:p w14:paraId="4816BC34" w14:textId="77777777" w:rsidR="00350C05" w:rsidRDefault="00350C05" w:rsidP="008160A2">
      <w:pPr>
        <w:jc w:val="both"/>
      </w:pPr>
      <w:r>
        <w:t>Clave de compatibilidad de características</w:t>
      </w:r>
    </w:p>
    <w:p w14:paraId="2B3EF7C6" w14:textId="77777777" w:rsidR="00350C05" w:rsidRDefault="00350C05" w:rsidP="008160A2">
      <w:pPr>
        <w:jc w:val="both"/>
      </w:pPr>
      <w:r>
        <w:t xml:space="preserve">Característica no disponible Característica no disponible    Característica no disponible Característica no disponible   </w:t>
      </w:r>
    </w:p>
    <w:p w14:paraId="29B43B73" w14:textId="77777777" w:rsidR="00350C05" w:rsidRDefault="00350C05" w:rsidP="008160A2">
      <w:pPr>
        <w:jc w:val="both"/>
      </w:pPr>
      <w:r>
        <w:t>Compare la compatibilidad de las características de Windows Server 2016 por SKU de Windows Server.</w:t>
      </w:r>
    </w:p>
    <w:p w14:paraId="0259806D" w14:textId="77777777" w:rsidR="00350C05" w:rsidRDefault="00350C05" w:rsidP="008160A2">
      <w:pPr>
        <w:jc w:val="both"/>
      </w:pPr>
      <w:r>
        <w:t>Característica</w:t>
      </w:r>
      <w:r>
        <w:tab/>
        <w:t>Edición Standard</w:t>
      </w:r>
      <w:r>
        <w:tab/>
        <w:t>Datacenter edition</w:t>
      </w:r>
    </w:p>
    <w:p w14:paraId="3EA07A50" w14:textId="77777777" w:rsidR="00350C05" w:rsidRDefault="00350C05" w:rsidP="008160A2">
      <w:pPr>
        <w:jc w:val="both"/>
      </w:pPr>
      <w:r>
        <w:t>Funcionalidad principal de Windows Server</w:t>
      </w:r>
      <w:r>
        <w:tab/>
        <w:t xml:space="preserve"> Se incluye en Windows Server Datacenter Edition</w:t>
      </w:r>
      <w:r>
        <w:tab/>
        <w:t xml:space="preserve"> Se incluye en Windows Server Standard Edition</w:t>
      </w:r>
    </w:p>
    <w:p w14:paraId="2D81290E" w14:textId="77777777" w:rsidR="00350C05" w:rsidRDefault="00350C05" w:rsidP="008160A2">
      <w:pPr>
        <w:jc w:val="both"/>
      </w:pPr>
      <w:r>
        <w:t>Integración híbrida</w:t>
      </w:r>
      <w:r>
        <w:tab/>
        <w:t xml:space="preserve"> Se incluye en Windows Server Datacenter Edition</w:t>
      </w:r>
      <w:r>
        <w:tab/>
        <w:t xml:space="preserve"> Se incluye en Windows Server Datacenter Edition</w:t>
      </w:r>
    </w:p>
    <w:p w14:paraId="4F10CE55" w14:textId="77777777" w:rsidR="00350C05" w:rsidRDefault="00350C05" w:rsidP="008160A2">
      <w:pPr>
        <w:jc w:val="both"/>
      </w:pPr>
      <w:r>
        <w:t>Infraestructura hiperconvergente</w:t>
      </w:r>
      <w:r>
        <w:tab/>
        <w:t xml:space="preserve"> Característica no disponible en Windows Server 2016 Standard</w:t>
      </w:r>
      <w:r>
        <w:tab/>
        <w:t xml:space="preserve"> Se incluye en Windows Server Datacenter Edition</w:t>
      </w:r>
    </w:p>
    <w:p w14:paraId="52C88153" w14:textId="77777777" w:rsidR="00350C05" w:rsidRDefault="00350C05" w:rsidP="008160A2">
      <w:pPr>
        <w:jc w:val="both"/>
      </w:pPr>
      <w:r>
        <w:t>Contenedores de OSE*/Hyper-V</w:t>
      </w:r>
      <w:r>
        <w:tab/>
        <w:t>2[*]</w:t>
      </w:r>
      <w:r>
        <w:tab/>
        <w:t>Sin límite</w:t>
      </w:r>
    </w:p>
    <w:p w14:paraId="71161CF3" w14:textId="77777777" w:rsidR="00350C05" w:rsidRDefault="00350C05" w:rsidP="008160A2">
      <w:pPr>
        <w:jc w:val="both"/>
      </w:pPr>
      <w:r>
        <w:t>Contenedores de Windows Server</w:t>
      </w:r>
      <w:r>
        <w:tab/>
        <w:t>Sin límite</w:t>
      </w:r>
      <w:r>
        <w:tab/>
        <w:t>Sin límite</w:t>
      </w:r>
    </w:p>
    <w:p w14:paraId="78618146" w14:textId="77777777" w:rsidR="00350C05" w:rsidRDefault="00350C05" w:rsidP="008160A2">
      <w:pPr>
        <w:jc w:val="both"/>
      </w:pPr>
      <w:r>
        <w:t>Servicio de protección de host</w:t>
      </w:r>
      <w:r>
        <w:tab/>
        <w:t xml:space="preserve"> Se incluye en Windows Server Datacenter Edition</w:t>
      </w:r>
      <w:r>
        <w:tab/>
        <w:t xml:space="preserve"> Se incluye en Windows Server Datacenter Edition</w:t>
      </w:r>
    </w:p>
    <w:p w14:paraId="4FA942F4" w14:textId="77777777" w:rsidR="00350C05" w:rsidRDefault="00350C05" w:rsidP="008160A2">
      <w:pPr>
        <w:jc w:val="both"/>
      </w:pPr>
      <w:r>
        <w:t>Réplica de almacenamiento</w:t>
      </w:r>
      <w:r>
        <w:tab/>
        <w:t xml:space="preserve"> Se incluye en Windows Server Datacenter Edition [**]</w:t>
      </w:r>
      <w:r>
        <w:tab/>
        <w:t xml:space="preserve"> Se incluye en Windows Server Datacenter Edition</w:t>
      </w:r>
    </w:p>
    <w:p w14:paraId="2B7A7378" w14:textId="77777777" w:rsidR="00350C05" w:rsidRDefault="00350C05" w:rsidP="008160A2">
      <w:pPr>
        <w:jc w:val="both"/>
      </w:pPr>
      <w:r>
        <w:t>Máquinas virtuales blindadas (VM)</w:t>
      </w:r>
      <w:r>
        <w:tab/>
        <w:t xml:space="preserve"> Característica no disponible en Windows Server 2016 Standard</w:t>
      </w:r>
      <w:r>
        <w:tab/>
        <w:t xml:space="preserve"> Se incluye en Windows Server Datacenter Edition</w:t>
      </w:r>
    </w:p>
    <w:p w14:paraId="13AC7A7E" w14:textId="77777777" w:rsidR="00350C05" w:rsidRDefault="00350C05" w:rsidP="008160A2">
      <w:pPr>
        <w:jc w:val="both"/>
      </w:pPr>
      <w:r>
        <w:t>Redes definidas por software</w:t>
      </w:r>
      <w:r>
        <w:tab/>
        <w:t xml:space="preserve"> Característica no disponible en Windows Server 2016 Standard</w:t>
      </w:r>
      <w:r>
        <w:tab/>
        <w:t xml:space="preserve"> Se incluye en Windows Server Datacenter Edition</w:t>
      </w:r>
    </w:p>
    <w:p w14:paraId="5AE3FA94" w14:textId="77777777" w:rsidR="00350C05" w:rsidRDefault="00350C05" w:rsidP="008160A2">
      <w:pPr>
        <w:jc w:val="both"/>
      </w:pPr>
      <w:r>
        <w:t>Almacenamiento definido por software</w:t>
      </w:r>
      <w:r>
        <w:tab/>
        <w:t xml:space="preserve"> Característica no disponible en Windows Server 2016 Standard</w:t>
      </w:r>
      <w:r>
        <w:tab/>
        <w:t xml:space="preserve"> Se incluye en Windows Server Datacenter Edition</w:t>
      </w:r>
    </w:p>
    <w:p w14:paraId="7710F28D" w14:textId="77777777" w:rsidR="00350C05" w:rsidRDefault="00350C05" w:rsidP="008160A2">
      <w:pPr>
        <w:jc w:val="both"/>
      </w:pPr>
      <w:r>
        <w:t>[*]La licencia de Windows Server Standard Edition incluye permisos para dos OSE o VM.</w:t>
      </w:r>
    </w:p>
    <w:p w14:paraId="603615EA" w14:textId="77777777" w:rsidR="00350C05" w:rsidRDefault="00350C05" w:rsidP="008160A2">
      <w:pPr>
        <w:jc w:val="both"/>
      </w:pPr>
      <w:r>
        <w:t>[**]Se limita a un volumen de hasta 2 TB.</w:t>
      </w:r>
    </w:p>
    <w:p w14:paraId="15F3943E" w14:textId="77777777" w:rsidR="00350C05" w:rsidRDefault="00350C05" w:rsidP="008160A2">
      <w:pPr>
        <w:jc w:val="both"/>
      </w:pPr>
      <w:r>
        <w:t>[2]Las ediciones que se venden según el modelo de licencias por núcleo se suministran en paquetes de dos núcleos.</w:t>
      </w:r>
    </w:p>
    <w:p w14:paraId="3C8AC705" w14:textId="77777777" w:rsidR="00350C05" w:rsidRDefault="00350C05" w:rsidP="008160A2">
      <w:pPr>
        <w:jc w:val="both"/>
      </w:pPr>
      <w:r>
        <w:lastRenderedPageBreak/>
        <w:t>[3]Los precios corresponden al precio de venta estimado de Open No Level (NL). Si deseas conocer precios más específicos, ponte en contacto con tu distribuidor de Microsoft.</w:t>
      </w:r>
    </w:p>
    <w:p w14:paraId="3301E302" w14:textId="77777777" w:rsidR="00697CF8" w:rsidRDefault="00350C05" w:rsidP="008160A2">
      <w:pPr>
        <w:jc w:val="both"/>
      </w:pPr>
      <w:r>
        <w:t>[4]Se requieren licencias de acceso de cliente (CAL) para todos los usuarios o dispositivos con acceso a un servidor conforme al modelo de licencias Servidor + CAL. Consulta los derechos de uso del producto para obtener información detallada.</w:t>
      </w:r>
    </w:p>
    <w:p w14:paraId="6A6E958C" w14:textId="77777777" w:rsidR="00CD40BD" w:rsidRDefault="00CD40BD" w:rsidP="008160A2">
      <w:pPr>
        <w:jc w:val="both"/>
      </w:pPr>
      <w:r>
        <w:t>Licencias de servidor</w:t>
      </w:r>
    </w:p>
    <w:p w14:paraId="2F6C0330" w14:textId="77777777" w:rsidR="00CD40BD" w:rsidRDefault="00CD40BD" w:rsidP="008160A2">
      <w:pPr>
        <w:jc w:val="both"/>
      </w:pPr>
      <w:r>
        <w:t>Con este tipo de licencia, se debe asignar una licencia a cada instancia del software de servidor que esté en ejecución. Existen dos ediciones de servidor:</w:t>
      </w:r>
    </w:p>
    <w:p w14:paraId="5DC30E6B" w14:textId="77777777" w:rsidR="00CD40BD" w:rsidRDefault="00CD40BD" w:rsidP="008160A2">
      <w:pPr>
        <w:jc w:val="both"/>
      </w:pPr>
      <w:r>
        <w:t>Standard: diseñada para las necesidades de buzones de correo de organizaciones de tamaño pequeño o mediano. También es adecuada para otros roles distintos de los de buzones de correo en una implementación de Exchange de mayor tamaño. Esta edición admite entre 1 y 5 bases de datos de buzones de correo.</w:t>
      </w:r>
    </w:p>
    <w:p w14:paraId="1F0D11BD" w14:textId="77777777" w:rsidR="00CD40BD" w:rsidRDefault="00CD40BD" w:rsidP="008160A2">
      <w:pPr>
        <w:jc w:val="both"/>
      </w:pPr>
      <w:r>
        <w:t>Enterprise: diseñada para organizaciones de mayor tamaño que puedan necesitar más bases de datos de buzones de correo. Esta edición admite entre 1 y 100 bases de datos de buzones de correo.</w:t>
      </w:r>
    </w:p>
    <w:p w14:paraId="536E4498" w14:textId="77777777" w:rsidR="00CD40BD" w:rsidRDefault="00CD40BD" w:rsidP="008160A2">
      <w:pPr>
        <w:jc w:val="both"/>
      </w:pPr>
      <w:r>
        <w:t>Licencias de acceso de cliente (CAL)</w:t>
      </w:r>
    </w:p>
    <w:p w14:paraId="484A5941" w14:textId="77777777" w:rsidR="00CD40BD" w:rsidRDefault="00CD40BD" w:rsidP="008160A2">
      <w:pPr>
        <w:jc w:val="both"/>
      </w:pPr>
      <w:r>
        <w:t>Con este tipo de licencia se necesita una licencia CAL para cada usuario o dispositivo que requiera acceso al software de servidor. Hay dos tipos de licencias CAL para Exchange que funcionan con cualquier edición del servidor:</w:t>
      </w:r>
    </w:p>
    <w:p w14:paraId="674EEAE0" w14:textId="77777777" w:rsidR="00CD40BD" w:rsidRDefault="00CD40BD" w:rsidP="008160A2">
      <w:pPr>
        <w:jc w:val="both"/>
      </w:pPr>
      <w:r>
        <w:t xml:space="preserve">Standard: diseñada para contribuir a aumentar la productividad de los usuarios desde prácticamente cualquier plataforma, explorador o dispositivo móvil, con características de Exchange Server 2019 que permiten a los usuarios ser productivos estén donde estén, a la vez que contribuye también a la protección de los datos de la organización. Para habilitar las características de la licencia CAL Standard para un usuario, el usuario necesita obtener una licencia CAL Standard. </w:t>
      </w:r>
    </w:p>
    <w:p w14:paraId="59959287" w14:textId="77777777" w:rsidR="00CD40BD" w:rsidRDefault="00CD40BD" w:rsidP="008160A2">
      <w:pPr>
        <w:jc w:val="both"/>
      </w:pPr>
      <w:r>
        <w:t>Enterprise: diseñada para permitir a las organizaciones reducir el coste y la complejidad de alcanzar los requisitos de cumplimiento con una nueva funcionalidad integrada de archivado y funcionalidades de protección de la información. La licencia CAL Enterprise se vende como un complemento a la licencia CAL Standard. Para habilitar las características de la licencia CAL Enterprise, el usuario debe obtener una licencia CAL Standard y una licencia CAL Enterprise.</w:t>
      </w:r>
    </w:p>
    <w:p w14:paraId="5A23283F" w14:textId="77777777" w:rsidR="00CD40BD" w:rsidRDefault="00CD40BD" w:rsidP="008160A2">
      <w:pPr>
        <w:jc w:val="both"/>
      </w:pPr>
      <w:r>
        <w:t>En la siguiente tabla, se proporciona un desglose detallado de las características de cada licencia CAL.</w:t>
      </w:r>
    </w:p>
    <w:p w14:paraId="11CBE59C" w14:textId="77777777" w:rsidR="00CD40BD" w:rsidRDefault="00CD40BD" w:rsidP="008160A2">
      <w:pPr>
        <w:jc w:val="both"/>
      </w:pPr>
      <w:r>
        <w:t>Licencia CAL Standard</w:t>
      </w:r>
    </w:p>
    <w:p w14:paraId="56345AA7" w14:textId="77777777" w:rsidR="00CD40BD" w:rsidRDefault="00CD40BD" w:rsidP="008160A2">
      <w:pPr>
        <w:jc w:val="both"/>
      </w:pPr>
      <w:r>
        <w:t>Licencia CAL Standard más CAL Enterprise1</w:t>
      </w:r>
    </w:p>
    <w:p w14:paraId="31868F5C" w14:textId="77777777" w:rsidR="00CD40BD" w:rsidRDefault="00CD40BD" w:rsidP="008160A2">
      <w:pPr>
        <w:jc w:val="both"/>
      </w:pPr>
      <w:r>
        <w:t>Correo electrónico, calendario, contactos y tareas</w:t>
      </w:r>
      <w:r>
        <w:tab/>
      </w:r>
      <w:r>
        <w:tab/>
      </w:r>
    </w:p>
    <w:p w14:paraId="12369C55" w14:textId="77777777" w:rsidR="00CD40BD" w:rsidRDefault="00CD40BD" w:rsidP="008160A2">
      <w:pPr>
        <w:jc w:val="both"/>
      </w:pPr>
      <w:r>
        <w:t>Esta característica está incluida</w:t>
      </w:r>
    </w:p>
    <w:p w14:paraId="54182F89" w14:textId="77777777" w:rsidR="00CD40BD" w:rsidRDefault="00CD40BD" w:rsidP="008160A2">
      <w:pPr>
        <w:jc w:val="both"/>
      </w:pPr>
      <w:r>
        <w:t>Esta característica está incluida</w:t>
      </w:r>
    </w:p>
    <w:p w14:paraId="3EE47FA0" w14:textId="77777777" w:rsidR="00CD40BD" w:rsidRDefault="00CD40BD" w:rsidP="008160A2">
      <w:pPr>
        <w:jc w:val="both"/>
      </w:pPr>
      <w:r>
        <w:t>Outlook en la Web (compatibilidad con Internet Explorer, Firefox, Chrome, Safari y Microsoft Edge)</w:t>
      </w:r>
      <w:r>
        <w:tab/>
      </w:r>
      <w:r>
        <w:tab/>
      </w:r>
    </w:p>
    <w:p w14:paraId="5F00E355" w14:textId="77777777" w:rsidR="00CD40BD" w:rsidRDefault="00CD40BD" w:rsidP="008160A2">
      <w:pPr>
        <w:jc w:val="both"/>
      </w:pPr>
      <w:r>
        <w:lastRenderedPageBreak/>
        <w:t>Esta característica está incluida</w:t>
      </w:r>
    </w:p>
    <w:p w14:paraId="401E1549" w14:textId="77777777" w:rsidR="00CD40BD" w:rsidRDefault="00CD40BD" w:rsidP="008160A2">
      <w:pPr>
        <w:jc w:val="both"/>
      </w:pPr>
      <w:r>
        <w:t>Esta característica está incluida</w:t>
      </w:r>
    </w:p>
    <w:p w14:paraId="5D237074" w14:textId="77777777" w:rsidR="00CD40BD" w:rsidRDefault="00CD40BD" w:rsidP="008160A2">
      <w:pPr>
        <w:jc w:val="both"/>
      </w:pPr>
      <w:r>
        <w:t>Aplicaciones para Outlook y Outlook en la Web</w:t>
      </w:r>
      <w:r>
        <w:tab/>
      </w:r>
      <w:r>
        <w:tab/>
      </w:r>
    </w:p>
    <w:p w14:paraId="339DF14D" w14:textId="77777777" w:rsidR="00CD40BD" w:rsidRDefault="00CD40BD" w:rsidP="008160A2">
      <w:pPr>
        <w:jc w:val="both"/>
      </w:pPr>
      <w:r>
        <w:t>Esta característica está incluida</w:t>
      </w:r>
    </w:p>
    <w:p w14:paraId="4D3EE4AC" w14:textId="77777777" w:rsidR="00CD40BD" w:rsidRDefault="00CD40BD" w:rsidP="008160A2">
      <w:pPr>
        <w:jc w:val="both"/>
      </w:pPr>
      <w:r>
        <w:t>Esta característica está incluida</w:t>
      </w:r>
    </w:p>
    <w:p w14:paraId="00D78230" w14:textId="77777777" w:rsidR="00CD40BD" w:rsidRDefault="00CD40BD" w:rsidP="008160A2">
      <w:pPr>
        <w:jc w:val="both"/>
      </w:pPr>
      <w:r>
        <w:t>Buzones del sitio2</w:t>
      </w:r>
    </w:p>
    <w:p w14:paraId="66AA2DE6" w14:textId="77777777" w:rsidR="00CD40BD" w:rsidRDefault="00CD40BD" w:rsidP="008160A2">
      <w:pPr>
        <w:jc w:val="both"/>
      </w:pPr>
      <w:r>
        <w:t>Esta característica está incluida</w:t>
      </w:r>
    </w:p>
    <w:p w14:paraId="29AFAED1" w14:textId="77777777" w:rsidR="00CD40BD" w:rsidRDefault="00CD40BD" w:rsidP="008160A2">
      <w:pPr>
        <w:jc w:val="both"/>
      </w:pPr>
      <w:r>
        <w:t>Esta característica está incluida</w:t>
      </w:r>
    </w:p>
    <w:p w14:paraId="53D25A32" w14:textId="77777777" w:rsidR="00CD40BD" w:rsidRDefault="00CD40BD" w:rsidP="008160A2">
      <w:pPr>
        <w:jc w:val="both"/>
      </w:pPr>
      <w:r>
        <w:t>Capacidades de control de acceso basado en roles (RBAC)</w:t>
      </w:r>
      <w:r>
        <w:tab/>
      </w:r>
      <w:r>
        <w:tab/>
      </w:r>
    </w:p>
    <w:p w14:paraId="47DB1AF0" w14:textId="77777777" w:rsidR="00CD40BD" w:rsidRDefault="00CD40BD" w:rsidP="008160A2">
      <w:pPr>
        <w:jc w:val="both"/>
      </w:pPr>
      <w:r>
        <w:t>Esta característica está incluida</w:t>
      </w:r>
    </w:p>
    <w:p w14:paraId="3BA53CCF" w14:textId="77777777" w:rsidR="00CD40BD" w:rsidRDefault="00CD40BD" w:rsidP="008160A2">
      <w:pPr>
        <w:jc w:val="both"/>
      </w:pPr>
      <w:r>
        <w:t>Esta característica está incluida</w:t>
      </w:r>
    </w:p>
    <w:p w14:paraId="4D1A9FF3" w14:textId="77777777" w:rsidR="00CD40BD" w:rsidRDefault="00CD40BD" w:rsidP="008160A2">
      <w:pPr>
        <w:jc w:val="both"/>
      </w:pPr>
      <w:r>
        <w:t>Registro en diario</w:t>
      </w:r>
      <w:r>
        <w:tab/>
      </w:r>
      <w:r>
        <w:tab/>
      </w:r>
    </w:p>
    <w:p w14:paraId="11770373" w14:textId="77777777" w:rsidR="00CD40BD" w:rsidRDefault="00CD40BD" w:rsidP="008160A2">
      <w:pPr>
        <w:jc w:val="both"/>
      </w:pPr>
      <w:r>
        <w:t>Por base de datos</w:t>
      </w:r>
    </w:p>
    <w:p w14:paraId="1DCC01E9" w14:textId="77777777" w:rsidR="00CD40BD" w:rsidRDefault="00CD40BD" w:rsidP="008160A2">
      <w:pPr>
        <w:jc w:val="both"/>
      </w:pPr>
      <w:r>
        <w:t>Por lista de distribución/usuario</w:t>
      </w:r>
    </w:p>
    <w:p w14:paraId="367204C9" w14:textId="77777777" w:rsidR="00CD40BD" w:rsidRDefault="00CD40BD" w:rsidP="008160A2">
      <w:pPr>
        <w:jc w:val="both"/>
      </w:pPr>
      <w:r>
        <w:t>Descifrado del registro en diario</w:t>
      </w:r>
      <w:r>
        <w:tab/>
      </w:r>
      <w:r>
        <w:tab/>
      </w:r>
    </w:p>
    <w:p w14:paraId="4F2E7540" w14:textId="77777777" w:rsidR="00CD40BD" w:rsidRDefault="00CD40BD" w:rsidP="008160A2">
      <w:pPr>
        <w:jc w:val="both"/>
      </w:pPr>
      <w:r>
        <w:t>Esta característica no está incluida</w:t>
      </w:r>
      <w:r>
        <w:tab/>
      </w:r>
    </w:p>
    <w:p w14:paraId="4454F71C" w14:textId="77777777" w:rsidR="00CD40BD" w:rsidRDefault="00CD40BD" w:rsidP="008160A2">
      <w:pPr>
        <w:jc w:val="both"/>
      </w:pPr>
      <w:r>
        <w:t>Esta característica está incluida</w:t>
      </w:r>
    </w:p>
    <w:p w14:paraId="0A98C55E" w14:textId="77777777" w:rsidR="00CD40BD" w:rsidRDefault="00CD40BD" w:rsidP="008160A2">
      <w:pPr>
        <w:jc w:val="both"/>
      </w:pPr>
      <w:r>
        <w:t>Directivas de retención</w:t>
      </w:r>
      <w:r>
        <w:tab/>
      </w:r>
      <w:r>
        <w:tab/>
      </w:r>
    </w:p>
    <w:p w14:paraId="21D8529C" w14:textId="77777777" w:rsidR="00CD40BD" w:rsidRDefault="00CD40BD" w:rsidP="008160A2">
      <w:pPr>
        <w:jc w:val="both"/>
      </w:pPr>
      <w:r>
        <w:t>Predeterminado</w:t>
      </w:r>
    </w:p>
    <w:p w14:paraId="02E5EBA4" w14:textId="77777777" w:rsidR="00CD40BD" w:rsidRDefault="00CD40BD" w:rsidP="008160A2">
      <w:pPr>
        <w:jc w:val="both"/>
      </w:pPr>
      <w:r>
        <w:t>Predeterminadas y personalizadas</w:t>
      </w:r>
    </w:p>
    <w:p w14:paraId="498D9233" w14:textId="77777777" w:rsidR="00CD40BD" w:rsidRDefault="00CD40BD" w:rsidP="008160A2">
      <w:pPr>
        <w:jc w:val="both"/>
      </w:pPr>
      <w:r>
        <w:t>Archivo local2</w:t>
      </w:r>
    </w:p>
    <w:p w14:paraId="572E7B08" w14:textId="77777777" w:rsidR="00CD40BD" w:rsidRDefault="00CD40BD" w:rsidP="008160A2">
      <w:pPr>
        <w:jc w:val="both"/>
      </w:pPr>
      <w:r>
        <w:t>Esta característica no está incluida</w:t>
      </w:r>
      <w:r>
        <w:tab/>
      </w:r>
    </w:p>
    <w:p w14:paraId="2D32BDD8" w14:textId="77777777" w:rsidR="00CD40BD" w:rsidRDefault="00CD40BD" w:rsidP="008160A2">
      <w:pPr>
        <w:jc w:val="both"/>
      </w:pPr>
      <w:r>
        <w:t>Esta característica está incluida</w:t>
      </w:r>
    </w:p>
    <w:p w14:paraId="0EA9DC71" w14:textId="77777777" w:rsidR="00CD40BD" w:rsidRDefault="00CD40BD" w:rsidP="008160A2">
      <w:pPr>
        <w:jc w:val="both"/>
      </w:pPr>
      <w:r>
        <w:t>Búsqueda en varios buzones de correo</w:t>
      </w:r>
      <w:r>
        <w:tab/>
      </w:r>
      <w:r>
        <w:tab/>
      </w:r>
    </w:p>
    <w:p w14:paraId="257A8DC7" w14:textId="77777777" w:rsidR="00CD40BD" w:rsidRDefault="00CD40BD" w:rsidP="008160A2">
      <w:pPr>
        <w:jc w:val="both"/>
      </w:pPr>
      <w:r>
        <w:t>Esta característica está incluida</w:t>
      </w:r>
    </w:p>
    <w:p w14:paraId="699DE401" w14:textId="77777777" w:rsidR="00CD40BD" w:rsidRDefault="00CD40BD" w:rsidP="008160A2">
      <w:pPr>
        <w:jc w:val="both"/>
      </w:pPr>
      <w:r>
        <w:t>Esta característica está incluida</w:t>
      </w:r>
    </w:p>
    <w:p w14:paraId="6940FCF6" w14:textId="77777777" w:rsidR="00CD40BD" w:rsidRDefault="00CD40BD" w:rsidP="008160A2">
      <w:pPr>
        <w:jc w:val="both"/>
      </w:pPr>
      <w:r>
        <w:t>Conservación local2</w:t>
      </w:r>
    </w:p>
    <w:p w14:paraId="7D355A35" w14:textId="77777777" w:rsidR="00CD40BD" w:rsidRDefault="00CD40BD" w:rsidP="008160A2">
      <w:pPr>
        <w:jc w:val="both"/>
      </w:pPr>
      <w:r>
        <w:t>Esta característica no está incluida</w:t>
      </w:r>
      <w:r>
        <w:tab/>
      </w:r>
    </w:p>
    <w:p w14:paraId="02D2923A" w14:textId="77777777" w:rsidR="00CD40BD" w:rsidRDefault="00CD40BD" w:rsidP="008160A2">
      <w:pPr>
        <w:jc w:val="both"/>
      </w:pPr>
      <w:r>
        <w:t>Esta característica está incluida</w:t>
      </w:r>
    </w:p>
    <w:p w14:paraId="63406EFE" w14:textId="77777777" w:rsidR="00350C05" w:rsidRDefault="00CD40BD" w:rsidP="008160A2">
      <w:pPr>
        <w:jc w:val="both"/>
      </w:pPr>
      <w:r>
        <w:t>Information Protection and Control (IPC): reglas de protección de transporte, reglas de protección de Outlook, búsqueda de IRM (Information Rights Management).</w:t>
      </w:r>
    </w:p>
    <w:p w14:paraId="39EF01C2" w14:textId="77777777" w:rsidR="00CD40BD" w:rsidRDefault="00CD40BD" w:rsidP="008160A2">
      <w:pPr>
        <w:jc w:val="both"/>
      </w:pPr>
      <w:r>
        <w:lastRenderedPageBreak/>
        <w:t>¿Cuánto cuesta utilizar Linux?</w:t>
      </w:r>
    </w:p>
    <w:p w14:paraId="21234725" w14:textId="77777777" w:rsidR="00CD40BD" w:rsidRDefault="00CD40BD" w:rsidP="008160A2">
      <w:pPr>
        <w:jc w:val="both"/>
      </w:pPr>
      <w:r>
        <w:t>Redacción de Baquía 6/5/2003</w:t>
      </w:r>
    </w:p>
    <w:p w14:paraId="616D1DD9" w14:textId="77777777" w:rsidR="00CD40BD" w:rsidRDefault="00CD40BD" w:rsidP="008160A2">
      <w:pPr>
        <w:jc w:val="both"/>
      </w:pPr>
      <w:r>
        <w:t>Linux se asocia a menudo con el concepto \”gratis\”, cuando en realidad una tecnología \”libre\” no implica una tecnología sin costes. Las ventajas del Open Source respecto al software propietario son bien conocidas: las licencias de uso son gratuitas o de coste reducido; el código libre está abierto a todo tipo de mejoras, desarrollos y contribuciones; las actualizaciones y el mantenimiento son igualmente menos costosas.</w:t>
      </w:r>
    </w:p>
    <w:p w14:paraId="321EEBA5" w14:textId="77777777" w:rsidR="00CD40BD" w:rsidRDefault="00CD40BD" w:rsidP="008160A2">
      <w:pPr>
        <w:jc w:val="both"/>
      </w:pPr>
    </w:p>
    <w:p w14:paraId="6742DC4D" w14:textId="77777777" w:rsidR="00CD40BD" w:rsidRDefault="00CD40BD" w:rsidP="008160A2">
      <w:pPr>
        <w:jc w:val="both"/>
      </w:pPr>
      <w:r>
        <w:t>Pero no todo son ventajas en el uso del Open Source: entre los principales inconvenientes pueden citarse la dificultad de encontrar profesionales expertos en la implantación y el mantenimiento, al ser sistemas menos conocidos que los mucho más familiares de Microsoft (elemento que a la postre incide en el precio final de implementar Linux), o el desconocimiento y la poca familiaridad de los usuarios, especialmente de los particulares.</w:t>
      </w:r>
    </w:p>
    <w:p w14:paraId="0B0A5B21" w14:textId="77777777" w:rsidR="00CD40BD" w:rsidRDefault="00CD40BD" w:rsidP="008160A2">
      <w:pPr>
        <w:jc w:val="both"/>
      </w:pPr>
    </w:p>
    <w:p w14:paraId="2756BCB5" w14:textId="77777777" w:rsidR="00CD40BD" w:rsidRDefault="00CD40BD" w:rsidP="008160A2">
      <w:pPr>
        <w:jc w:val="both"/>
      </w:pPr>
      <w:r>
        <w:t>Es precisamente la escasa familiaridad de los usuarios particulares la que hace que las tecnologías Open Source estén instaladas mayoritariamente en los entornos empresariales, ya sea la empresa privada o la Administración Pública. Actualmente, se calcula que existen alrededor de 15 millones de ordenadores utilizando estas tecnologías. La mayoría son servidores de empresa o de Internet, categorías en las que Linux ocupa alrededor del 20% del mercado mundial.</w:t>
      </w:r>
    </w:p>
    <w:p w14:paraId="45923CAD" w14:textId="77777777" w:rsidR="00CD40BD" w:rsidRDefault="00CD40BD" w:rsidP="008160A2">
      <w:pPr>
        <w:jc w:val="both"/>
      </w:pPr>
    </w:p>
    <w:p w14:paraId="162E9949" w14:textId="77777777" w:rsidR="00CD40BD" w:rsidRDefault="00CD40BD" w:rsidP="008160A2">
      <w:pPr>
        <w:jc w:val="both"/>
      </w:pPr>
      <w:r>
        <w:t>¿Cuál es el coste de implantarlo?</w:t>
      </w:r>
    </w:p>
    <w:p w14:paraId="14BB303B" w14:textId="77777777" w:rsidR="00CD40BD" w:rsidRDefault="00CD40BD" w:rsidP="008160A2">
      <w:pPr>
        <w:jc w:val="both"/>
      </w:pPr>
    </w:p>
    <w:p w14:paraId="6C360F70" w14:textId="77777777" w:rsidR="00CD40BD" w:rsidRDefault="00CD40BD" w:rsidP="008160A2">
      <w:pPr>
        <w:jc w:val="both"/>
      </w:pPr>
      <w:r>
        <w:t>La comparación del coste de implementar y mantener los sistemas y aplicaciones Linux frente a los mucho más conocidos y extendidos productos de Microsoft desvela importantes diferencias económicas, tanto en el corto como en el medio plazo.</w:t>
      </w:r>
    </w:p>
    <w:p w14:paraId="70FB2AE1" w14:textId="77777777" w:rsidR="00CD40BD" w:rsidRDefault="00CD40BD" w:rsidP="008160A2">
      <w:pPr>
        <w:jc w:val="both"/>
      </w:pPr>
      <w:r>
        <w:t>La consultora Abas ha realizado una comparativa de los costes que acarrearían a una pequeña empresa (20 empleados) las licencias de productos Linux y Microsoft. Las inversiones necesarias se han calculado combinando los siguientes parámetros: entorno operativo Linux o Windows y aplicaciones Open Office, Star Office o Microsoft Office.</w:t>
      </w:r>
    </w:p>
    <w:p w14:paraId="6EA8E8DB" w14:textId="77777777" w:rsidR="00CD40BD" w:rsidRDefault="00CD40BD" w:rsidP="008160A2">
      <w:pPr>
        <w:jc w:val="both"/>
      </w:pPr>
      <w:r>
        <w:t>Open Office incluye las herramientas Writer (procesador de textos), Calc (hoja de cálculo), Draw (gráficos, diagramas) e Impress (presentaciones multimedia). Por su parte, Star Office incluye las anteriores Writer, Calc, Draw e Impress, más Adabas (base de datos) y editor de HTML. Además, incluye algunas funcionalidades que no aparecen en Open Office (fuentes, galería de arte, filtros, entre otras).</w:t>
      </w:r>
    </w:p>
    <w:p w14:paraId="60FA01C8" w14:textId="77777777" w:rsidR="00CD40BD" w:rsidRDefault="00CD40BD" w:rsidP="008160A2">
      <w:pPr>
        <w:jc w:val="both"/>
      </w:pPr>
      <w:r>
        <w:t>Hay que tener en cuenta que el sistema operativo de Linux (como Red Hat, Mandrake o SuSe, por ejemplo) puede instalarse sin costes adicionales, sólo con el coste de la licencia inicial, en tantos ordenadores como se desee dentro de una empresa, mientras que es necesario adquirir una licencia individual de Windows 2000 o XP para cada terminal en la que se vaya a instalar.</w:t>
      </w:r>
    </w:p>
    <w:p w14:paraId="722348F8" w14:textId="77777777" w:rsidR="00CD40BD" w:rsidRDefault="00CD40BD" w:rsidP="008160A2">
      <w:pPr>
        <w:jc w:val="both"/>
      </w:pPr>
    </w:p>
    <w:p w14:paraId="4EB340D6" w14:textId="77777777" w:rsidR="00CD40BD" w:rsidRDefault="00CD40BD" w:rsidP="008160A2">
      <w:pPr>
        <w:jc w:val="both"/>
      </w:pPr>
      <w:r>
        <w:lastRenderedPageBreak/>
        <w:t>Tal y como se resume en la tabla posterior, la diferencia en el coste por ordenador para un periodo de cinco años entre las dos opciones extremas (entorno Linux con Open Office frente a Windows 2000 o XP con MS Office) es de 195 euros frente a 1.290 euros. Si se extiende el cálculo a 20 ordenadores, la diferencia es de los mismos 195 euros frente a 25.800 del otro extremo. Incluso si se opta por una solución mixta, con sistema operativo Windows y una aplicación Open Office o Star Office, los costes se reducen sensiblemente que si se opta exclusivamente por los productos Microsoft.</w:t>
      </w:r>
    </w:p>
    <w:p w14:paraId="4DCB3D90" w14:textId="77777777" w:rsidR="00CD40BD" w:rsidRDefault="00CD40BD" w:rsidP="008160A2">
      <w:pPr>
        <w:jc w:val="both"/>
      </w:pPr>
      <w:r>
        <w:t>Más información en Linux: ¿qué aporta a las empresas y qué necesitan para su instalación?</w:t>
      </w:r>
    </w:p>
    <w:p w14:paraId="0905A5C4" w14:textId="77777777" w:rsidR="00CD40BD" w:rsidRDefault="00CD40BD" w:rsidP="008160A2">
      <w:pPr>
        <w:jc w:val="both"/>
      </w:pPr>
      <w:r>
        <w:t>Una aplicación para una gran empresa</w:t>
      </w:r>
    </w:p>
    <w:p w14:paraId="38B50B9F" w14:textId="77777777" w:rsidR="00CD40BD" w:rsidRDefault="00CD40BD" w:rsidP="008160A2">
      <w:pPr>
        <w:jc w:val="both"/>
      </w:pPr>
      <w:r>
        <w:t>El caso anterior analizaba únicamente el ahorro de la inversión en software para una pequeña empresa. Pero la utilización de Linux, y el ahorro derivado, puede hacerse extensible a las necesidades de una gran empresa.</w:t>
      </w:r>
    </w:p>
    <w:p w14:paraId="148BAE2D" w14:textId="77777777" w:rsidR="00CD40BD" w:rsidRDefault="00CD40BD" w:rsidP="008160A2">
      <w:pPr>
        <w:jc w:val="both"/>
      </w:pPr>
      <w:r>
        <w:t>Un estudio de Cybersource recoge todas las necesidades de software de una empresa de 250 empleados, divididas en:</w:t>
      </w:r>
    </w:p>
    <w:p w14:paraId="4DA5BEE7" w14:textId="77777777" w:rsidR="00CD40BD" w:rsidRDefault="00CD40BD" w:rsidP="008160A2">
      <w:pPr>
        <w:jc w:val="both"/>
      </w:pPr>
      <w:r>
        <w:t>Infraestructura y soporte: incluye las licencias para MS Internet Information Server (servidor web), MS Windows 2000 Advanced Server (servidor avanzado), MS Commerce Server (plataforma para comercio electrónico), MS ISA Standard Server (proxys y cortafuegos), MS SQL Server (bases de datos) y MS Exchange Server (servidor de correo electrónico). Frente a estas, se encuentran las alternativas gratuitas de Apache, KDevelop, The Exchange Project, Squid, PostgreSQL y Sendmail o Postfix.</w:t>
      </w:r>
    </w:p>
    <w:p w14:paraId="6A99737D" w14:textId="77777777" w:rsidR="00CD40BD" w:rsidRDefault="00CD40BD" w:rsidP="008160A2">
      <w:pPr>
        <w:jc w:val="both"/>
      </w:pPr>
      <w:r>
        <w:t>Aplicaciones ofimáticas: Norton Antivirus, Windows XP y MS Office, frente las que pueden encontrarse AVG Antivirus, SO de Linux (como Red Hat, Mandrake o SuSe) y Open Office.</w:t>
      </w:r>
    </w:p>
    <w:p w14:paraId="1BF07EDE" w14:textId="77777777" w:rsidR="00CD40BD" w:rsidRDefault="00CD40BD" w:rsidP="008160A2">
      <w:pPr>
        <w:jc w:val="both"/>
      </w:pPr>
      <w:r>
        <w:t>Otras aplicaciones técnicas: MS Visual Studio y Adobe Photograph, para las que existe la alternativa de GIMP.</w:t>
      </w:r>
    </w:p>
    <w:p w14:paraId="743FD92C" w14:textId="77777777" w:rsidR="00CD40BD" w:rsidRDefault="00CD40BD" w:rsidP="008160A2">
      <w:pPr>
        <w:jc w:val="both"/>
      </w:pPr>
      <w:r>
        <w:t>La conclusión es que existe una alternativa Open Source para cualquiera de estos requerimientos, lo que, sin tener en cuenta los costes de mantenimiento, actualización y renovación, reduce la inversión necesaria a la adquisición de la licencia inicial del sistema operativo.</w:t>
      </w:r>
    </w:p>
    <w:p w14:paraId="507B549C" w14:textId="77777777" w:rsidR="000A1005" w:rsidRDefault="000A1005" w:rsidP="008160A2">
      <w:pPr>
        <w:jc w:val="both"/>
      </w:pPr>
      <w:r>
        <w:t>Estudio comparativo de las diferencias entre las licencias de los dos sistemas operativos más extendidos.</w:t>
      </w:r>
    </w:p>
    <w:p w14:paraId="2669C69B" w14:textId="77777777" w:rsidR="000A1005" w:rsidRDefault="000A1005" w:rsidP="008160A2">
      <w:pPr>
        <w:jc w:val="both"/>
      </w:pPr>
      <w:r>
        <w:t xml:space="preserve">En meses pasados se llevó a cabo un estudio para determinar las diferencias entre la licencia utilizada por el sistema operativo Microsoft Windows XP (EULA) y la licencia utilizada por el software de código abierto, entre los que se incluyen Linux (GNU GPL) </w:t>
      </w:r>
    </w:p>
    <w:p w14:paraId="42F4EB4B" w14:textId="77777777" w:rsidR="000A1005" w:rsidRDefault="000A1005" w:rsidP="008160A2">
      <w:pPr>
        <w:jc w:val="both"/>
      </w:pPr>
      <w:r>
        <w:t xml:space="preserve">El estudio fue llevado por Cybercurse empresa líder en Australia que provee servicios TI enfocados en Unix, Linux, TCP/IP y Windows. </w:t>
      </w:r>
    </w:p>
    <w:p w14:paraId="48F384EC" w14:textId="77777777" w:rsidR="000A1005" w:rsidRDefault="000A1005" w:rsidP="008160A2">
      <w:pPr>
        <w:jc w:val="both"/>
      </w:pPr>
      <w:r>
        <w:t xml:space="preserve">Entre lo destacado de este estudio, se revelo que mientras que la licencia EULA, pretende proteger a la empresa Microsoft, la licencia GNU GPL se enfoca más hacia los derechos del usuario </w:t>
      </w:r>
    </w:p>
    <w:p w14:paraId="413F220F" w14:textId="77777777" w:rsidR="000A1005" w:rsidRDefault="000A1005" w:rsidP="008160A2">
      <w:pPr>
        <w:jc w:val="both"/>
      </w:pPr>
      <w:r>
        <w:t xml:space="preserve">Por otro lado, la licencia de Microsoft (EULA) tiene por objetivo limitar al usuario a tomar acciones, elecciones u opciones sobre el software, entre tanto que la GNU GPL se dedica a </w:t>
      </w:r>
      <w:r>
        <w:lastRenderedPageBreak/>
        <w:t xml:space="preserve">salvaguardar los derechos de los desarrolladores originales para mantener la continuidad y la accesibilidad del código fuente para el software. </w:t>
      </w:r>
    </w:p>
    <w:p w14:paraId="2E0A6880" w14:textId="77777777" w:rsidR="000A1005" w:rsidRDefault="000A1005" w:rsidP="008160A2">
      <w:pPr>
        <w:jc w:val="both"/>
      </w:pPr>
      <w:r>
        <w:t xml:space="preserve">Cabe hacer notar que la licencia utilizada para este estudio fue la EULA porque es representante del más nuevo sistema operativo que Microsoft tiene al público para el usuario promedio. </w:t>
      </w:r>
    </w:p>
    <w:p w14:paraId="6057C22D" w14:textId="77777777" w:rsidR="000A1005" w:rsidRDefault="000A1005" w:rsidP="008160A2">
      <w:pPr>
        <w:jc w:val="both"/>
      </w:pPr>
      <w:r>
        <w:t xml:space="preserve">En una conclusión del estudio se puede citar los siguientes puntos: </w:t>
      </w:r>
    </w:p>
    <w:p w14:paraId="21C123B9" w14:textId="77777777" w:rsidR="000A1005" w:rsidRDefault="000A1005" w:rsidP="008160A2">
      <w:pPr>
        <w:jc w:val="both"/>
      </w:pPr>
      <w:r>
        <w:t>La licencia EULA:</w:t>
      </w:r>
    </w:p>
    <w:p w14:paraId="09842EDA" w14:textId="77777777" w:rsidR="000A1005" w:rsidRDefault="000A1005" w:rsidP="008160A2">
      <w:pPr>
        <w:jc w:val="both"/>
      </w:pPr>
      <w:r>
        <w:t>Se prohíbe la copia.</w:t>
      </w:r>
    </w:p>
    <w:p w14:paraId="2F060EFA" w14:textId="77777777" w:rsidR="000A1005" w:rsidRDefault="000A1005" w:rsidP="008160A2">
      <w:pPr>
        <w:jc w:val="both"/>
      </w:pPr>
      <w:r>
        <w:t>Puede ser empleado en un único ordenador con un máximo de 2 procesadores.</w:t>
      </w:r>
    </w:p>
    <w:p w14:paraId="167965FD" w14:textId="77777777" w:rsidR="000A1005" w:rsidRDefault="000A1005" w:rsidP="008160A2">
      <w:pPr>
        <w:jc w:val="both"/>
      </w:pPr>
      <w:r>
        <w:t>No puede ser empleado como webserver o fileserver.</w:t>
      </w:r>
    </w:p>
    <w:p w14:paraId="4A4A543B" w14:textId="77777777" w:rsidR="000A1005" w:rsidRDefault="000A1005" w:rsidP="008160A2">
      <w:pPr>
        <w:jc w:val="both"/>
      </w:pPr>
      <w:r>
        <w:t>Registro necesario a los 30 días.</w:t>
      </w:r>
    </w:p>
    <w:p w14:paraId="208E338D" w14:textId="77777777" w:rsidR="000A1005" w:rsidRDefault="000A1005" w:rsidP="008160A2">
      <w:pPr>
        <w:jc w:val="both"/>
      </w:pPr>
      <w:r>
        <w:t>Puede dejar de funcionar si se efectúan cambios en el hardware.</w:t>
      </w:r>
    </w:p>
    <w:p w14:paraId="0A5C7314" w14:textId="77777777" w:rsidR="000A1005" w:rsidRDefault="000A1005" w:rsidP="008160A2">
      <w:pPr>
        <w:jc w:val="both"/>
      </w:pPr>
      <w:r>
        <w:t>Las actualizaciones del sistema pueden modificar la licencia, si la compañía lo desea.</w:t>
      </w:r>
    </w:p>
    <w:p w14:paraId="17B78B5A" w14:textId="77777777" w:rsidR="000A1005" w:rsidRDefault="000A1005" w:rsidP="008160A2">
      <w:pPr>
        <w:jc w:val="both"/>
      </w:pPr>
      <w:r>
        <w:t>Solo puede ser transferida una vez a otro usuario.</w:t>
      </w:r>
    </w:p>
    <w:p w14:paraId="7769C14D" w14:textId="77777777" w:rsidR="000A1005" w:rsidRDefault="000A1005" w:rsidP="008160A2">
      <w:pPr>
        <w:jc w:val="both"/>
      </w:pPr>
      <w:r>
        <w:t>Impone limitación sobre la ingeniería inversa.</w:t>
      </w:r>
    </w:p>
    <w:p w14:paraId="2F299D5C" w14:textId="77777777" w:rsidR="000A1005" w:rsidRDefault="000A1005" w:rsidP="008160A2">
      <w:pPr>
        <w:jc w:val="both"/>
      </w:pPr>
      <w:r>
        <w:t>Da a Microsoft derecho para en cualquier momento recoger información del sistema y su uso, y también para entregar dicha información a terceros.</w:t>
      </w:r>
    </w:p>
    <w:p w14:paraId="6A86ABF5" w14:textId="77777777" w:rsidR="000A1005" w:rsidRDefault="000A1005" w:rsidP="008160A2">
      <w:pPr>
        <w:jc w:val="both"/>
      </w:pPr>
      <w:r>
        <w:t>La garantía es por los primeros 90 días.</w:t>
      </w:r>
    </w:p>
    <w:p w14:paraId="4B7FD887" w14:textId="77777777" w:rsidR="000A1005" w:rsidRDefault="000A1005" w:rsidP="008160A2">
      <w:pPr>
        <w:jc w:val="both"/>
      </w:pPr>
      <w:r>
        <w:t>Actualizaciones y parches sin garantía.</w:t>
      </w:r>
    </w:p>
    <w:p w14:paraId="02A29CEC" w14:textId="77777777" w:rsidR="000A1005" w:rsidRDefault="000A1005" w:rsidP="008160A2">
      <w:pPr>
        <w:jc w:val="both"/>
      </w:pPr>
      <w:r>
        <w:t>La licencia GPL:</w:t>
      </w:r>
    </w:p>
    <w:p w14:paraId="336AB019" w14:textId="77777777" w:rsidR="000A1005" w:rsidRDefault="000A1005" w:rsidP="008160A2">
      <w:pPr>
        <w:jc w:val="both"/>
      </w:pPr>
      <w:r>
        <w:t>Permite la copia, modificación y redistribución del software.</w:t>
      </w:r>
    </w:p>
    <w:p w14:paraId="1EF288ED" w14:textId="77777777" w:rsidR="000A1005" w:rsidRDefault="000A1005" w:rsidP="008160A2">
      <w:pPr>
        <w:jc w:val="both"/>
      </w:pPr>
      <w:r>
        <w:t>Proporciona garantía de los derechos del usuario a la copia, modificación y redistribución del software.</w:t>
      </w:r>
    </w:p>
    <w:p w14:paraId="597BAE68" w14:textId="77777777" w:rsidR="000A1005" w:rsidRDefault="000A1005" w:rsidP="008160A2">
      <w:pPr>
        <w:jc w:val="both"/>
      </w:pPr>
      <w:r>
        <w:t>Como no tiene costo, tampoco ofrece garantías.</w:t>
      </w:r>
    </w:p>
    <w:p w14:paraId="78DEC277" w14:textId="77777777" w:rsidR="000A1005" w:rsidRDefault="000A1005" w:rsidP="008160A2">
      <w:pPr>
        <w:jc w:val="both"/>
      </w:pPr>
      <w:r>
        <w:t>Puede ser vendido y se puede cobrar por los servicios sobre el software.</w:t>
      </w:r>
    </w:p>
    <w:p w14:paraId="14D744A5" w14:textId="77777777" w:rsidR="000A1005" w:rsidRDefault="000A1005" w:rsidP="008160A2">
      <w:pPr>
        <w:jc w:val="both"/>
      </w:pPr>
      <w:r>
        <w:t>Cualquier patente sobre el mismo debe ser licenciada para el beneficio de todos.</w:t>
      </w:r>
    </w:p>
    <w:p w14:paraId="217139B2" w14:textId="77777777" w:rsidR="000A1005" w:rsidRDefault="000A1005" w:rsidP="008160A2">
      <w:pPr>
        <w:jc w:val="both"/>
      </w:pPr>
      <w:r>
        <w:t>El software modificado no debe tener costo por la licencia.</w:t>
      </w:r>
    </w:p>
    <w:p w14:paraId="0FBF2DA5" w14:textId="77777777" w:rsidR="000A1005" w:rsidRDefault="000A1005" w:rsidP="008160A2">
      <w:pPr>
        <w:jc w:val="both"/>
      </w:pPr>
      <w:r>
        <w:t>Tiene que incluir el código fuente.</w:t>
      </w:r>
    </w:p>
    <w:p w14:paraId="3446CD76" w14:textId="77777777" w:rsidR="00350C05" w:rsidRDefault="000A1005" w:rsidP="008160A2">
      <w:pPr>
        <w:jc w:val="both"/>
      </w:pPr>
      <w:r>
        <w:t>Los cambios en la licencia deben mantener ciertos términos generales.</w:t>
      </w:r>
    </w:p>
    <w:p w14:paraId="1B44FC64" w14:textId="77777777" w:rsidR="000A1005" w:rsidRDefault="000A1005" w:rsidP="008160A2">
      <w:pPr>
        <w:jc w:val="both"/>
      </w:pPr>
      <w:r>
        <w:t>El software libre o de código abierto puede estar bajo diferentes licencias de uso, el hecho de que un software esté clasificado como libre no lo convierte automáticamente en software gratuito, por ello es recomendable saber los tipos de licencia que se maneja en este tipo de Software para comprender mejor su funcionamiento. Lo primero de todo es aclarar tres conceptos básicos</w:t>
      </w:r>
    </w:p>
    <w:p w14:paraId="4093379C" w14:textId="77777777" w:rsidR="000A1005" w:rsidRDefault="000A1005" w:rsidP="008160A2">
      <w:pPr>
        <w:jc w:val="both"/>
      </w:pPr>
    </w:p>
    <w:p w14:paraId="6AC926BF" w14:textId="77777777" w:rsidR="000A1005" w:rsidRDefault="000A1005" w:rsidP="008160A2">
      <w:pPr>
        <w:jc w:val="both"/>
      </w:pPr>
      <w:r>
        <w:lastRenderedPageBreak/>
        <w:t>Licencia. La licencia atribuida a un software es el contrato intelectual que está sometido a derechos de autor</w:t>
      </w:r>
    </w:p>
    <w:p w14:paraId="41E06DBD" w14:textId="77777777" w:rsidR="000A1005" w:rsidRDefault="000A1005" w:rsidP="008160A2">
      <w:pPr>
        <w:jc w:val="both"/>
      </w:pPr>
      <w:r>
        <w:t>Patente. Son los derechos legales adquiridos por el creador de una obra intelectual.</w:t>
      </w:r>
    </w:p>
    <w:p w14:paraId="59DECB58" w14:textId="77777777" w:rsidR="000A1005" w:rsidRDefault="000A1005" w:rsidP="008160A2">
      <w:pPr>
        <w:jc w:val="both"/>
      </w:pPr>
      <w:r>
        <w:t>Tipos de licencias aplicadas al software</w:t>
      </w:r>
    </w:p>
    <w:p w14:paraId="532BC715" w14:textId="77777777" w:rsidR="000A1005" w:rsidRDefault="000A1005" w:rsidP="008160A2">
      <w:pPr>
        <w:jc w:val="both"/>
      </w:pPr>
      <w:r>
        <w:t>Muchas veces se le atribuye al software libre que también es de código abierto y aunque generalmente suele ser así, no siempre se cumple por tanto conviene saber los términos que enmarcan ambas definiciones para poder clasificar el software de manera correcta.</w:t>
      </w:r>
    </w:p>
    <w:p w14:paraId="518161D8" w14:textId="77777777" w:rsidR="000A1005" w:rsidRDefault="000A1005" w:rsidP="008160A2">
      <w:pPr>
        <w:jc w:val="both"/>
      </w:pPr>
      <w:r>
        <w:t>Software libre Es aquél que permite el estudio y modificación del programa para libre distribución y beneficio de los usuarios.</w:t>
      </w:r>
    </w:p>
    <w:p w14:paraId="6B9386EA" w14:textId="77777777" w:rsidR="000A1005" w:rsidRDefault="000A1005" w:rsidP="008160A2">
      <w:pPr>
        <w:jc w:val="both"/>
      </w:pPr>
      <w:r>
        <w:t>Software de código abierto Se centra en los aspectos prácticos del software, lo que constituye la principal diferencia con el software libre que se antepone totalmente a las libertades del individuo.</w:t>
      </w:r>
    </w:p>
    <w:p w14:paraId="15ABAAFB" w14:textId="77777777" w:rsidR="000A1005" w:rsidRDefault="000A1005" w:rsidP="008160A2">
      <w:pPr>
        <w:jc w:val="both"/>
      </w:pPr>
      <w:r>
        <w:t>Un ejemplo de software libre que también es de código abierto sería el propio Kernel de Linux que reúne ambos requisitos.</w:t>
      </w:r>
    </w:p>
    <w:p w14:paraId="75CB2F47" w14:textId="77777777" w:rsidR="000A1005" w:rsidRDefault="000A1005" w:rsidP="008160A2">
      <w:pPr>
        <w:jc w:val="both"/>
      </w:pPr>
      <w:r>
        <w:t>Ahora que conocemos las definiciones de las principales licencias aplicadas al software libre vamos a concretar los requisitos que deben incluir para ser admitidas como Licencias GNU/Linux.</w:t>
      </w:r>
    </w:p>
    <w:p w14:paraId="0EE1BDAB" w14:textId="77777777" w:rsidR="000A1005" w:rsidRDefault="000A1005" w:rsidP="008160A2">
      <w:pPr>
        <w:jc w:val="both"/>
      </w:pPr>
      <w:r>
        <w:t>Lo primero de todo es que deben ser aprobadas por Open Source Iniciativa y tener denominación GPL.</w:t>
      </w:r>
    </w:p>
    <w:p w14:paraId="0535FACD" w14:textId="77777777" w:rsidR="000A1005" w:rsidRDefault="000A1005" w:rsidP="008160A2">
      <w:pPr>
        <w:jc w:val="both"/>
      </w:pPr>
      <w:r>
        <w:t>Conceptos básicos en licencias GNU/Linux</w:t>
      </w:r>
    </w:p>
    <w:p w14:paraId="02E34E5D" w14:textId="77777777" w:rsidR="000A1005" w:rsidRDefault="000A1005" w:rsidP="008160A2">
      <w:pPr>
        <w:jc w:val="both"/>
      </w:pPr>
      <w:r>
        <w:t>GPL: Aplica copyleft a determinadas versiones siempre y cuando estén bajo licencia GPL y sean libres.</w:t>
      </w:r>
    </w:p>
    <w:p w14:paraId="6541E8A0" w14:textId="77777777" w:rsidR="000A1005" w:rsidRDefault="000A1005" w:rsidP="008160A2">
      <w:pPr>
        <w:jc w:val="both"/>
      </w:pPr>
      <w:r>
        <w:t>BDS: Posibilita que otras versiones puedan disponer de otras licencias diferentes tipos BSD o GPL</w:t>
      </w:r>
    </w:p>
    <w:p w14:paraId="2C862DBA" w14:textId="77777777" w:rsidR="000A1005" w:rsidRDefault="000A1005" w:rsidP="008160A2">
      <w:pPr>
        <w:jc w:val="both"/>
      </w:pPr>
      <w:r>
        <w:t xml:space="preserve">MPL: Aplica licencias dobles a los ejecutables y al código fuente, obligando a entregar las modificaciones del código a su creador, licenciando sólo los binarios. </w:t>
      </w:r>
    </w:p>
    <w:sectPr w:rsidR="000A1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05"/>
    <w:rsid w:val="000A1005"/>
    <w:rsid w:val="00350C05"/>
    <w:rsid w:val="00697CF8"/>
    <w:rsid w:val="008160A2"/>
    <w:rsid w:val="00CD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5D32"/>
  <w15:chartTrackingRefBased/>
  <w15:docId w15:val="{0E363C28-664A-41E6-8540-6F9219B0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1555">
      <w:bodyDiv w:val="1"/>
      <w:marLeft w:val="0"/>
      <w:marRight w:val="0"/>
      <w:marTop w:val="0"/>
      <w:marBottom w:val="0"/>
      <w:divBdr>
        <w:top w:val="none" w:sz="0" w:space="0" w:color="auto"/>
        <w:left w:val="none" w:sz="0" w:space="0" w:color="auto"/>
        <w:bottom w:val="none" w:sz="0" w:space="0" w:color="auto"/>
        <w:right w:val="none" w:sz="0" w:space="0" w:color="auto"/>
      </w:divBdr>
    </w:div>
    <w:div w:id="1055665280">
      <w:bodyDiv w:val="1"/>
      <w:marLeft w:val="0"/>
      <w:marRight w:val="0"/>
      <w:marTop w:val="0"/>
      <w:marBottom w:val="0"/>
      <w:divBdr>
        <w:top w:val="none" w:sz="0" w:space="0" w:color="auto"/>
        <w:left w:val="none" w:sz="0" w:space="0" w:color="auto"/>
        <w:bottom w:val="none" w:sz="0" w:space="0" w:color="auto"/>
        <w:right w:val="none" w:sz="0" w:space="0" w:color="auto"/>
      </w:divBdr>
      <w:divsChild>
        <w:div w:id="903107118">
          <w:marLeft w:val="0"/>
          <w:marRight w:val="0"/>
          <w:marTop w:val="0"/>
          <w:marBottom w:val="0"/>
          <w:divBdr>
            <w:top w:val="none" w:sz="0" w:space="0" w:color="auto"/>
            <w:left w:val="none" w:sz="0" w:space="0" w:color="auto"/>
            <w:bottom w:val="none" w:sz="0" w:space="0" w:color="auto"/>
            <w:right w:val="none" w:sz="0" w:space="0" w:color="auto"/>
          </w:divBdr>
          <w:divsChild>
            <w:div w:id="1402406757">
              <w:marLeft w:val="0"/>
              <w:marRight w:val="0"/>
              <w:marTop w:val="0"/>
              <w:marBottom w:val="0"/>
              <w:divBdr>
                <w:top w:val="none" w:sz="0" w:space="0" w:color="auto"/>
                <w:left w:val="none" w:sz="0" w:space="0" w:color="auto"/>
                <w:bottom w:val="none" w:sz="0" w:space="0" w:color="auto"/>
                <w:right w:val="none" w:sz="0" w:space="0" w:color="auto"/>
              </w:divBdr>
              <w:divsChild>
                <w:div w:id="494951723">
                  <w:marLeft w:val="0"/>
                  <w:marRight w:val="0"/>
                  <w:marTop w:val="0"/>
                  <w:marBottom w:val="0"/>
                  <w:divBdr>
                    <w:top w:val="none" w:sz="0" w:space="0" w:color="auto"/>
                    <w:left w:val="none" w:sz="0" w:space="0" w:color="auto"/>
                    <w:bottom w:val="none" w:sz="0" w:space="0" w:color="auto"/>
                    <w:right w:val="none" w:sz="0" w:space="0" w:color="auto"/>
                  </w:divBdr>
                  <w:divsChild>
                    <w:div w:id="212041083">
                      <w:marLeft w:val="0"/>
                      <w:marRight w:val="0"/>
                      <w:marTop w:val="0"/>
                      <w:marBottom w:val="0"/>
                      <w:divBdr>
                        <w:top w:val="none" w:sz="0" w:space="0" w:color="auto"/>
                        <w:left w:val="none" w:sz="0" w:space="0" w:color="auto"/>
                        <w:bottom w:val="none" w:sz="0" w:space="0" w:color="auto"/>
                        <w:right w:val="none" w:sz="0" w:space="0" w:color="auto"/>
                      </w:divBdr>
                    </w:div>
                    <w:div w:id="201140100">
                      <w:marLeft w:val="0"/>
                      <w:marRight w:val="0"/>
                      <w:marTop w:val="0"/>
                      <w:marBottom w:val="0"/>
                      <w:divBdr>
                        <w:top w:val="none" w:sz="0" w:space="0" w:color="auto"/>
                        <w:left w:val="none" w:sz="0" w:space="0" w:color="auto"/>
                        <w:bottom w:val="none" w:sz="0" w:space="0" w:color="auto"/>
                        <w:right w:val="none" w:sz="0" w:space="0" w:color="auto"/>
                      </w:divBdr>
                    </w:div>
                    <w:div w:id="124586745">
                      <w:marLeft w:val="0"/>
                      <w:marRight w:val="0"/>
                      <w:marTop w:val="0"/>
                      <w:marBottom w:val="0"/>
                      <w:divBdr>
                        <w:top w:val="none" w:sz="0" w:space="0" w:color="auto"/>
                        <w:left w:val="none" w:sz="0" w:space="0" w:color="auto"/>
                        <w:bottom w:val="none" w:sz="0" w:space="0" w:color="auto"/>
                        <w:right w:val="none" w:sz="0" w:space="0" w:color="auto"/>
                      </w:divBdr>
                    </w:div>
                    <w:div w:id="1445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629">
              <w:marLeft w:val="0"/>
              <w:marRight w:val="0"/>
              <w:marTop w:val="0"/>
              <w:marBottom w:val="0"/>
              <w:divBdr>
                <w:top w:val="none" w:sz="0" w:space="0" w:color="auto"/>
                <w:left w:val="none" w:sz="0" w:space="0" w:color="auto"/>
                <w:bottom w:val="none" w:sz="0" w:space="0" w:color="auto"/>
                <w:right w:val="none" w:sz="0" w:space="0" w:color="auto"/>
              </w:divBdr>
              <w:divsChild>
                <w:div w:id="862132712">
                  <w:marLeft w:val="0"/>
                  <w:marRight w:val="0"/>
                  <w:marTop w:val="0"/>
                  <w:marBottom w:val="0"/>
                  <w:divBdr>
                    <w:top w:val="none" w:sz="0" w:space="0" w:color="auto"/>
                    <w:left w:val="none" w:sz="0" w:space="0" w:color="auto"/>
                    <w:bottom w:val="none" w:sz="0" w:space="0" w:color="auto"/>
                    <w:right w:val="none" w:sz="0" w:space="0" w:color="auto"/>
                  </w:divBdr>
                  <w:divsChild>
                    <w:div w:id="1253664323">
                      <w:marLeft w:val="0"/>
                      <w:marRight w:val="0"/>
                      <w:marTop w:val="0"/>
                      <w:marBottom w:val="0"/>
                      <w:divBdr>
                        <w:top w:val="none" w:sz="0" w:space="0" w:color="auto"/>
                        <w:left w:val="none" w:sz="0" w:space="0" w:color="auto"/>
                        <w:bottom w:val="none" w:sz="0" w:space="0" w:color="auto"/>
                        <w:right w:val="none" w:sz="0" w:space="0" w:color="auto"/>
                      </w:divBdr>
                    </w:div>
                    <w:div w:id="1022055728">
                      <w:marLeft w:val="0"/>
                      <w:marRight w:val="0"/>
                      <w:marTop w:val="0"/>
                      <w:marBottom w:val="0"/>
                      <w:divBdr>
                        <w:top w:val="none" w:sz="0" w:space="0" w:color="auto"/>
                        <w:left w:val="none" w:sz="0" w:space="0" w:color="auto"/>
                        <w:bottom w:val="none" w:sz="0" w:space="0" w:color="auto"/>
                        <w:right w:val="none" w:sz="0" w:space="0" w:color="auto"/>
                      </w:divBdr>
                    </w:div>
                    <w:div w:id="8090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7074">
          <w:marLeft w:val="0"/>
          <w:marRight w:val="0"/>
          <w:marTop w:val="0"/>
          <w:marBottom w:val="0"/>
          <w:divBdr>
            <w:top w:val="none" w:sz="0" w:space="0" w:color="auto"/>
            <w:left w:val="none" w:sz="0" w:space="0" w:color="auto"/>
            <w:bottom w:val="none" w:sz="0" w:space="0" w:color="auto"/>
            <w:right w:val="none" w:sz="0" w:space="0" w:color="auto"/>
          </w:divBdr>
          <w:divsChild>
            <w:div w:id="792021346">
              <w:marLeft w:val="0"/>
              <w:marRight w:val="0"/>
              <w:marTop w:val="0"/>
              <w:marBottom w:val="0"/>
              <w:divBdr>
                <w:top w:val="none" w:sz="0" w:space="0" w:color="auto"/>
                <w:left w:val="none" w:sz="0" w:space="0" w:color="auto"/>
                <w:bottom w:val="none" w:sz="0" w:space="0" w:color="auto"/>
                <w:right w:val="none" w:sz="0" w:space="0" w:color="auto"/>
              </w:divBdr>
              <w:divsChild>
                <w:div w:id="1535383645">
                  <w:marLeft w:val="0"/>
                  <w:marRight w:val="0"/>
                  <w:marTop w:val="0"/>
                  <w:marBottom w:val="0"/>
                  <w:divBdr>
                    <w:top w:val="none" w:sz="0" w:space="0" w:color="auto"/>
                    <w:left w:val="none" w:sz="0" w:space="0" w:color="auto"/>
                    <w:bottom w:val="none" w:sz="0" w:space="0" w:color="auto"/>
                    <w:right w:val="none" w:sz="0" w:space="0" w:color="auto"/>
                  </w:divBdr>
                </w:div>
              </w:divsChild>
            </w:div>
            <w:div w:id="447941669">
              <w:marLeft w:val="0"/>
              <w:marRight w:val="0"/>
              <w:marTop w:val="0"/>
              <w:marBottom w:val="0"/>
              <w:divBdr>
                <w:top w:val="none" w:sz="0" w:space="0" w:color="auto"/>
                <w:left w:val="none" w:sz="0" w:space="0" w:color="auto"/>
                <w:bottom w:val="none" w:sz="0" w:space="0" w:color="auto"/>
                <w:right w:val="none" w:sz="0" w:space="0" w:color="auto"/>
              </w:divBdr>
              <w:divsChild>
                <w:div w:id="2053725198">
                  <w:marLeft w:val="0"/>
                  <w:marRight w:val="0"/>
                  <w:marTop w:val="0"/>
                  <w:marBottom w:val="0"/>
                  <w:divBdr>
                    <w:top w:val="none" w:sz="0" w:space="0" w:color="auto"/>
                    <w:left w:val="none" w:sz="0" w:space="0" w:color="auto"/>
                    <w:bottom w:val="none" w:sz="0" w:space="0" w:color="auto"/>
                    <w:right w:val="none" w:sz="0" w:space="0" w:color="auto"/>
                  </w:divBdr>
                  <w:divsChild>
                    <w:div w:id="1778989083">
                      <w:marLeft w:val="0"/>
                      <w:marRight w:val="0"/>
                      <w:marTop w:val="0"/>
                      <w:marBottom w:val="0"/>
                      <w:divBdr>
                        <w:top w:val="none" w:sz="0" w:space="0" w:color="auto"/>
                        <w:left w:val="none" w:sz="0" w:space="0" w:color="auto"/>
                        <w:bottom w:val="none" w:sz="0" w:space="0" w:color="auto"/>
                        <w:right w:val="none" w:sz="0" w:space="0" w:color="auto"/>
                      </w:divBdr>
                      <w:divsChild>
                        <w:div w:id="1438712688">
                          <w:marLeft w:val="0"/>
                          <w:marRight w:val="0"/>
                          <w:marTop w:val="0"/>
                          <w:marBottom w:val="0"/>
                          <w:divBdr>
                            <w:top w:val="none" w:sz="0" w:space="0" w:color="auto"/>
                            <w:left w:val="none" w:sz="0" w:space="0" w:color="auto"/>
                            <w:bottom w:val="none" w:sz="0" w:space="0" w:color="auto"/>
                            <w:right w:val="none" w:sz="0" w:space="0" w:color="auto"/>
                          </w:divBdr>
                          <w:divsChild>
                            <w:div w:id="1237323597">
                              <w:marLeft w:val="0"/>
                              <w:marRight w:val="0"/>
                              <w:marTop w:val="0"/>
                              <w:marBottom w:val="0"/>
                              <w:divBdr>
                                <w:top w:val="none" w:sz="0" w:space="0" w:color="auto"/>
                                <w:left w:val="none" w:sz="0" w:space="0" w:color="auto"/>
                                <w:bottom w:val="none" w:sz="0" w:space="0" w:color="auto"/>
                                <w:right w:val="none" w:sz="0" w:space="0" w:color="auto"/>
                              </w:divBdr>
                            </w:div>
                            <w:div w:id="64962653">
                              <w:marLeft w:val="0"/>
                              <w:marRight w:val="0"/>
                              <w:marTop w:val="0"/>
                              <w:marBottom w:val="0"/>
                              <w:divBdr>
                                <w:top w:val="none" w:sz="0" w:space="0" w:color="auto"/>
                                <w:left w:val="none" w:sz="0" w:space="0" w:color="auto"/>
                                <w:bottom w:val="none" w:sz="0" w:space="0" w:color="auto"/>
                                <w:right w:val="none" w:sz="0" w:space="0" w:color="auto"/>
                              </w:divBdr>
                            </w:div>
                            <w:div w:id="1213346919">
                              <w:marLeft w:val="0"/>
                              <w:marRight w:val="0"/>
                              <w:marTop w:val="0"/>
                              <w:marBottom w:val="0"/>
                              <w:divBdr>
                                <w:top w:val="none" w:sz="0" w:space="0" w:color="auto"/>
                                <w:left w:val="none" w:sz="0" w:space="0" w:color="auto"/>
                                <w:bottom w:val="none" w:sz="0" w:space="0" w:color="auto"/>
                                <w:right w:val="none" w:sz="0" w:space="0" w:color="auto"/>
                              </w:divBdr>
                            </w:div>
                            <w:div w:id="1611279073">
                              <w:marLeft w:val="0"/>
                              <w:marRight w:val="0"/>
                              <w:marTop w:val="0"/>
                              <w:marBottom w:val="0"/>
                              <w:divBdr>
                                <w:top w:val="none" w:sz="0" w:space="0" w:color="auto"/>
                                <w:left w:val="none" w:sz="0" w:space="0" w:color="auto"/>
                                <w:bottom w:val="none" w:sz="0" w:space="0" w:color="auto"/>
                                <w:right w:val="none" w:sz="0" w:space="0" w:color="auto"/>
                              </w:divBdr>
                            </w:div>
                            <w:div w:id="523323063">
                              <w:marLeft w:val="0"/>
                              <w:marRight w:val="0"/>
                              <w:marTop w:val="0"/>
                              <w:marBottom w:val="0"/>
                              <w:divBdr>
                                <w:top w:val="none" w:sz="0" w:space="0" w:color="auto"/>
                                <w:left w:val="none" w:sz="0" w:space="0" w:color="auto"/>
                                <w:bottom w:val="none" w:sz="0" w:space="0" w:color="auto"/>
                                <w:right w:val="none" w:sz="0" w:space="0" w:color="auto"/>
                              </w:divBdr>
                            </w:div>
                            <w:div w:id="3673645">
                              <w:marLeft w:val="0"/>
                              <w:marRight w:val="0"/>
                              <w:marTop w:val="0"/>
                              <w:marBottom w:val="0"/>
                              <w:divBdr>
                                <w:top w:val="none" w:sz="0" w:space="0" w:color="auto"/>
                                <w:left w:val="none" w:sz="0" w:space="0" w:color="auto"/>
                                <w:bottom w:val="none" w:sz="0" w:space="0" w:color="auto"/>
                                <w:right w:val="none" w:sz="0" w:space="0" w:color="auto"/>
                              </w:divBdr>
                            </w:div>
                            <w:div w:id="1305621979">
                              <w:marLeft w:val="0"/>
                              <w:marRight w:val="0"/>
                              <w:marTop w:val="0"/>
                              <w:marBottom w:val="0"/>
                              <w:divBdr>
                                <w:top w:val="none" w:sz="0" w:space="0" w:color="auto"/>
                                <w:left w:val="none" w:sz="0" w:space="0" w:color="auto"/>
                                <w:bottom w:val="none" w:sz="0" w:space="0" w:color="auto"/>
                                <w:right w:val="none" w:sz="0" w:space="0" w:color="auto"/>
                              </w:divBdr>
                            </w:div>
                            <w:div w:id="576592492">
                              <w:marLeft w:val="0"/>
                              <w:marRight w:val="0"/>
                              <w:marTop w:val="0"/>
                              <w:marBottom w:val="0"/>
                              <w:divBdr>
                                <w:top w:val="none" w:sz="0" w:space="0" w:color="auto"/>
                                <w:left w:val="none" w:sz="0" w:space="0" w:color="auto"/>
                                <w:bottom w:val="none" w:sz="0" w:space="0" w:color="auto"/>
                                <w:right w:val="none" w:sz="0" w:space="0" w:color="auto"/>
                              </w:divBdr>
                            </w:div>
                            <w:div w:id="507868480">
                              <w:marLeft w:val="0"/>
                              <w:marRight w:val="0"/>
                              <w:marTop w:val="0"/>
                              <w:marBottom w:val="0"/>
                              <w:divBdr>
                                <w:top w:val="none" w:sz="0" w:space="0" w:color="auto"/>
                                <w:left w:val="none" w:sz="0" w:space="0" w:color="auto"/>
                                <w:bottom w:val="none" w:sz="0" w:space="0" w:color="auto"/>
                                <w:right w:val="none" w:sz="0" w:space="0" w:color="auto"/>
                              </w:divBdr>
                            </w:div>
                            <w:div w:id="1166436805">
                              <w:marLeft w:val="0"/>
                              <w:marRight w:val="0"/>
                              <w:marTop w:val="0"/>
                              <w:marBottom w:val="0"/>
                              <w:divBdr>
                                <w:top w:val="none" w:sz="0" w:space="0" w:color="auto"/>
                                <w:left w:val="none" w:sz="0" w:space="0" w:color="auto"/>
                                <w:bottom w:val="none" w:sz="0" w:space="0" w:color="auto"/>
                                <w:right w:val="none" w:sz="0" w:space="0" w:color="auto"/>
                              </w:divBdr>
                            </w:div>
                            <w:div w:id="1408188274">
                              <w:marLeft w:val="0"/>
                              <w:marRight w:val="0"/>
                              <w:marTop w:val="0"/>
                              <w:marBottom w:val="0"/>
                              <w:divBdr>
                                <w:top w:val="none" w:sz="0" w:space="0" w:color="auto"/>
                                <w:left w:val="none" w:sz="0" w:space="0" w:color="auto"/>
                                <w:bottom w:val="none" w:sz="0" w:space="0" w:color="auto"/>
                                <w:right w:val="none" w:sz="0" w:space="0" w:color="auto"/>
                              </w:divBdr>
                            </w:div>
                            <w:div w:id="300692040">
                              <w:marLeft w:val="0"/>
                              <w:marRight w:val="0"/>
                              <w:marTop w:val="0"/>
                              <w:marBottom w:val="0"/>
                              <w:divBdr>
                                <w:top w:val="none" w:sz="0" w:space="0" w:color="auto"/>
                                <w:left w:val="none" w:sz="0" w:space="0" w:color="auto"/>
                                <w:bottom w:val="none" w:sz="0" w:space="0" w:color="auto"/>
                                <w:right w:val="none" w:sz="0" w:space="0" w:color="auto"/>
                              </w:divBdr>
                            </w:div>
                            <w:div w:id="58096407">
                              <w:marLeft w:val="0"/>
                              <w:marRight w:val="0"/>
                              <w:marTop w:val="0"/>
                              <w:marBottom w:val="0"/>
                              <w:divBdr>
                                <w:top w:val="none" w:sz="0" w:space="0" w:color="auto"/>
                                <w:left w:val="none" w:sz="0" w:space="0" w:color="auto"/>
                                <w:bottom w:val="none" w:sz="0" w:space="0" w:color="auto"/>
                                <w:right w:val="none" w:sz="0" w:space="0" w:color="auto"/>
                              </w:divBdr>
                            </w:div>
                            <w:div w:id="863976496">
                              <w:marLeft w:val="0"/>
                              <w:marRight w:val="0"/>
                              <w:marTop w:val="0"/>
                              <w:marBottom w:val="0"/>
                              <w:divBdr>
                                <w:top w:val="none" w:sz="0" w:space="0" w:color="auto"/>
                                <w:left w:val="none" w:sz="0" w:space="0" w:color="auto"/>
                                <w:bottom w:val="none" w:sz="0" w:space="0" w:color="auto"/>
                                <w:right w:val="none" w:sz="0" w:space="0" w:color="auto"/>
                              </w:divBdr>
                              <w:divsChild>
                                <w:div w:id="1095978374">
                                  <w:marLeft w:val="0"/>
                                  <w:marRight w:val="0"/>
                                  <w:marTop w:val="0"/>
                                  <w:marBottom w:val="0"/>
                                  <w:divBdr>
                                    <w:top w:val="none" w:sz="0" w:space="0" w:color="auto"/>
                                    <w:left w:val="none" w:sz="0" w:space="0" w:color="auto"/>
                                    <w:bottom w:val="none" w:sz="0" w:space="0" w:color="auto"/>
                                    <w:right w:val="none" w:sz="0" w:space="0" w:color="auto"/>
                                  </w:divBdr>
                                </w:div>
                              </w:divsChild>
                            </w:div>
                            <w:div w:id="473564628">
                              <w:marLeft w:val="0"/>
                              <w:marRight w:val="0"/>
                              <w:marTop w:val="0"/>
                              <w:marBottom w:val="0"/>
                              <w:divBdr>
                                <w:top w:val="none" w:sz="0" w:space="0" w:color="auto"/>
                                <w:left w:val="none" w:sz="0" w:space="0" w:color="auto"/>
                                <w:bottom w:val="none" w:sz="0" w:space="0" w:color="auto"/>
                                <w:right w:val="none" w:sz="0" w:space="0" w:color="auto"/>
                              </w:divBdr>
                              <w:divsChild>
                                <w:div w:id="465507864">
                                  <w:marLeft w:val="0"/>
                                  <w:marRight w:val="0"/>
                                  <w:marTop w:val="0"/>
                                  <w:marBottom w:val="0"/>
                                  <w:divBdr>
                                    <w:top w:val="none" w:sz="0" w:space="0" w:color="auto"/>
                                    <w:left w:val="none" w:sz="0" w:space="0" w:color="auto"/>
                                    <w:bottom w:val="none" w:sz="0" w:space="0" w:color="auto"/>
                                    <w:right w:val="none" w:sz="0" w:space="0" w:color="auto"/>
                                  </w:divBdr>
                                </w:div>
                              </w:divsChild>
                            </w:div>
                            <w:div w:id="491991127">
                              <w:marLeft w:val="0"/>
                              <w:marRight w:val="0"/>
                              <w:marTop w:val="0"/>
                              <w:marBottom w:val="0"/>
                              <w:divBdr>
                                <w:top w:val="none" w:sz="0" w:space="0" w:color="auto"/>
                                <w:left w:val="none" w:sz="0" w:space="0" w:color="auto"/>
                                <w:bottom w:val="none" w:sz="0" w:space="0" w:color="auto"/>
                                <w:right w:val="none" w:sz="0" w:space="0" w:color="auto"/>
                              </w:divBdr>
                            </w:div>
                            <w:div w:id="283661129">
                              <w:marLeft w:val="0"/>
                              <w:marRight w:val="0"/>
                              <w:marTop w:val="0"/>
                              <w:marBottom w:val="0"/>
                              <w:divBdr>
                                <w:top w:val="none" w:sz="0" w:space="0" w:color="auto"/>
                                <w:left w:val="none" w:sz="0" w:space="0" w:color="auto"/>
                                <w:bottom w:val="none" w:sz="0" w:space="0" w:color="auto"/>
                                <w:right w:val="none" w:sz="0" w:space="0" w:color="auto"/>
                              </w:divBdr>
                            </w:div>
                            <w:div w:id="657617978">
                              <w:marLeft w:val="0"/>
                              <w:marRight w:val="0"/>
                              <w:marTop w:val="0"/>
                              <w:marBottom w:val="0"/>
                              <w:divBdr>
                                <w:top w:val="none" w:sz="0" w:space="0" w:color="auto"/>
                                <w:left w:val="none" w:sz="0" w:space="0" w:color="auto"/>
                                <w:bottom w:val="none" w:sz="0" w:space="0" w:color="auto"/>
                                <w:right w:val="none" w:sz="0" w:space="0" w:color="auto"/>
                              </w:divBdr>
                              <w:divsChild>
                                <w:div w:id="897203742">
                                  <w:marLeft w:val="0"/>
                                  <w:marRight w:val="0"/>
                                  <w:marTop w:val="0"/>
                                  <w:marBottom w:val="0"/>
                                  <w:divBdr>
                                    <w:top w:val="none" w:sz="0" w:space="0" w:color="auto"/>
                                    <w:left w:val="none" w:sz="0" w:space="0" w:color="auto"/>
                                    <w:bottom w:val="none" w:sz="0" w:space="0" w:color="auto"/>
                                    <w:right w:val="none" w:sz="0" w:space="0" w:color="auto"/>
                                  </w:divBdr>
                                </w:div>
                              </w:divsChild>
                            </w:div>
                            <w:div w:id="652879062">
                              <w:marLeft w:val="0"/>
                              <w:marRight w:val="0"/>
                              <w:marTop w:val="0"/>
                              <w:marBottom w:val="0"/>
                              <w:divBdr>
                                <w:top w:val="none" w:sz="0" w:space="0" w:color="auto"/>
                                <w:left w:val="none" w:sz="0" w:space="0" w:color="auto"/>
                                <w:bottom w:val="none" w:sz="0" w:space="0" w:color="auto"/>
                                <w:right w:val="none" w:sz="0" w:space="0" w:color="auto"/>
                              </w:divBdr>
                              <w:divsChild>
                                <w:div w:id="2110391421">
                                  <w:marLeft w:val="0"/>
                                  <w:marRight w:val="0"/>
                                  <w:marTop w:val="0"/>
                                  <w:marBottom w:val="0"/>
                                  <w:divBdr>
                                    <w:top w:val="none" w:sz="0" w:space="0" w:color="auto"/>
                                    <w:left w:val="none" w:sz="0" w:space="0" w:color="auto"/>
                                    <w:bottom w:val="none" w:sz="0" w:space="0" w:color="auto"/>
                                    <w:right w:val="none" w:sz="0" w:space="0" w:color="auto"/>
                                  </w:divBdr>
                                </w:div>
                              </w:divsChild>
                            </w:div>
                            <w:div w:id="1245072353">
                              <w:marLeft w:val="0"/>
                              <w:marRight w:val="0"/>
                              <w:marTop w:val="0"/>
                              <w:marBottom w:val="0"/>
                              <w:divBdr>
                                <w:top w:val="none" w:sz="0" w:space="0" w:color="auto"/>
                                <w:left w:val="none" w:sz="0" w:space="0" w:color="auto"/>
                                <w:bottom w:val="none" w:sz="0" w:space="0" w:color="auto"/>
                                <w:right w:val="none" w:sz="0" w:space="0" w:color="auto"/>
                              </w:divBdr>
                            </w:div>
                            <w:div w:id="622885427">
                              <w:marLeft w:val="0"/>
                              <w:marRight w:val="0"/>
                              <w:marTop w:val="0"/>
                              <w:marBottom w:val="0"/>
                              <w:divBdr>
                                <w:top w:val="none" w:sz="0" w:space="0" w:color="auto"/>
                                <w:left w:val="none" w:sz="0" w:space="0" w:color="auto"/>
                                <w:bottom w:val="none" w:sz="0" w:space="0" w:color="auto"/>
                                <w:right w:val="none" w:sz="0" w:space="0" w:color="auto"/>
                              </w:divBdr>
                            </w:div>
                            <w:div w:id="862981128">
                              <w:marLeft w:val="0"/>
                              <w:marRight w:val="0"/>
                              <w:marTop w:val="0"/>
                              <w:marBottom w:val="0"/>
                              <w:divBdr>
                                <w:top w:val="none" w:sz="0" w:space="0" w:color="auto"/>
                                <w:left w:val="none" w:sz="0" w:space="0" w:color="auto"/>
                                <w:bottom w:val="none" w:sz="0" w:space="0" w:color="auto"/>
                                <w:right w:val="none" w:sz="0" w:space="0" w:color="auto"/>
                              </w:divBdr>
                            </w:div>
                            <w:div w:id="342170530">
                              <w:marLeft w:val="0"/>
                              <w:marRight w:val="0"/>
                              <w:marTop w:val="0"/>
                              <w:marBottom w:val="0"/>
                              <w:divBdr>
                                <w:top w:val="none" w:sz="0" w:space="0" w:color="auto"/>
                                <w:left w:val="none" w:sz="0" w:space="0" w:color="auto"/>
                                <w:bottom w:val="none" w:sz="0" w:space="0" w:color="auto"/>
                                <w:right w:val="none" w:sz="0" w:space="0" w:color="auto"/>
                              </w:divBdr>
                            </w:div>
                            <w:div w:id="381054538">
                              <w:marLeft w:val="0"/>
                              <w:marRight w:val="0"/>
                              <w:marTop w:val="0"/>
                              <w:marBottom w:val="0"/>
                              <w:divBdr>
                                <w:top w:val="none" w:sz="0" w:space="0" w:color="auto"/>
                                <w:left w:val="none" w:sz="0" w:space="0" w:color="auto"/>
                                <w:bottom w:val="none" w:sz="0" w:space="0" w:color="auto"/>
                                <w:right w:val="none" w:sz="0" w:space="0" w:color="auto"/>
                              </w:divBdr>
                            </w:div>
                            <w:div w:id="1220899120">
                              <w:marLeft w:val="0"/>
                              <w:marRight w:val="0"/>
                              <w:marTop w:val="0"/>
                              <w:marBottom w:val="0"/>
                              <w:divBdr>
                                <w:top w:val="none" w:sz="0" w:space="0" w:color="auto"/>
                                <w:left w:val="none" w:sz="0" w:space="0" w:color="auto"/>
                                <w:bottom w:val="none" w:sz="0" w:space="0" w:color="auto"/>
                                <w:right w:val="none" w:sz="0" w:space="0" w:color="auto"/>
                              </w:divBdr>
                            </w:div>
                            <w:div w:id="1466510454">
                              <w:marLeft w:val="0"/>
                              <w:marRight w:val="0"/>
                              <w:marTop w:val="0"/>
                              <w:marBottom w:val="0"/>
                              <w:divBdr>
                                <w:top w:val="none" w:sz="0" w:space="0" w:color="auto"/>
                                <w:left w:val="none" w:sz="0" w:space="0" w:color="auto"/>
                                <w:bottom w:val="none" w:sz="0" w:space="0" w:color="auto"/>
                                <w:right w:val="none" w:sz="0" w:space="0" w:color="auto"/>
                              </w:divBdr>
                            </w:div>
                            <w:div w:id="1074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331903">
      <w:bodyDiv w:val="1"/>
      <w:marLeft w:val="0"/>
      <w:marRight w:val="0"/>
      <w:marTop w:val="0"/>
      <w:marBottom w:val="0"/>
      <w:divBdr>
        <w:top w:val="none" w:sz="0" w:space="0" w:color="auto"/>
        <w:left w:val="none" w:sz="0" w:space="0" w:color="auto"/>
        <w:bottom w:val="none" w:sz="0" w:space="0" w:color="auto"/>
        <w:right w:val="none" w:sz="0" w:space="0" w:color="auto"/>
      </w:divBdr>
      <w:divsChild>
        <w:div w:id="415981166">
          <w:marLeft w:val="0"/>
          <w:marRight w:val="0"/>
          <w:marTop w:val="0"/>
          <w:marBottom w:val="0"/>
          <w:divBdr>
            <w:top w:val="none" w:sz="0" w:space="0" w:color="auto"/>
            <w:left w:val="none" w:sz="0" w:space="0" w:color="auto"/>
            <w:bottom w:val="none" w:sz="0" w:space="0" w:color="auto"/>
            <w:right w:val="none" w:sz="0" w:space="0" w:color="auto"/>
          </w:divBdr>
          <w:divsChild>
            <w:div w:id="927544578">
              <w:marLeft w:val="0"/>
              <w:marRight w:val="0"/>
              <w:marTop w:val="0"/>
              <w:marBottom w:val="0"/>
              <w:divBdr>
                <w:top w:val="none" w:sz="0" w:space="0" w:color="auto"/>
                <w:left w:val="none" w:sz="0" w:space="0" w:color="auto"/>
                <w:bottom w:val="none" w:sz="0" w:space="0" w:color="auto"/>
                <w:right w:val="none" w:sz="0" w:space="0" w:color="auto"/>
              </w:divBdr>
              <w:divsChild>
                <w:div w:id="1746100729">
                  <w:marLeft w:val="0"/>
                  <w:marRight w:val="0"/>
                  <w:marTop w:val="0"/>
                  <w:marBottom w:val="0"/>
                  <w:divBdr>
                    <w:top w:val="none" w:sz="0" w:space="0" w:color="auto"/>
                    <w:left w:val="none" w:sz="0" w:space="0" w:color="auto"/>
                    <w:bottom w:val="none" w:sz="0" w:space="0" w:color="auto"/>
                    <w:right w:val="none" w:sz="0" w:space="0" w:color="auto"/>
                  </w:divBdr>
                  <w:divsChild>
                    <w:div w:id="556362177">
                      <w:marLeft w:val="0"/>
                      <w:marRight w:val="0"/>
                      <w:marTop w:val="0"/>
                      <w:marBottom w:val="0"/>
                      <w:divBdr>
                        <w:top w:val="none" w:sz="0" w:space="0" w:color="auto"/>
                        <w:left w:val="none" w:sz="0" w:space="0" w:color="auto"/>
                        <w:bottom w:val="none" w:sz="0" w:space="0" w:color="auto"/>
                        <w:right w:val="none" w:sz="0" w:space="0" w:color="auto"/>
                      </w:divBdr>
                      <w:divsChild>
                        <w:div w:id="628248853">
                          <w:marLeft w:val="0"/>
                          <w:marRight w:val="0"/>
                          <w:marTop w:val="0"/>
                          <w:marBottom w:val="0"/>
                          <w:divBdr>
                            <w:top w:val="none" w:sz="0" w:space="0" w:color="auto"/>
                            <w:left w:val="none" w:sz="0" w:space="0" w:color="auto"/>
                            <w:bottom w:val="none" w:sz="0" w:space="0" w:color="auto"/>
                            <w:right w:val="none" w:sz="0" w:space="0" w:color="auto"/>
                          </w:divBdr>
                        </w:div>
                      </w:divsChild>
                    </w:div>
                    <w:div w:id="2107918064">
                      <w:marLeft w:val="0"/>
                      <w:marRight w:val="0"/>
                      <w:marTop w:val="0"/>
                      <w:marBottom w:val="0"/>
                      <w:divBdr>
                        <w:top w:val="none" w:sz="0" w:space="0" w:color="auto"/>
                        <w:left w:val="none" w:sz="0" w:space="0" w:color="auto"/>
                        <w:bottom w:val="none" w:sz="0" w:space="0" w:color="auto"/>
                        <w:right w:val="none" w:sz="0" w:space="0" w:color="auto"/>
                      </w:divBdr>
                      <w:divsChild>
                        <w:div w:id="957106031">
                          <w:marLeft w:val="0"/>
                          <w:marRight w:val="0"/>
                          <w:marTop w:val="0"/>
                          <w:marBottom w:val="0"/>
                          <w:divBdr>
                            <w:top w:val="none" w:sz="0" w:space="0" w:color="auto"/>
                            <w:left w:val="none" w:sz="0" w:space="0" w:color="auto"/>
                            <w:bottom w:val="none" w:sz="0" w:space="0" w:color="auto"/>
                            <w:right w:val="none" w:sz="0" w:space="0" w:color="auto"/>
                          </w:divBdr>
                        </w:div>
                      </w:divsChild>
                    </w:div>
                    <w:div w:id="9646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8183">
          <w:marLeft w:val="0"/>
          <w:marRight w:val="0"/>
          <w:marTop w:val="0"/>
          <w:marBottom w:val="0"/>
          <w:divBdr>
            <w:top w:val="none" w:sz="0" w:space="0" w:color="auto"/>
            <w:left w:val="none" w:sz="0" w:space="0" w:color="auto"/>
            <w:bottom w:val="none" w:sz="0" w:space="0" w:color="auto"/>
            <w:right w:val="none" w:sz="0" w:space="0" w:color="auto"/>
          </w:divBdr>
          <w:divsChild>
            <w:div w:id="89282052">
              <w:marLeft w:val="0"/>
              <w:marRight w:val="0"/>
              <w:marTop w:val="0"/>
              <w:marBottom w:val="0"/>
              <w:divBdr>
                <w:top w:val="none" w:sz="0" w:space="0" w:color="auto"/>
                <w:left w:val="none" w:sz="0" w:space="0" w:color="auto"/>
                <w:bottom w:val="none" w:sz="0" w:space="0" w:color="auto"/>
                <w:right w:val="none" w:sz="0" w:space="0" w:color="auto"/>
              </w:divBdr>
              <w:divsChild>
                <w:div w:id="1525023521">
                  <w:marLeft w:val="0"/>
                  <w:marRight w:val="0"/>
                  <w:marTop w:val="0"/>
                  <w:marBottom w:val="0"/>
                  <w:divBdr>
                    <w:top w:val="none" w:sz="0" w:space="0" w:color="auto"/>
                    <w:left w:val="none" w:sz="0" w:space="0" w:color="auto"/>
                    <w:bottom w:val="none" w:sz="0" w:space="0" w:color="auto"/>
                    <w:right w:val="none" w:sz="0" w:space="0" w:color="auto"/>
                  </w:divBdr>
                  <w:divsChild>
                    <w:div w:id="1827429827">
                      <w:marLeft w:val="0"/>
                      <w:marRight w:val="0"/>
                      <w:marTop w:val="0"/>
                      <w:marBottom w:val="0"/>
                      <w:divBdr>
                        <w:top w:val="none" w:sz="0" w:space="0" w:color="auto"/>
                        <w:left w:val="none" w:sz="0" w:space="0" w:color="auto"/>
                        <w:bottom w:val="none" w:sz="0" w:space="0" w:color="auto"/>
                        <w:right w:val="none" w:sz="0" w:space="0" w:color="auto"/>
                      </w:divBdr>
                      <w:divsChild>
                        <w:div w:id="1160345531">
                          <w:marLeft w:val="0"/>
                          <w:marRight w:val="0"/>
                          <w:marTop w:val="0"/>
                          <w:marBottom w:val="0"/>
                          <w:divBdr>
                            <w:top w:val="none" w:sz="0" w:space="0" w:color="auto"/>
                            <w:left w:val="none" w:sz="0" w:space="0" w:color="auto"/>
                            <w:bottom w:val="none" w:sz="0" w:space="0" w:color="auto"/>
                            <w:right w:val="none" w:sz="0" w:space="0" w:color="auto"/>
                          </w:divBdr>
                        </w:div>
                      </w:divsChild>
                    </w:div>
                    <w:div w:id="360781876">
                      <w:marLeft w:val="0"/>
                      <w:marRight w:val="0"/>
                      <w:marTop w:val="0"/>
                      <w:marBottom w:val="0"/>
                      <w:divBdr>
                        <w:top w:val="none" w:sz="0" w:space="0" w:color="auto"/>
                        <w:left w:val="none" w:sz="0" w:space="0" w:color="auto"/>
                        <w:bottom w:val="none" w:sz="0" w:space="0" w:color="auto"/>
                        <w:right w:val="none" w:sz="0" w:space="0" w:color="auto"/>
                      </w:divBdr>
                      <w:divsChild>
                        <w:div w:id="873274657">
                          <w:marLeft w:val="0"/>
                          <w:marRight w:val="0"/>
                          <w:marTop w:val="0"/>
                          <w:marBottom w:val="0"/>
                          <w:divBdr>
                            <w:top w:val="none" w:sz="0" w:space="0" w:color="auto"/>
                            <w:left w:val="none" w:sz="0" w:space="0" w:color="auto"/>
                            <w:bottom w:val="none" w:sz="0" w:space="0" w:color="auto"/>
                            <w:right w:val="none" w:sz="0" w:space="0" w:color="auto"/>
                          </w:divBdr>
                        </w:div>
                      </w:divsChild>
                    </w:div>
                    <w:div w:id="672685423">
                      <w:marLeft w:val="0"/>
                      <w:marRight w:val="0"/>
                      <w:marTop w:val="0"/>
                      <w:marBottom w:val="0"/>
                      <w:divBdr>
                        <w:top w:val="none" w:sz="0" w:space="0" w:color="auto"/>
                        <w:left w:val="none" w:sz="0" w:space="0" w:color="auto"/>
                        <w:bottom w:val="none" w:sz="0" w:space="0" w:color="auto"/>
                        <w:right w:val="none" w:sz="0" w:space="0" w:color="auto"/>
                      </w:divBdr>
                      <w:divsChild>
                        <w:div w:id="250159497">
                          <w:marLeft w:val="0"/>
                          <w:marRight w:val="0"/>
                          <w:marTop w:val="0"/>
                          <w:marBottom w:val="0"/>
                          <w:divBdr>
                            <w:top w:val="none" w:sz="0" w:space="0" w:color="auto"/>
                            <w:left w:val="none" w:sz="0" w:space="0" w:color="auto"/>
                            <w:bottom w:val="none" w:sz="0" w:space="0" w:color="auto"/>
                            <w:right w:val="none" w:sz="0" w:space="0" w:color="auto"/>
                          </w:divBdr>
                          <w:divsChild>
                            <w:div w:id="6793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2802</Words>
  <Characters>15417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Aydee Lucrecia Mosquera Rodriguez</dc:creator>
  <cp:keywords/>
  <dc:description/>
  <cp:lastModifiedBy>Aydee Lucrecia Mosquera Rodriguez</cp:lastModifiedBy>
  <cp:revision>2</cp:revision>
  <dcterms:created xsi:type="dcterms:W3CDTF">2021-06-12T00:32:00Z</dcterms:created>
  <dcterms:modified xsi:type="dcterms:W3CDTF">2021-06-12T00:32:00Z</dcterms:modified>
</cp:coreProperties>
</file>