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40" w:lineRule="auto"/>
        <w:jc w:val="center"/>
      </w:pPr>
      <w:r>
        <w:rPr>
          <w:rFonts w:ascii="TH SarabunPSK" w:hAnsi="TH SarabunPSK" w:cs="TH SarabunPSK"/>
          <w:b/>
          <w:i w:val="0"/>
          <w:sz w:val="40"/>
          <w:szCs w:val="40"/>
        </w:rPr>
        <w:t>การสร้างชุดข้อมูลข้ามแพลตฟอร์มสำหรับการตรวจจับมัลแวร์ด้วยการเรียนรู้ของเครื่อง</w:t>
      </w:r>
    </w:p>
    <w:p>
      <w:pPr>
        <w:spacing w:before="0" w:after="120" w:line="240" w:lineRule="auto"/>
        <w:jc w:val="center"/>
      </w:pPr>
      <w:r>
        <w:rPr>
          <w:rFonts w:ascii="TH SarabunPSK" w:hAnsi="TH SarabunPSK" w:cs="TH SarabunPSK"/>
          <w:b/>
          <w:i w:val="0"/>
          <w:sz w:val="40"/>
          <w:szCs w:val="40"/>
        </w:rPr>
        <w:t>จากบันทึกเหตุการณ์ Sysmon บนระบบปฏิบัติการ Linux และ Windows</w:t>
      </w:r>
    </w:p>
    <w:p>
      <w:pPr>
        <w:spacing w:before="0" w:after="0" w:line="240" w:lineRule="auto"/>
        <w:jc w:val="center"/>
      </w:pPr>
      <w:r>
        <w:rPr>
          <w:rFonts w:ascii="TH SarabunPSK" w:hAnsi="TH SarabunPSK" w:cs="TH SarabunPSK"/>
          <w:b/>
          <w:i w:val="0"/>
          <w:sz w:val="32"/>
          <w:szCs w:val="32"/>
          <w:caps w:val="true"/>
        </w:rPr>
        <w:t>A CROSS-PLATFORM SYSMON-BASED DATASET FOR MACHINE-LEARNING</w:t>
      </w:r>
    </w:p>
    <w:p>
      <w:pPr>
        <w:spacing w:before="0" w:after="200" w:line="240" w:lineRule="auto"/>
        <w:jc w:val="center"/>
      </w:pPr>
      <w:r>
        <w:rPr>
          <w:rFonts w:ascii="TH SarabunPSK" w:hAnsi="TH SarabunPSK" w:cs="TH SarabunPSK"/>
          <w:b/>
          <w:i w:val="0"/>
          <w:sz w:val="32"/>
          <w:szCs w:val="32"/>
          <w:caps w:val="true"/>
        </w:rPr>
        <w:t>MALWARE DETECTION ON LINUX AND WINDOWS</w:t>
      </w:r>
    </w:p>
    <w:p>
      <w:pPr>
        <w:spacing w:before="0" w:after="40" w:line="240" w:lineRule="auto"/>
        <w:jc w:val="center"/>
      </w:pPr>
      <w:r>
        <w:rPr>
          <w:rFonts w:ascii="TH SarabunPSK" w:hAnsi="TH SarabunPSK" w:cs="TH SarabunPSK"/>
          <w:b/>
          <w:i w:val="0"/>
          <w:sz w:val="28"/>
          <w:szCs w:val="28"/>
        </w:rPr>
        <w:t>บทคัดย่อ</w:t>
      </w:r>
    </w:p>
    <w:p>
      <w:pPr>
        <w:spacing w:before="0" w:after="120" w:line="240" w:lineRule="auto"/>
        <w:ind w:firstLine="397"/>
        <w:jc w:val="both"/>
      </w:pPr>
      <w:r>
        <w:rPr>
          <w:rFonts w:ascii="TH SarabunPSK" w:hAnsi="TH SarabunPSK" w:cs="TH SarabunPSK"/>
          <w:b w:val="0"/>
          <w:i w:val="0"/>
          <w:sz w:val="28"/>
          <w:szCs w:val="28"/>
        </w:rPr>
        <w:t>งานวิจัยด้านการตรวจจับมัลแวร์ด้วยการเรียนรู้ของเครื่องส่วนใหญ่อาศัยบันทึกเหตุการณ์จากระบบปฏิบัติการ Windows เพียงแพลตฟอร์มเดียว บทความนี้นำเสนอการสร้างชุดข้อมูลสำหรับตรวจจับมัลแวร์จากบันทึกเหตุการณ์ Sysmon แบบสองแพลตฟอร์มคู่ขนานคือ Linux และ Windows โดยจำลองพฤติกรรมด้วยชุดทดสอบ Atomic Red Team ครอบคลุม 6 ประเภทสถานการณ์ ได้แก่ พฤติกรรมปกติ เรียกค่าไถ่ โทรจัน บอตเน็ต ขุดเหรียญ และการใช้ช่องโหว่ ชุดข้อมูลที่ได้มีทั้งสิ้น 81,331 เหตุการณ์ (Linux 45,311 และ Windows 36,020) มีสัดส่วนตัวอย่างอันตราย 33.8% ใกล้เคียงกันทั้งสองแพลตฟอร์ม การกำหนดป้ายกำกับใช้การสืบสายกระบวนการจากไดเรกทอรีทดสอบ ผลการทดลองพบว่าเมื่อประเมินด้วยการแบ่งข้อมูลแบบ GroupKFold ตามกระบวนการเพื่อป้องกันการรั่วไหลของข้อมูล แบบจำลอง Random Forest ระดับกระบวนการให้ความแม่นยำ 94.9% และค่า F1 เท่ากับ 0.924 ขณะที่แบบจำลองไม่มีผู้สอน Local Outlier Factor ให้พื้นที่ใต้เส้นโค้ง 0.849 บทความนี้ยังวิเคราะห์แหล่งการรั่วไหลของข้อมูลอย่างเป็นระบบ และชี้ให้เห็นว่าโปรโตคอลการประเมินมีผลต่อค่าที่รายงานมากกว่าปริมาณข้อมูล</w:t>
      </w:r>
    </w:p>
    <w:p>
      <w:pPr>
        <w:spacing w:before="0" w:after="160" w:line="240" w:lineRule="auto"/>
        <w:jc w:val="both"/>
      </w:pPr>
      <w:r>
        <w:rPr>
          <w:rFonts w:ascii="TH SarabunPSK" w:hAnsi="TH SarabunPSK" w:cs="TH SarabunPSK"/>
          <w:b w:val="0"/>
          <w:i/>
          <w:sz w:val="28"/>
          <w:szCs w:val="28"/>
        </w:rPr>
        <w:t>คำสำคัญ -- การตรวจจับมัลแวร์, Sysmon, การเรียนรู้ของเครื่อง, ชุดข้อมูลข้ามแพลตฟอร์ม, การรั่วไหลของข้อมูล</w:t>
      </w:r>
    </w:p>
    <w:p>
      <w:pPr>
        <w:spacing w:before="0" w:after="40" w:line="240" w:lineRule="auto"/>
        <w:jc w:val="center"/>
      </w:pPr>
      <w:r>
        <w:rPr>
          <w:rFonts w:ascii="TH SarabunPSK" w:hAnsi="TH SarabunPSK" w:cs="TH SarabunPSK"/>
          <w:b/>
          <w:i w:val="0"/>
          <w:sz w:val="28"/>
          <w:szCs w:val="28"/>
        </w:rPr>
        <w:t>ABSTRACT</w:t>
      </w:r>
    </w:p>
    <w:p>
      <w:pPr>
        <w:spacing w:before="0" w:after="120" w:line="240" w:lineRule="auto"/>
        <w:ind w:firstLine="397"/>
        <w:jc w:val="both"/>
      </w:pPr>
      <w:r>
        <w:rPr>
          <w:rFonts w:ascii="TH SarabunPSK" w:hAnsi="TH SarabunPSK" w:cs="TH SarabunPSK"/>
          <w:b w:val="0"/>
          <w:i w:val="0"/>
          <w:sz w:val="28"/>
          <w:szCs w:val="28"/>
        </w:rPr>
        <w:t>Most machine-learning malware-detection studies rely on host telemetry from a single operating system, typically Windows. This paper presents the construction of a malware-detection dataset from Sysmon event logs across two parallel platforms, Linux (Sysmon for Linux) and Windows, using Atomic Red Team to emulate six behavioral scenarios: benign, ransomware, trojan, botnet, cryptominer, and exploitation. The resulting dataset contains 81,331 events (45,311 on Linux and 36,020 on Windows) with a 33.8% malicious ratio that is nearly identical on both platforms. Labels are assigned by process lineage traced from a controlled sandbox directory. Under a leakage-controlled GroupKFold protocol (grouped by process), a process-level Random Forest attains 94.9% accuracy and an F1 of 0.924, while the unsupervised Local Outlier Factor reaches an AUC of 0.849. We further analyze the leakage sources that would otherwise inflate reported accuracy, and show that the evaluation protocol affects the reported figures more than the amount of data.</w:t>
      </w:r>
    </w:p>
    <w:p>
      <w:pPr>
        <w:spacing w:before="0" w:after="160" w:line="240" w:lineRule="auto"/>
        <w:jc w:val="both"/>
      </w:pPr>
      <w:r>
        <w:rPr>
          <w:rFonts w:ascii="TH SarabunPSK" w:hAnsi="TH SarabunPSK" w:cs="TH SarabunPSK"/>
          <w:b w:val="0"/>
          <w:i/>
          <w:sz w:val="28"/>
          <w:szCs w:val="28"/>
        </w:rPr>
        <w:t>Keywords -- malware detection, Sysmon, machine learning, cross-platform dataset, data leakage</w:t>
      </w:r>
    </w:p>
    <w:p>
      <w:pPr>
        <w:spacing w:before="200" w:after="80" w:line="240" w:lineRule="auto"/>
        <w:jc w:val="center"/>
      </w:pPr>
      <w:r>
        <w:rPr>
          <w:rFonts w:ascii="TH SarabunPSK" w:hAnsi="TH SarabunPSK" w:cs="TH SarabunPSK"/>
          <w:b/>
          <w:i w:val="0"/>
          <w:sz w:val="28"/>
          <w:szCs w:val="28"/>
        </w:rPr>
        <w:t>1. บทนำ</w:t>
      </w:r>
    </w:p>
    <w:p>
      <w:pPr>
        <w:spacing w:before="0" w:after="120" w:line="240" w:lineRule="auto"/>
        <w:ind w:firstLine="397"/>
        <w:jc w:val="both"/>
      </w:pPr>
      <w:r>
        <w:rPr>
          <w:rFonts w:ascii="TH SarabunPSK" w:hAnsi="TH SarabunPSK" w:cs="TH SarabunPSK"/>
          <w:b w:val="0"/>
          <w:i w:val="0"/>
          <w:sz w:val="28"/>
          <w:szCs w:val="28"/>
        </w:rPr>
        <w:t>การเปลี่ยนผ่านสู่ยุคดิจิทัลทำให้ภัยคุกคามจากมัลแวร์ทวีความรุนแรงและตรวจจับได้ยากขึ้น สถิติของหน่วยงานด้านความมั่นคงปลอดภัยไซเบอร์ในหลายประเทศชี้ว่าจำนวนเหตุการณ์โจมตีเพิ่มขึ้นต่อเนื่องทุกปี การเฝ้าระวังแบบอาศัยลายเซ็น (signature-based) เพียงอย่างเดียวจึงตามไม่ทันมัลแวร์รูปแบบใหม่ ทำให้การตรวจจับเชิงพฤติกรรมด้วยการเรียนรู้ของเครื่อง (machine learning) ได้รับความสนใจอย่างกว้างขวาง [1], [8]</w:t>
      </w:r>
    </w:p>
    <w:p>
      <w:pPr>
        <w:spacing w:before="0" w:after="120" w:line="240" w:lineRule="auto"/>
        <w:ind w:firstLine="397"/>
        <w:jc w:val="both"/>
      </w:pPr>
      <w:r>
        <w:rPr>
          <w:rFonts w:ascii="TH SarabunPSK" w:hAnsi="TH SarabunPSK" w:cs="TH SarabunPSK"/>
          <w:b w:val="0"/>
          <w:i w:val="0"/>
          <w:sz w:val="28"/>
          <w:szCs w:val="28"/>
        </w:rPr>
        <w:t>เครื่องมือ System Monitor (Sysmon) เป็นแหล่งบันทึกเหตุการณ์ระดับโฮสต์ที่ให้รายละเอียดของการสร้างกระบวนการ การเชื่อมต่อเครือข่าย และการเข้าถึงไฟล์อย่างครบถ้วน [20] งานวิจัยอ้างอิงหลักของบทความนี้ [1] ได้สร้างชุดข้อมูลและเปรียบเทียบแบบจำลอง 7 ชนิดจากบันทึก Sysmon บนระบบ Windows และรายงานว่าแบบจำลอง Random Forest ให้ค่า F1 ที่ 0.8868 อย่างไรก็ตาม งานดังกล่าวมีข้อจำกัดสองประการที่บทความนี้มุ่งแก้ไข ประการแรก ชุดข้อมูลครอบคลุมเฉพาะระบบปฏิบัติการ Windows ทำให้ไม่สามารถประเมินได้ว่าคุณลักษณะที่ใช้ตรวจจับยังใช้ได้กับแพลตฟอร์มอื่นหรือไม่ ซึ่งมีหลักฐานว่าการโอนย้ายแบบจำลองข้ามระบบปฏิบัติการทำให้ค่า F1 ลดลงอย่างมีนัยสำคัญ [4] ประการที่สอง งานดังกล่าวระบุเองว่าบันทึกที่ใช้ขาดความสัมพันธ์แบบกระบวนการแม่–ลูก (parent–child correlation) ซึ่งเป็นข้อมูลสำคัญต่อการวิเคราะห์เชิงพฤติกรรม [11]</w:t>
      </w:r>
    </w:p>
    <w:p>
      <w:pPr>
        <w:spacing w:before="0" w:after="120" w:line="240" w:lineRule="auto"/>
        <w:ind w:firstLine="397"/>
        <w:jc w:val="both"/>
      </w:pPr>
      <w:r>
        <w:rPr>
          <w:rFonts w:ascii="TH SarabunPSK" w:hAnsi="TH SarabunPSK" w:cs="TH SarabunPSK"/>
          <w:b w:val="0"/>
          <w:i w:val="0"/>
          <w:sz w:val="28"/>
          <w:szCs w:val="28"/>
        </w:rPr>
        <w:t>บทความนี้มีส่วนสนับสนุน (contribution) สี่ประการ (1) สร้างชุดข้อมูล Sysmon แบบสองแพลตฟอร์มคู่ขนาน (Linux และ Windows) ภายใต้วิธีการเก็บและกำหนดป้ายกำกับเดียวกัน (2) เพิ่มคุณลักษณะความสัมพันธ์กระบวนการแม่–ลูกและบรรทัดคำสั่งที่งานอ้างอิงไม่มี (3) ครอบคลุมเหตุการณ์การเชื่อมต่อเครือข่าย (NetworkConnect) สำหรับพฤติกรรม C2/beaconing ซึ่งชุดข้อมูลอ้างอิงแทบไม่มี (เพียง 20 เหตุการณ์) และ (4) วิเคราะห์แหล่งการรั่วไหลของข้อมูล (data leakage) อย่างเป็นระบบตามข้อเสนอแนะเชิงระเบียบวิธีในงาน [2], [3] และแสดงให้เห็นว่าโปรโตคอลการประเมินมีผลต่อค่าความแม่นยำที่รายงานมากกว่าปริมาณข้อมูล</w:t>
      </w:r>
    </w:p>
    <w:p>
      <w:pPr>
        <w:spacing w:before="200" w:after="80" w:line="240" w:lineRule="auto"/>
        <w:jc w:val="center"/>
      </w:pPr>
      <w:r>
        <w:rPr>
          <w:rFonts w:ascii="TH SarabunPSK" w:hAnsi="TH SarabunPSK" w:cs="TH SarabunPSK"/>
          <w:b/>
          <w:i w:val="0"/>
          <w:sz w:val="28"/>
          <w:szCs w:val="28"/>
        </w:rPr>
        <w:t>2. งานที่เกี่ยวข้อง</w:t>
      </w:r>
    </w:p>
    <w:p>
      <w:pPr>
        <w:spacing w:before="160" w:after="40" w:line="240" w:lineRule="auto"/>
        <w:jc w:val="left"/>
      </w:pPr>
      <w:r>
        <w:rPr>
          <w:rFonts w:ascii="TH SarabunPSK" w:hAnsi="TH SarabunPSK" w:cs="TH SarabunPSK"/>
          <w:b/>
          <w:i/>
          <w:sz w:val="28"/>
          <w:szCs w:val="28"/>
        </w:rPr>
        <w:t>2.1 การตรวจจับมัลแวร์จากบันทึกเหตุการณ์และ Sysmon</w:t>
      </w:r>
    </w:p>
    <w:p>
      <w:pPr>
        <w:spacing w:before="0" w:after="120" w:line="240" w:lineRule="auto"/>
        <w:ind w:firstLine="397"/>
        <w:jc w:val="both"/>
      </w:pPr>
      <w:r>
        <w:rPr>
          <w:rFonts w:ascii="TH SarabunPSK" w:hAnsi="TH SarabunPSK" w:cs="TH SarabunPSK"/>
          <w:b w:val="0"/>
          <w:i w:val="0"/>
          <w:sz w:val="28"/>
          <w:szCs w:val="28"/>
        </w:rPr>
        <w:t>การตรวจจับมัลแวร์เชิงพฤติกรรมจากบันทึกเหตุการณ์ระดับโฮสต์เป็นแนวทางที่ได้รับการศึกษาอย่างต่อเนื่อง งานอ้างอิงหลัก [1] เก็บบันทึก Sysmon จากเครื่อง 5 เครื่องในโดเมน Active Directory ต่อเนื่องประมาณ 31 ชั่วโมง และรวมศูนย์ผ่าน Windows Event Forwarding ได้ชุดข้อมูล NLME จำนวน 71,017 เหตุการณ์ จากนั้นเลือกคุณลักษณะด้วย Principal Component Analysis (PCA) และเปรียบเทียบแบบจำลองแบบมีผู้สอนและไม่มีผู้สอน งาน [5] เสนอระบบวิเคราะห์มัลแวร์แบบพลวัตด้วย Sysmon ร่วมกับ Elastic Stack และสร้างชุดข้อมูล AAU_MalData จากการวิเคราะห์มัลแวร์ 2,800 ตัวอย่าง โดยเชื่อมโยงเหตุการณ์กับกรอบ MITRE ATT&amp;CK [21] แนวทางเหล่านี้ยืนยันว่า Sysmon เป็นแหล่งข้อมูลพฤติกรรมบนเครื่องที่เหมาะสมต่อการเรียนรู้ของเครื่อง</w:t>
      </w:r>
    </w:p>
    <w:p>
      <w:pPr>
        <w:spacing w:before="160" w:after="40" w:line="240" w:lineRule="auto"/>
        <w:jc w:val="left"/>
      </w:pPr>
      <w:r>
        <w:rPr>
          <w:rFonts w:ascii="TH SarabunPSK" w:hAnsi="TH SarabunPSK" w:cs="TH SarabunPSK"/>
          <w:b/>
          <w:i/>
          <w:sz w:val="28"/>
          <w:szCs w:val="28"/>
        </w:rPr>
        <w:t>2.2 ชุดข้อมูลเชิงพลวัตและการวิเคราะห์เชิงพฤติกรรม</w:t>
      </w:r>
    </w:p>
    <w:p>
      <w:pPr>
        <w:spacing w:before="0" w:after="120" w:line="240" w:lineRule="auto"/>
        <w:ind w:firstLine="397"/>
        <w:jc w:val="both"/>
      </w:pPr>
      <w:r>
        <w:rPr>
          <w:rFonts w:ascii="TH SarabunPSK" w:hAnsi="TH SarabunPSK" w:cs="TH SarabunPSK"/>
          <w:b w:val="0"/>
          <w:i w:val="0"/>
          <w:sz w:val="28"/>
          <w:szCs w:val="28"/>
        </w:rPr>
        <w:t>Sgandurra และคณะ [6] เสนอ EldeRan สำหรับจำแนก Ransomware โดยใช้ Cuckoo Sandbox เก็บพฤติกรรมขณะทำงาน เช่น การเรียก Windows API และการดำเนินการกับ Registry ไฟล์ และไดเรกทอรี งาน [7] สร้างชุดข้อมูลคุณลักษณะเชิงพลวัตสำหรับตรวจจับ Ransomware และเปรียบเทียบแบบจำลองหลายชนิด ส่วนงาน [8] แสดงการใช้การเรียนรู้เชิงลึกกับข้อมูลมัลแวร์ บทความนี้นำแนวคิด Host Behavioral Features มาประยุกต์กับ Sysmon Event Logs โดยตรง แทนการใช้ Cuckoo Sandbox เพื่อให้ได้ข้อมูลระดับกระบวนการที่ละเอียดและใกล้เคียงการใช้งานจริง</w:t>
      </w:r>
    </w:p>
    <w:p>
      <w:pPr>
        <w:spacing w:before="160" w:after="40" w:line="240" w:lineRule="auto"/>
        <w:jc w:val="left"/>
      </w:pPr>
      <w:r>
        <w:rPr>
          <w:rFonts w:ascii="TH SarabunPSK" w:hAnsi="TH SarabunPSK" w:cs="TH SarabunPSK"/>
          <w:b/>
          <w:i/>
          <w:sz w:val="28"/>
          <w:szCs w:val="28"/>
        </w:rPr>
        <w:t>2.3 การวิเคราะห์ระดับกระบวนการและข้ามแพลตฟอร์ม</w:t>
      </w:r>
    </w:p>
    <w:p>
      <w:pPr>
        <w:spacing w:before="0" w:after="120" w:line="240" w:lineRule="auto"/>
        <w:ind w:firstLine="397"/>
        <w:jc w:val="both"/>
      </w:pPr>
      <w:r>
        <w:rPr>
          <w:rFonts w:ascii="TH SarabunPSK" w:hAnsi="TH SarabunPSK" w:cs="TH SarabunPSK"/>
          <w:b w:val="0"/>
          <w:i w:val="0"/>
          <w:sz w:val="28"/>
          <w:szCs w:val="28"/>
        </w:rPr>
        <w:t>งาน [9] แสดงว่าการวิเคราะห์ในระดับกระบวนการ (process-level) ให้ผลดีกว่าระดับเครื่อง (machine-level) โดยได้ค่า F1 ที่ 0.87 พร้อมอัตราการแจ้งเตือนผิดต่ำ แม้มีโปรแกรมพื้นหลังทำงานพร้อมกัน ด้านความแตกต่างข้ามระบบปฏิบัติการ งาน BarongTrace [4] สร้างชุดข้อมูลมัลแวร์บน Linux ด้วย Sysmon for Linux และพบว่าเมื่อใช้แบบจำลองที่ฝึกจากข้อมูล Windows ไปทำนายข้อมูล Linux ค่า F1 ลดลงได้ถึง 0.54 ซึ่งยืนยันว่าข้อมูลจากสองระบบปฏิบัติการมีลักษณะต่างกัน และเป็นเหตุผลที่บทความนี้ออกแบบคุณลักษณะเชิงพฤติกรรมกลางระดับกระบวนการ</w:t>
      </w:r>
    </w:p>
    <w:p>
      <w:pPr>
        <w:spacing w:before="160" w:after="40" w:line="240" w:lineRule="auto"/>
        <w:jc w:val="left"/>
      </w:pPr>
      <w:r>
        <w:rPr>
          <w:rFonts w:ascii="TH SarabunPSK" w:hAnsi="TH SarabunPSK" w:cs="TH SarabunPSK"/>
          <w:b/>
          <w:i/>
          <w:sz w:val="28"/>
          <w:szCs w:val="28"/>
        </w:rPr>
        <w:t>2.4 อคติในการประเมินและการรั่วไหลของข้อมูลในความมั่นคงปลอดภัยเชิงเรียนรู้</w:t>
      </w:r>
    </w:p>
    <w:p>
      <w:pPr>
        <w:spacing w:before="0" w:after="120" w:line="240" w:lineRule="auto"/>
        <w:ind w:firstLine="397"/>
        <w:jc w:val="both"/>
      </w:pPr>
      <w:r>
        <w:rPr>
          <w:rFonts w:ascii="TH SarabunPSK" w:hAnsi="TH SarabunPSK" w:cs="TH SarabunPSK"/>
          <w:b w:val="0"/>
          <w:i w:val="0"/>
          <w:sz w:val="28"/>
          <w:szCs w:val="28"/>
        </w:rPr>
        <w:t>Arp และคณะ [2] ทบทวนงานด้านความมั่นคงปลอดภัยเชิงเรียนรู้ 30 บทความ และชี้ให้เห็นกับดักที่พบบ่อย เช่น การรั่วไหลของข้อมูล (data snooping) การเลือกตัวอย่างที่ไม่เป็นตัวแทน และการวัดผลที่ทำให้ค่าดูสูงเกินจริง ส่วน Pendlebury และคณะ [3] เสนอกรอบ TESSERACT เพื่อขจัดอคติเชิงพื้นที่และเชิงเวลาในการจำแนกมัลแวร์ บทความนี้นำข้อเสนอแนะดังกล่าวมาปฏิบัติโดยตรง ด้วยการรายงานผลภายใต้การแบ่งข้อมูลแบบจัดกลุ่มตามกระบวนการ (GroupKFold) และการประเมินแบบกันสถานการณ์ออก (leave-one-scenario-out) เพื่อจำลองการเผชิญภัยที่ไม่เคยพบ</w:t>
      </w:r>
    </w:p>
    <w:p>
      <w:pPr>
        <w:spacing w:before="160" w:after="40" w:line="240" w:lineRule="auto"/>
        <w:jc w:val="left"/>
      </w:pPr>
      <w:r>
        <w:rPr>
          <w:rFonts w:ascii="TH SarabunPSK" w:hAnsi="TH SarabunPSK" w:cs="TH SarabunPSK"/>
          <w:b/>
          <w:i/>
          <w:sz w:val="28"/>
          <w:szCs w:val="28"/>
        </w:rPr>
        <w:t>2.5 การตรวจจับด้วยข้อมูลสืบสาย (Provenance)</w:t>
      </w:r>
    </w:p>
    <w:p>
      <w:pPr>
        <w:spacing w:before="0" w:after="120" w:line="240" w:lineRule="auto"/>
        <w:ind w:firstLine="397"/>
        <w:jc w:val="both"/>
      </w:pPr>
      <w:r>
        <w:rPr>
          <w:rFonts w:ascii="TH SarabunPSK" w:hAnsi="TH SarabunPSK" w:cs="TH SarabunPSK"/>
          <w:b w:val="0"/>
          <w:i w:val="0"/>
          <w:sz w:val="28"/>
          <w:szCs w:val="28"/>
        </w:rPr>
        <w:t>แนวคิดการใช้ความสัมพันธ์เชิงสืบสายของกระบวนการเพื่อตรวจจับภัยคุกคามขั้นสูงมีงานรองรับ เช่น UNICORN [10] ที่ใช้กราฟสืบสาย (provenance graph) ตรวจจับ Advanced Persistent Threat แบบไม่ต้องมีลายเซ็น และ Kairos [11] ที่ตรวจจับและสืบสวนการบุกรุกจากประวัติการทำงานทั้งระบบ บทความนี้นำหลักการสืบสายกระบวนการมาใช้ในขั้นการกำหนดป้ายกำกับ โดยระบุว่าเหตุการณ์ใดสืบสายมาจากกระบวนการที่ถูกปล่อยในไดเรกทอรีทดสอบ</w:t>
      </w:r>
    </w:p>
    <w:p>
      <w:pPr>
        <w:spacing w:before="200" w:after="80" w:line="240" w:lineRule="auto"/>
        <w:jc w:val="center"/>
      </w:pPr>
      <w:r>
        <w:rPr>
          <w:rFonts w:ascii="TH SarabunPSK" w:hAnsi="TH SarabunPSK" w:cs="TH SarabunPSK"/>
          <w:b/>
          <w:i w:val="0"/>
          <w:sz w:val="28"/>
          <w:szCs w:val="28"/>
        </w:rPr>
        <w:t>3. ระเบียบวิธีวิจัย</w:t>
      </w:r>
    </w:p>
    <w:p>
      <w:pPr>
        <w:spacing w:before="0" w:after="120" w:line="240" w:lineRule="auto"/>
        <w:ind w:firstLine="397"/>
        <w:jc w:val="both"/>
      </w:pPr>
      <w:r>
        <w:rPr>
          <w:rFonts w:ascii="TH SarabunPSK" w:hAnsi="TH SarabunPSK" w:cs="TH SarabunPSK"/>
          <w:b w:val="0"/>
          <w:i w:val="0"/>
          <w:sz w:val="28"/>
          <w:szCs w:val="28"/>
        </w:rPr>
        <w:t>ระเบียบวิธีของบทความนี้ประกอบด้วยการเก็บบันทึกเหตุการณ์จากการจำลองพฤติกรรม การแปลงเป็นคุณลักษณะระดับกระบวนการ การลดมิติและเลือกคุณลักษณะ และการฝึกแบบจำลองทั้งแบบมีผู้สอนและไม่มีผู้สอน ภาพรวมทั้งกระบวนการแสดงในภาพ 1</w:t>
      </w:r>
    </w:p>
    <w:p>
      <w:pPr>
        <w:spacing w:before="120" w:after="40"/>
        <w:jc w:val="center"/>
      </w:pPr>
      <w:r>
        <w:drawing>
          <wp:inline xmlns:a="http://schemas.openxmlformats.org/drawingml/2006/main" xmlns:pic="http://schemas.openxmlformats.org/drawingml/2006/picture">
            <wp:extent cx="3420000" cy="4067027"/>
            <wp:docPr id="1" name="Picture 1"/>
            <wp:cNvGraphicFramePr>
              <a:graphicFrameLocks noChangeAspect="1"/>
            </wp:cNvGraphicFramePr>
            <a:graphic>
              <a:graphicData uri="http://schemas.openxmlformats.org/drawingml/2006/picture">
                <pic:pic>
                  <pic:nvPicPr>
                    <pic:cNvPr id="0" name="fig_methodology.png"/>
                    <pic:cNvPicPr/>
                  </pic:nvPicPr>
                  <pic:blipFill>
                    <a:blip r:embed="rId12"/>
                    <a:stretch>
                      <a:fillRect/>
                    </a:stretch>
                  </pic:blipFill>
                  <pic:spPr>
                    <a:xfrm>
                      <a:off x="0" y="0"/>
                      <a:ext cx="3420000" cy="4067027"/>
                    </a:xfrm>
                    <a:prstGeom prst="rect"/>
                  </pic:spPr>
                </pic:pic>
              </a:graphicData>
            </a:graphic>
          </wp:inline>
        </w:drawing>
      </w:r>
    </w:p>
    <w:p>
      <w:pPr>
        <w:spacing w:before="0" w:after="120" w:line="240" w:lineRule="auto"/>
        <w:jc w:val="center"/>
      </w:pPr>
      <w:r>
        <w:rPr>
          <w:rFonts w:ascii="TH SarabunPSK" w:hAnsi="TH SarabunPSK" w:cs="TH SarabunPSK"/>
          <w:b/>
          <w:i w:val="0"/>
          <w:sz w:val="24"/>
          <w:szCs w:val="24"/>
        </w:rPr>
        <w:t>ภาพ 1 ภาพรวมระเบียบวิธี (Methodology Overview)</w:t>
      </w:r>
    </w:p>
    <w:p>
      <w:pPr>
        <w:spacing w:before="160" w:after="40" w:line="240" w:lineRule="auto"/>
        <w:jc w:val="left"/>
      </w:pPr>
      <w:r>
        <w:rPr>
          <w:rFonts w:ascii="TH SarabunPSK" w:hAnsi="TH SarabunPSK" w:cs="TH SarabunPSK"/>
          <w:b/>
          <w:i/>
          <w:sz w:val="28"/>
          <w:szCs w:val="28"/>
        </w:rPr>
        <w:t>3.1 สภาพแวดล้อมการทดลอง</w:t>
      </w:r>
    </w:p>
    <w:p>
      <w:pPr>
        <w:spacing w:before="0" w:after="120" w:line="240" w:lineRule="auto"/>
        <w:ind w:firstLine="397"/>
        <w:jc w:val="both"/>
      </w:pPr>
      <w:r>
        <w:rPr>
          <w:rFonts w:ascii="TH SarabunPSK" w:hAnsi="TH SarabunPSK" w:cs="TH SarabunPSK"/>
          <w:b w:val="0"/>
          <w:i w:val="0"/>
          <w:sz w:val="28"/>
          <w:szCs w:val="28"/>
        </w:rPr>
        <w:t>การทดลองดำเนินบนเครื่องโฮสต์ Windows 11 และใช้ VMware Workstation ร่วมกับ Vagrant ในการจัดการเครื่องเสมือน เครื่องเป้าหมายฝั่ง Linux ใช้ Ubuntu 22.04 ติดตั้ง Sysmon for Linux (schema 4.81) ส่งบันทึกผ่าน journald → rsyslog → TCP ไปยังตัวรับบนโฮสต์ ส่วนเครื่องเป้าหมายฝั่ง Windows ติดตั้ง Sysmon และส่งออกบันทึกในรูปแบบ EVTX เนื่องจากทรัพยากรหน่วยความจำจำกัด จึงรันเครื่องเสมือนทีละเครื่องแบบลำดับ (sequential) และคืนสภาพ (revert snapshot) ก่อนเริ่มทุกสถานการณ์เพื่อความสามารถในการทำซ้ำ ทั้งพฤติกรรมปกติและพฤติกรรมอันตรายถูกเก็บบนเครื่องเดียวกันเพื่อป้องกันการรั่วไหลระดับเครื่อง (VM leakage) [2]</w:t>
      </w:r>
    </w:p>
    <w:p>
      <w:pPr>
        <w:spacing w:before="160" w:after="40" w:line="240" w:lineRule="auto"/>
        <w:jc w:val="left"/>
      </w:pPr>
      <w:r>
        <w:rPr>
          <w:rFonts w:ascii="TH SarabunPSK" w:hAnsi="TH SarabunPSK" w:cs="TH SarabunPSK"/>
          <w:b/>
          <w:i/>
          <w:sz w:val="28"/>
          <w:szCs w:val="28"/>
        </w:rPr>
        <w:t>3.2 การจำลองพฤติกรรมและสถานการณ์</w:t>
      </w:r>
    </w:p>
    <w:p>
      <w:pPr>
        <w:spacing w:before="0" w:after="120" w:line="240" w:lineRule="auto"/>
        <w:ind w:firstLine="397"/>
        <w:jc w:val="both"/>
      </w:pPr>
      <w:r>
        <w:rPr>
          <w:rFonts w:ascii="TH SarabunPSK" w:hAnsi="TH SarabunPSK" w:cs="TH SarabunPSK"/>
          <w:b w:val="0"/>
          <w:i w:val="0"/>
          <w:sz w:val="28"/>
          <w:szCs w:val="28"/>
        </w:rPr>
        <w:t>ใช้ Atomic Red Team [22] จำลองเทคนิคตามกรอบ MITRE ATT&amp;CK [21] โดยรันชุดทดสอบบนเครื่องเป้าหมายเอง และใช้เซิร์ฟเวอร์จำลอง Command-and-Control และ Mining Pool ภายในแล็บสำหรับพฤติกรรมเชิงเครือข่าย แบ่งเป็น 6 ประเภทสถานการณ์ต่อแพลตฟอร์ม (ตาราง 1) การเลือกมัลแวร์ห้าตระกูลนี้จงใจให้ครอบคลุมพฤติกรรมโฮสต์ที่แตกต่างกัน ได้แก่ การกระทำต่อไฟล์จำนวนมาก (ransomware) การคงอยู่และแก้ registry (trojan) การติดต่อเครือข่ายซ้ำ (botnet) การใช้ทรัพยากรต่อเนื่องพร้อมต่อ pool (miner) และการยกระดับสิทธิ์/แทรกโค้ด (exploit) ทำให้ชุดข้อมูลไม่ลำเอียงไปยังเหตุการณ์ชนิดใดชนิดหนึ่ง</w:t>
      </w:r>
    </w:p>
    <w:p>
      <w:pPr>
        <w:spacing w:before="120" w:after="40" w:line="240" w:lineRule="auto"/>
        <w:jc w:val="left"/>
      </w:pPr>
      <w:r>
        <w:rPr>
          <w:rFonts w:ascii="TH SarabunPSK" w:hAnsi="TH SarabunPSK" w:cs="TH SarabunPSK"/>
          <w:b/>
          <w:i w:val="0"/>
          <w:sz w:val="24"/>
          <w:szCs w:val="24"/>
        </w:rPr>
        <w:t>ตาราง 1 ประเภทสถานการณ์ต่อแพลตฟอร์ม</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after="0"/>
              <w:jc w:val="left"/>
            </w:pPr>
            <w:r/>
            <w:r>
              <w:rPr>
                <w:rFonts w:ascii="TH SarabunPSK" w:hAnsi="TH SarabunPSK" w:cs="TH SarabunPSK"/>
                <w:b/>
                <w:i w:val="0"/>
                <w:sz w:val="24"/>
                <w:szCs w:val="24"/>
              </w:rPr>
              <w:t>สถานการณ์</w:t>
            </w:r>
          </w:p>
        </w:tc>
        <w:tc>
          <w:tcPr>
            <w:tcW w:type="dxa" w:w="3213"/>
          </w:tcPr>
          <w:p>
            <w:pPr>
              <w:spacing w:after="0"/>
              <w:jc w:val="center"/>
            </w:pPr>
            <w:r/>
            <w:r>
              <w:rPr>
                <w:rFonts w:ascii="TH SarabunPSK" w:hAnsi="TH SarabunPSK" w:cs="TH SarabunPSK"/>
                <w:b/>
                <w:i w:val="0"/>
                <w:sz w:val="24"/>
                <w:szCs w:val="24"/>
              </w:rPr>
              <w:t>ป้ายกำกับ</w:t>
            </w:r>
          </w:p>
        </w:tc>
        <w:tc>
          <w:tcPr>
            <w:tcW w:type="dxa" w:w="3213"/>
          </w:tcPr>
          <w:p>
            <w:pPr>
              <w:spacing w:after="0"/>
              <w:jc w:val="center"/>
            </w:pPr>
            <w:r/>
            <w:r>
              <w:rPr>
                <w:rFonts w:ascii="TH SarabunPSK" w:hAnsi="TH SarabunPSK" w:cs="TH SarabunPSK"/>
                <w:b/>
                <w:i w:val="0"/>
                <w:sz w:val="24"/>
                <w:szCs w:val="24"/>
              </w:rPr>
              <w:t>ตัวอย่างเทคนิค ATT&amp;CK</w:t>
            </w:r>
          </w:p>
        </w:tc>
      </w:tr>
      <w:tr>
        <w:tc>
          <w:tcPr>
            <w:tcW w:type="dxa" w:w="3213"/>
          </w:tcPr>
          <w:p>
            <w:pPr>
              <w:spacing w:after="0"/>
              <w:jc w:val="left"/>
            </w:pPr>
            <w:r/>
            <w:r>
              <w:rPr>
                <w:rFonts w:ascii="TH SarabunPSK" w:hAnsi="TH SarabunPSK" w:cs="TH SarabunPSK"/>
                <w:b w:val="0"/>
                <w:i w:val="0"/>
                <w:sz w:val="24"/>
                <w:szCs w:val="24"/>
              </w:rPr>
              <w:t>Benign</w:t>
            </w:r>
          </w:p>
        </w:tc>
        <w:tc>
          <w:tcPr>
            <w:tcW w:type="dxa" w:w="3213"/>
          </w:tcPr>
          <w:p>
            <w:pPr>
              <w:spacing w:after="0"/>
              <w:jc w:val="center"/>
            </w:pPr>
            <w:r/>
            <w:r>
              <w:rPr>
                <w:rFonts w:ascii="TH SarabunPSK" w:hAnsi="TH SarabunPSK" w:cs="TH SarabunPSK"/>
                <w:b w:val="0"/>
                <w:i w:val="0"/>
                <w:sz w:val="24"/>
                <w:szCs w:val="24"/>
              </w:rPr>
              <w:t>0</w:t>
            </w:r>
          </w:p>
        </w:tc>
        <w:tc>
          <w:tcPr>
            <w:tcW w:type="dxa" w:w="3213"/>
          </w:tcPr>
          <w:p>
            <w:pPr>
              <w:spacing w:after="0"/>
              <w:jc w:val="center"/>
            </w:pPr>
            <w:r/>
            <w:r>
              <w:rPr>
                <w:rFonts w:ascii="TH SarabunPSK" w:hAnsi="TH SarabunPSK" w:cs="TH SarabunPSK"/>
                <w:b w:val="0"/>
                <w:i w:val="0"/>
                <w:sz w:val="24"/>
                <w:szCs w:val="24"/>
              </w:rPr>
              <w:t>กิจกรรมผู้ใช้ปกติ</w:t>
            </w:r>
          </w:p>
        </w:tc>
      </w:tr>
      <w:tr>
        <w:tc>
          <w:tcPr>
            <w:tcW w:type="dxa" w:w="3213"/>
          </w:tcPr>
          <w:p>
            <w:pPr>
              <w:spacing w:after="0"/>
              <w:jc w:val="left"/>
            </w:pPr>
            <w:r/>
            <w:r>
              <w:rPr>
                <w:rFonts w:ascii="TH SarabunPSK" w:hAnsi="TH SarabunPSK" w:cs="TH SarabunPSK"/>
                <w:b w:val="0"/>
                <w:i w:val="0"/>
                <w:sz w:val="24"/>
                <w:szCs w:val="24"/>
              </w:rPr>
              <w:t>Ransomware</w:t>
            </w:r>
          </w:p>
        </w:tc>
        <w:tc>
          <w:tcPr>
            <w:tcW w:type="dxa" w:w="3213"/>
          </w:tcPr>
          <w:p>
            <w:pPr>
              <w:spacing w:after="0"/>
              <w:jc w:val="center"/>
            </w:pPr>
            <w:r/>
            <w:r>
              <w:rPr>
                <w:rFonts w:ascii="TH SarabunPSK" w:hAnsi="TH SarabunPSK" w:cs="TH SarabunPSK"/>
                <w:b w:val="0"/>
                <w:i w:val="0"/>
                <w:sz w:val="24"/>
                <w:szCs w:val="24"/>
              </w:rPr>
              <w:t>1</w:t>
            </w:r>
          </w:p>
        </w:tc>
        <w:tc>
          <w:tcPr>
            <w:tcW w:type="dxa" w:w="3213"/>
          </w:tcPr>
          <w:p>
            <w:pPr>
              <w:spacing w:after="0"/>
              <w:jc w:val="center"/>
            </w:pPr>
            <w:r/>
            <w:r>
              <w:rPr>
                <w:rFonts w:ascii="TH SarabunPSK" w:hAnsi="TH SarabunPSK" w:cs="TH SarabunPSK"/>
                <w:b w:val="0"/>
                <w:i w:val="0"/>
                <w:sz w:val="24"/>
                <w:szCs w:val="24"/>
              </w:rPr>
              <w:t>T1486, T1083, T1005, T1070.004</w:t>
            </w:r>
          </w:p>
        </w:tc>
      </w:tr>
      <w:tr>
        <w:tc>
          <w:tcPr>
            <w:tcW w:type="dxa" w:w="3213"/>
          </w:tcPr>
          <w:p>
            <w:pPr>
              <w:spacing w:after="0"/>
              <w:jc w:val="left"/>
            </w:pPr>
            <w:r/>
            <w:r>
              <w:rPr>
                <w:rFonts w:ascii="TH SarabunPSK" w:hAnsi="TH SarabunPSK" w:cs="TH SarabunPSK"/>
                <w:b w:val="0"/>
                <w:i w:val="0"/>
                <w:sz w:val="24"/>
                <w:szCs w:val="24"/>
              </w:rPr>
              <w:t>Trojan</w:t>
            </w:r>
          </w:p>
        </w:tc>
        <w:tc>
          <w:tcPr>
            <w:tcW w:type="dxa" w:w="3213"/>
          </w:tcPr>
          <w:p>
            <w:pPr>
              <w:spacing w:after="0"/>
              <w:jc w:val="center"/>
            </w:pPr>
            <w:r/>
            <w:r>
              <w:rPr>
                <w:rFonts w:ascii="TH SarabunPSK" w:hAnsi="TH SarabunPSK" w:cs="TH SarabunPSK"/>
                <w:b w:val="0"/>
                <w:i w:val="0"/>
                <w:sz w:val="24"/>
                <w:szCs w:val="24"/>
              </w:rPr>
              <w:t>1</w:t>
            </w:r>
          </w:p>
        </w:tc>
        <w:tc>
          <w:tcPr>
            <w:tcW w:type="dxa" w:w="3213"/>
          </w:tcPr>
          <w:p>
            <w:pPr>
              <w:spacing w:after="0"/>
              <w:jc w:val="center"/>
            </w:pPr>
            <w:r/>
            <w:r>
              <w:rPr>
                <w:rFonts w:ascii="TH SarabunPSK" w:hAnsi="TH SarabunPSK" w:cs="TH SarabunPSK"/>
                <w:b w:val="0"/>
                <w:i w:val="0"/>
                <w:sz w:val="24"/>
                <w:szCs w:val="24"/>
              </w:rPr>
              <w:t>T1027, T1036.003, T1547.001, T1112</w:t>
            </w:r>
          </w:p>
        </w:tc>
      </w:tr>
      <w:tr>
        <w:tc>
          <w:tcPr>
            <w:tcW w:type="dxa" w:w="3213"/>
          </w:tcPr>
          <w:p>
            <w:pPr>
              <w:spacing w:after="0"/>
              <w:jc w:val="left"/>
            </w:pPr>
            <w:r/>
            <w:r>
              <w:rPr>
                <w:rFonts w:ascii="TH SarabunPSK" w:hAnsi="TH SarabunPSK" w:cs="TH SarabunPSK"/>
                <w:b w:val="0"/>
                <w:i w:val="0"/>
                <w:sz w:val="24"/>
                <w:szCs w:val="24"/>
              </w:rPr>
              <w:t>Botnet</w:t>
            </w:r>
          </w:p>
        </w:tc>
        <w:tc>
          <w:tcPr>
            <w:tcW w:type="dxa" w:w="3213"/>
          </w:tcPr>
          <w:p>
            <w:pPr>
              <w:spacing w:after="0"/>
              <w:jc w:val="center"/>
            </w:pPr>
            <w:r/>
            <w:r>
              <w:rPr>
                <w:rFonts w:ascii="TH SarabunPSK" w:hAnsi="TH SarabunPSK" w:cs="TH SarabunPSK"/>
                <w:b w:val="0"/>
                <w:i w:val="0"/>
                <w:sz w:val="24"/>
                <w:szCs w:val="24"/>
              </w:rPr>
              <w:t>1</w:t>
            </w:r>
          </w:p>
        </w:tc>
        <w:tc>
          <w:tcPr>
            <w:tcW w:type="dxa" w:w="3213"/>
          </w:tcPr>
          <w:p>
            <w:pPr>
              <w:spacing w:after="0"/>
              <w:jc w:val="center"/>
            </w:pPr>
            <w:r/>
            <w:r>
              <w:rPr>
                <w:rFonts w:ascii="TH SarabunPSK" w:hAnsi="TH SarabunPSK" w:cs="TH SarabunPSK"/>
                <w:b w:val="0"/>
                <w:i w:val="0"/>
                <w:sz w:val="24"/>
                <w:szCs w:val="24"/>
              </w:rPr>
              <w:t>T1071.001, T1132.001, T1105</w:t>
            </w:r>
          </w:p>
        </w:tc>
      </w:tr>
      <w:tr>
        <w:tc>
          <w:tcPr>
            <w:tcW w:type="dxa" w:w="3213"/>
          </w:tcPr>
          <w:p>
            <w:pPr>
              <w:spacing w:after="0"/>
              <w:jc w:val="left"/>
            </w:pPr>
            <w:r/>
            <w:r>
              <w:rPr>
                <w:rFonts w:ascii="TH SarabunPSK" w:hAnsi="TH SarabunPSK" w:cs="TH SarabunPSK"/>
                <w:b w:val="0"/>
                <w:i w:val="0"/>
                <w:sz w:val="24"/>
                <w:szCs w:val="24"/>
              </w:rPr>
              <w:t>Cryptominer</w:t>
            </w:r>
          </w:p>
        </w:tc>
        <w:tc>
          <w:tcPr>
            <w:tcW w:type="dxa" w:w="3213"/>
          </w:tcPr>
          <w:p>
            <w:pPr>
              <w:spacing w:after="0"/>
              <w:jc w:val="center"/>
            </w:pPr>
            <w:r/>
            <w:r>
              <w:rPr>
                <w:rFonts w:ascii="TH SarabunPSK" w:hAnsi="TH SarabunPSK" w:cs="TH SarabunPSK"/>
                <w:b w:val="0"/>
                <w:i w:val="0"/>
                <w:sz w:val="24"/>
                <w:szCs w:val="24"/>
              </w:rPr>
              <w:t>1</w:t>
            </w:r>
          </w:p>
        </w:tc>
        <w:tc>
          <w:tcPr>
            <w:tcW w:type="dxa" w:w="3213"/>
          </w:tcPr>
          <w:p>
            <w:pPr>
              <w:spacing w:after="0"/>
              <w:jc w:val="center"/>
            </w:pPr>
            <w:r/>
            <w:r>
              <w:rPr>
                <w:rFonts w:ascii="TH SarabunPSK" w:hAnsi="TH SarabunPSK" w:cs="TH SarabunPSK"/>
                <w:b w:val="0"/>
                <w:i w:val="0"/>
                <w:sz w:val="24"/>
                <w:szCs w:val="24"/>
              </w:rPr>
              <w:t>T1496, T1053, T1057</w:t>
            </w:r>
          </w:p>
        </w:tc>
      </w:tr>
      <w:tr>
        <w:tc>
          <w:tcPr>
            <w:tcW w:type="dxa" w:w="3213"/>
          </w:tcPr>
          <w:p>
            <w:pPr>
              <w:spacing w:after="0"/>
              <w:jc w:val="left"/>
            </w:pPr>
            <w:r/>
            <w:r>
              <w:rPr>
                <w:rFonts w:ascii="TH SarabunPSK" w:hAnsi="TH SarabunPSK" w:cs="TH SarabunPSK"/>
                <w:b w:val="0"/>
                <w:i w:val="0"/>
                <w:sz w:val="24"/>
                <w:szCs w:val="24"/>
              </w:rPr>
              <w:t>Exploitation</w:t>
            </w:r>
          </w:p>
        </w:tc>
        <w:tc>
          <w:tcPr>
            <w:tcW w:type="dxa" w:w="3213"/>
          </w:tcPr>
          <w:p>
            <w:pPr>
              <w:spacing w:after="0"/>
              <w:jc w:val="center"/>
            </w:pPr>
            <w:r/>
            <w:r>
              <w:rPr>
                <w:rFonts w:ascii="TH SarabunPSK" w:hAnsi="TH SarabunPSK" w:cs="TH SarabunPSK"/>
                <w:b w:val="0"/>
                <w:i w:val="0"/>
                <w:sz w:val="24"/>
                <w:szCs w:val="24"/>
              </w:rPr>
              <w:t>1</w:t>
            </w:r>
          </w:p>
        </w:tc>
        <w:tc>
          <w:tcPr>
            <w:tcW w:type="dxa" w:w="3213"/>
          </w:tcPr>
          <w:p>
            <w:pPr>
              <w:spacing w:after="0"/>
              <w:jc w:val="center"/>
            </w:pPr>
            <w:r/>
            <w:r>
              <w:rPr>
                <w:rFonts w:ascii="TH SarabunPSK" w:hAnsi="TH SarabunPSK" w:cs="TH SarabunPSK"/>
                <w:b w:val="0"/>
                <w:i w:val="0"/>
                <w:sz w:val="24"/>
                <w:szCs w:val="24"/>
              </w:rPr>
              <w:t>T1055, T1548.002, T1134, T1218.011</w:t>
            </w:r>
          </w:p>
        </w:tc>
      </w:tr>
    </w:tbl>
    <w:p>
      <w:pPr>
        <w:spacing w:before="0" w:after="80" w:line="240" w:lineRule="auto"/>
      </w:pPr>
    </w:p>
    <w:p>
      <w:pPr>
        <w:spacing w:before="160" w:after="40" w:line="240" w:lineRule="auto"/>
        <w:jc w:val="left"/>
      </w:pPr>
      <w:r>
        <w:rPr>
          <w:rFonts w:ascii="TH SarabunPSK" w:hAnsi="TH SarabunPSK" w:cs="TH SarabunPSK"/>
          <w:b/>
          <w:i/>
          <w:sz w:val="28"/>
          <w:szCs w:val="28"/>
        </w:rPr>
        <w:t>3.3 ท่อประมวลผลข้อมูล</w:t>
      </w:r>
    </w:p>
    <w:p>
      <w:pPr>
        <w:spacing w:before="0" w:after="120" w:line="240" w:lineRule="auto"/>
        <w:ind w:firstLine="397"/>
        <w:jc w:val="both"/>
      </w:pPr>
      <w:r>
        <w:rPr>
          <w:rFonts w:ascii="TH SarabunPSK" w:hAnsi="TH SarabunPSK" w:cs="TH SarabunPSK"/>
          <w:b w:val="0"/>
          <w:i w:val="0"/>
          <w:sz w:val="28"/>
          <w:szCs w:val="28"/>
        </w:rPr>
        <w:t>บันทึกดิบถูกแปลงผ่านขั้นตอน parse → enrich → label ได้แก่ (1) แยกวิเคราะห์ XML เป็นตาราง (2) เติมข้อมูลระดับกระบวนการ เช่น บรรทัดคำสั่ง ค่าแฮช และกระบวนการแม่ และ (3) กำหนดป้ายกำกับ จากนั้นรวมทุกรอบทดลองเป็นชุดข้อมูลเดียวโดยคงคอลัมน์ระบุแพลตฟอร์ม เครื่อง และรอบทดลองไว้เพื่อการตรวจสอบย้อนกลับ</w:t>
      </w:r>
    </w:p>
    <w:p>
      <w:pPr>
        <w:spacing w:before="160" w:after="40" w:line="240" w:lineRule="auto"/>
        <w:jc w:val="left"/>
      </w:pPr>
      <w:r>
        <w:rPr>
          <w:rFonts w:ascii="TH SarabunPSK" w:hAnsi="TH SarabunPSK" w:cs="TH SarabunPSK"/>
          <w:b/>
          <w:i/>
          <w:sz w:val="28"/>
          <w:szCs w:val="28"/>
        </w:rPr>
        <w:t>3.4 การกำหนดป้ายกำกับด้วยการสืบสายกระบวนการ</w:t>
      </w:r>
    </w:p>
    <w:p>
      <w:pPr>
        <w:spacing w:before="0" w:after="120" w:line="240" w:lineRule="auto"/>
        <w:ind w:firstLine="397"/>
        <w:jc w:val="both"/>
      </w:pPr>
      <w:r>
        <w:rPr>
          <w:rFonts w:ascii="TH SarabunPSK" w:hAnsi="TH SarabunPSK" w:cs="TH SarabunPSK"/>
          <w:b w:val="0"/>
          <w:i w:val="0"/>
          <w:sz w:val="28"/>
          <w:szCs w:val="28"/>
        </w:rPr>
        <w:t>ป้ายกำกับ (label = 1 คืออันตราย) กำหนดโดยการสืบสายกระบวนการ (process lineage): เหตุการณ์ใดที่สืบสายมาจากกระบวนการที่ถูกปล่อยจากไดเรกทอรีทดสอบจะถูกกำกับเป็นอันตราย แนวทางนี้สอดคล้องกับการตรวจจับด้วยข้อมูลสืบสาย [10], [11] และให้ผลแม่นยำกว่าการกำหนดตามช่วงเวลา (session labeling) ซึ่งเคยวัดพบว่ากำหนดป้ายผิดสูง อย่างไรก็ตาม การมีป้ายกำกับว่าอันตรายไม่ได้หมายความว่าทุกเหตุการณ์เป็นพฤติกรรมมัลแวร์ในตัวเอง จึงจำแนกความแรงของหลักฐานออกเป็นระดับ ตั้งแต่หลักฐานตรงในคอลัมน์ของเหตุการณ์เอง ไปจนถึงการติดป้ายเพราะสายเลือดล้วน</w:t>
      </w:r>
    </w:p>
    <w:p>
      <w:pPr>
        <w:spacing w:before="160" w:after="40" w:line="240" w:lineRule="auto"/>
        <w:jc w:val="left"/>
      </w:pPr>
      <w:r>
        <w:rPr>
          <w:rFonts w:ascii="TH SarabunPSK" w:hAnsi="TH SarabunPSK" w:cs="TH SarabunPSK"/>
          <w:b/>
          <w:i/>
          <w:sz w:val="28"/>
          <w:szCs w:val="28"/>
        </w:rPr>
        <w:t>3.5 การสร้างคุณลักษณะเชิงพฤติกรรม</w:t>
      </w:r>
    </w:p>
    <w:p>
      <w:pPr>
        <w:spacing w:before="0" w:after="120" w:line="240" w:lineRule="auto"/>
        <w:ind w:firstLine="397"/>
        <w:jc w:val="both"/>
      </w:pPr>
      <w:r>
        <w:rPr>
          <w:rFonts w:ascii="TH SarabunPSK" w:hAnsi="TH SarabunPSK" w:cs="TH SarabunPSK"/>
          <w:b w:val="0"/>
          <w:i w:val="0"/>
          <w:sz w:val="28"/>
          <w:szCs w:val="28"/>
        </w:rPr>
        <w:t>แต่ละกระบวนการ (จัดกลุ่มด้วย ProcessGuid ร่วมกับรหัสเครื่องและรอบทดลอง) ถูกแปลงเป็นเวกเตอร์คุณลักษณะเชิงตัวเลข 32 ตัว แบ่งเป็น 5 กลุ่มดังตาราง 2 การรวมเหตุการณ์เป็นสถิติระดับกระบวนการช่วยให้แบบจำลองวิเคราะห์พฤติกรรมจากหลายเหตุการณ์ร่วมกันแทนการพิจารณาเหตุการณ์เดี่ยว ทั้งนี้ต้องแยกกรณี “ไม่มีพฤติกรรมเกิดขึ้น” ออกจากกรณี “แหล่งข้อมูลไม่รองรับการเก็บพฤติกรรมนั้น” เนื่องจาก Windows และ Linux เก็บเหตุการณ์ได้ไม่เท่ากัน</w:t>
      </w:r>
    </w:p>
    <w:p>
      <w:pPr>
        <w:spacing w:before="120" w:after="40" w:line="240" w:lineRule="auto"/>
        <w:jc w:val="left"/>
      </w:pPr>
      <w:r>
        <w:rPr>
          <w:rFonts w:ascii="TH SarabunPSK" w:hAnsi="TH SarabunPSK" w:cs="TH SarabunPSK"/>
          <w:b/>
          <w:i w:val="0"/>
          <w:sz w:val="24"/>
          <w:szCs w:val="24"/>
        </w:rPr>
        <w:t>ตาราง 2 กลุ่มคุณลักษณะเชิงพฤติกรรมระดับกระบวนการ</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0"/>
              <w:jc w:val="left"/>
            </w:pPr>
            <w:r/>
            <w:r>
              <w:rPr>
                <w:rFonts w:ascii="TH SarabunPSK" w:hAnsi="TH SarabunPSK" w:cs="TH SarabunPSK"/>
                <w:b/>
                <w:i w:val="0"/>
                <w:sz w:val="24"/>
                <w:szCs w:val="24"/>
              </w:rPr>
              <w:t>กลุ่ม</w:t>
            </w:r>
          </w:p>
        </w:tc>
        <w:tc>
          <w:tcPr>
            <w:tcW w:type="dxa" w:w="4819"/>
          </w:tcPr>
          <w:p>
            <w:pPr>
              <w:spacing w:after="0"/>
              <w:jc w:val="center"/>
            </w:pPr>
            <w:r/>
            <w:r>
              <w:rPr>
                <w:rFonts w:ascii="TH SarabunPSK" w:hAnsi="TH SarabunPSK" w:cs="TH SarabunPSK"/>
                <w:b/>
                <w:i w:val="0"/>
                <w:sz w:val="24"/>
                <w:szCs w:val="24"/>
              </w:rPr>
              <w:t>ตัวอย่างคุณลักษณะ</w:t>
            </w:r>
          </w:p>
        </w:tc>
      </w:tr>
      <w:tr>
        <w:tc>
          <w:tcPr>
            <w:tcW w:type="dxa" w:w="4819"/>
          </w:tcPr>
          <w:p>
            <w:pPr>
              <w:spacing w:after="0"/>
              <w:jc w:val="left"/>
            </w:pPr>
            <w:r/>
            <w:r>
              <w:rPr>
                <w:rFonts w:ascii="TH SarabunPSK" w:hAnsi="TH SarabunPSK" w:cs="TH SarabunPSK"/>
                <w:b w:val="0"/>
                <w:i w:val="0"/>
                <w:sz w:val="24"/>
                <w:szCs w:val="24"/>
              </w:rPr>
              <w:t>วงจรกระบวนการ</w:t>
            </w:r>
          </w:p>
        </w:tc>
        <w:tc>
          <w:tcPr>
            <w:tcW w:type="dxa" w:w="4819"/>
          </w:tcPr>
          <w:p>
            <w:pPr>
              <w:spacing w:after="0"/>
              <w:jc w:val="center"/>
            </w:pPr>
            <w:r/>
            <w:r>
              <w:rPr>
                <w:rFonts w:ascii="TH SarabunPSK" w:hAnsi="TH SarabunPSK" w:cs="TH SarabunPSK"/>
                <w:b w:val="0"/>
                <w:i w:val="0"/>
                <w:sz w:val="24"/>
                <w:szCs w:val="24"/>
              </w:rPr>
              <w:t>จำนวน ProcessCreate/Terminate, จำนวน child, ระยะเวลา</w:t>
            </w:r>
          </w:p>
        </w:tc>
      </w:tr>
      <w:tr>
        <w:tc>
          <w:tcPr>
            <w:tcW w:type="dxa" w:w="4819"/>
          </w:tcPr>
          <w:p>
            <w:pPr>
              <w:spacing w:after="0"/>
              <w:jc w:val="left"/>
            </w:pPr>
            <w:r/>
            <w:r>
              <w:rPr>
                <w:rFonts w:ascii="TH SarabunPSK" w:hAnsi="TH SarabunPSK" w:cs="TH SarabunPSK"/>
                <w:b w:val="0"/>
                <w:i w:val="0"/>
                <w:sz w:val="24"/>
                <w:szCs w:val="24"/>
              </w:rPr>
              <w:t>กิจกรรมไฟล์</w:t>
            </w:r>
          </w:p>
        </w:tc>
        <w:tc>
          <w:tcPr>
            <w:tcW w:type="dxa" w:w="4819"/>
          </w:tcPr>
          <w:p>
            <w:pPr>
              <w:spacing w:after="0"/>
              <w:jc w:val="center"/>
            </w:pPr>
            <w:r/>
            <w:r>
              <w:rPr>
                <w:rFonts w:ascii="TH SarabunPSK" w:hAnsi="TH SarabunPSK" w:cs="TH SarabunPSK"/>
                <w:b w:val="0"/>
                <w:i w:val="0"/>
                <w:sz w:val="24"/>
                <w:szCs w:val="24"/>
              </w:rPr>
              <w:t>จำนวน FileCreate/FileDelete, จำนวนพาธที่ต่างกัน</w:t>
            </w:r>
          </w:p>
        </w:tc>
      </w:tr>
      <w:tr>
        <w:tc>
          <w:tcPr>
            <w:tcW w:type="dxa" w:w="4819"/>
          </w:tcPr>
          <w:p>
            <w:pPr>
              <w:spacing w:after="0"/>
              <w:jc w:val="left"/>
            </w:pPr>
            <w:r/>
            <w:r>
              <w:rPr>
                <w:rFonts w:ascii="TH SarabunPSK" w:hAnsi="TH SarabunPSK" w:cs="TH SarabunPSK"/>
                <w:b w:val="0"/>
                <w:i w:val="0"/>
                <w:sz w:val="24"/>
                <w:szCs w:val="24"/>
              </w:rPr>
              <w:t>กิจกรรมเครือข่าย</w:t>
            </w:r>
          </w:p>
        </w:tc>
        <w:tc>
          <w:tcPr>
            <w:tcW w:type="dxa" w:w="4819"/>
          </w:tcPr>
          <w:p>
            <w:pPr>
              <w:spacing w:after="0"/>
              <w:jc w:val="center"/>
            </w:pPr>
            <w:r/>
            <w:r>
              <w:rPr>
                <w:rFonts w:ascii="TH SarabunPSK" w:hAnsi="TH SarabunPSK" w:cs="TH SarabunPSK"/>
                <w:b w:val="0"/>
                <w:i w:val="0"/>
                <w:sz w:val="24"/>
                <w:szCs w:val="24"/>
              </w:rPr>
              <w:t>จำนวน NetworkConnect, จำนวน IP/พอร์ตปลายทางที่ต่างกัน</w:t>
            </w:r>
          </w:p>
        </w:tc>
      </w:tr>
      <w:tr>
        <w:tc>
          <w:tcPr>
            <w:tcW w:type="dxa" w:w="4819"/>
          </w:tcPr>
          <w:p>
            <w:pPr>
              <w:spacing w:after="0"/>
              <w:jc w:val="left"/>
            </w:pPr>
            <w:r/>
            <w:r>
              <w:rPr>
                <w:rFonts w:ascii="TH SarabunPSK" w:hAnsi="TH SarabunPSK" w:cs="TH SarabunPSK"/>
                <w:b w:val="0"/>
                <w:i w:val="0"/>
                <w:sz w:val="24"/>
                <w:szCs w:val="24"/>
              </w:rPr>
              <w:t>กิจกรรม registry</w:t>
            </w:r>
          </w:p>
        </w:tc>
        <w:tc>
          <w:tcPr>
            <w:tcW w:type="dxa" w:w="4819"/>
          </w:tcPr>
          <w:p>
            <w:pPr>
              <w:spacing w:after="0"/>
              <w:jc w:val="center"/>
            </w:pPr>
            <w:r/>
            <w:r>
              <w:rPr>
                <w:rFonts w:ascii="TH SarabunPSK" w:hAnsi="TH SarabunPSK" w:cs="TH SarabunPSK"/>
                <w:b w:val="0"/>
                <w:i w:val="0"/>
                <w:sz w:val="24"/>
                <w:szCs w:val="24"/>
              </w:rPr>
              <w:t>จำนวน RegistrySetValue/RegistryAddDelete</w:t>
            </w:r>
          </w:p>
        </w:tc>
      </w:tr>
      <w:tr>
        <w:tc>
          <w:tcPr>
            <w:tcW w:type="dxa" w:w="4819"/>
          </w:tcPr>
          <w:p>
            <w:pPr>
              <w:spacing w:after="0"/>
              <w:jc w:val="left"/>
            </w:pPr>
            <w:r/>
            <w:r>
              <w:rPr>
                <w:rFonts w:ascii="TH SarabunPSK" w:hAnsi="TH SarabunPSK" w:cs="TH SarabunPSK"/>
                <w:b w:val="0"/>
                <w:i w:val="0"/>
                <w:sz w:val="24"/>
                <w:szCs w:val="24"/>
              </w:rPr>
              <w:t>คำสั่งและเมทาดาทา</w:t>
            </w:r>
          </w:p>
        </w:tc>
        <w:tc>
          <w:tcPr>
            <w:tcW w:type="dxa" w:w="4819"/>
          </w:tcPr>
          <w:p>
            <w:pPr>
              <w:spacing w:after="0"/>
              <w:jc w:val="center"/>
            </w:pPr>
            <w:r/>
            <w:r>
              <w:rPr>
                <w:rFonts w:ascii="TH SarabunPSK" w:hAnsi="TH SarabunPSK" w:cs="TH SarabunPSK"/>
                <w:b w:val="0"/>
                <w:i w:val="0"/>
                <w:sz w:val="24"/>
                <w:szCs w:val="24"/>
              </w:rPr>
              <w:t>ความยาวคำสั่ง, ระดับ integrity, ข้อมูลกระบวนการแม่</w:t>
            </w:r>
          </w:p>
        </w:tc>
      </w:tr>
    </w:tbl>
    <w:p>
      <w:pPr>
        <w:spacing w:before="0" w:after="80" w:line="240" w:lineRule="auto"/>
      </w:pPr>
    </w:p>
    <w:p>
      <w:pPr>
        <w:spacing w:before="160" w:after="40" w:line="240" w:lineRule="auto"/>
        <w:jc w:val="left"/>
      </w:pPr>
      <w:r>
        <w:rPr>
          <w:rFonts w:ascii="TH SarabunPSK" w:hAnsi="TH SarabunPSK" w:cs="TH SarabunPSK"/>
          <w:b/>
          <w:i/>
          <w:sz w:val="28"/>
          <w:szCs w:val="28"/>
        </w:rPr>
        <w:t>3.6 การลดมิติด้วย PCA และการเลือกคุณลักษณะ</w:t>
      </w:r>
    </w:p>
    <w:p>
      <w:pPr>
        <w:spacing w:before="0" w:after="120" w:line="240" w:lineRule="auto"/>
        <w:ind w:firstLine="397"/>
        <w:jc w:val="both"/>
      </w:pPr>
      <w:r>
        <w:rPr>
          <w:rFonts w:ascii="TH SarabunPSK" w:hAnsi="TH SarabunPSK" w:cs="TH SarabunPSK"/>
          <w:b w:val="0"/>
          <w:i w:val="0"/>
          <w:sz w:val="28"/>
          <w:szCs w:val="28"/>
        </w:rPr>
        <w:t>นำคุณลักษณะมาปรับมาตรฐานด้วย StandardScaler ก่อนศึกษาการลดมิติด้วย Principal Component Analysis (PCA) โดยกวาดจำนวนองค์ประกอบตั้งแต่ 1 ถึงจำนวนคุณลักษณะเต็ม แล้วเลือกค่าที่ให้ F1 สูงสุดบนชุด validation เพื่อป้องกันการรั่วไหลของข้อมูล พารามิเตอร์ของ StandardScaler และ PCA ถูกเรียนรู้จากชุด train เท่านั้น แล้วนำการแปลงเดียวกันไปใช้กับ validation และ test [2] นอกจากนี้ยังศึกษาการเลือกคุณลักษณะแบบตัดถอยหลังอย่างละโมบ (greedy backward elimination) เพื่อระบุว่าคุณลักษณะใดแบกสัญญาณจริง และเพื่อคัดคุณลักษณะที่สืบเนื่องจากกระบวนการกำหนดป้ายกำกับ (derived features) ออก ผลของทั้ง PCA และการเลือกคุณลักษณะรายงานในหัวข้อ 4.5 การจัดการความไม่สมดุลของคลาสพิจารณาใช้เทคนิค SMOTE [18] เฉพาะบนชุด train ขั้นตอนการกวาดจำนวนองค์ประกอบ PCA (ทำตามงานอ้างอิง [1]) แสดงเป็นผังงานในภาพ 2</w:t>
      </w:r>
    </w:p>
    <w:p>
      <w:pPr>
        <w:spacing w:before="120" w:after="40"/>
        <w:jc w:val="center"/>
      </w:pPr>
      <w:r>
        <w:drawing>
          <wp:inline xmlns:a="http://schemas.openxmlformats.org/drawingml/2006/main" xmlns:pic="http://schemas.openxmlformats.org/drawingml/2006/picture">
            <wp:extent cx="2736000" cy="4201714"/>
            <wp:docPr id="2" name="Picture 2"/>
            <wp:cNvGraphicFramePr>
              <a:graphicFrameLocks noChangeAspect="1"/>
            </wp:cNvGraphicFramePr>
            <a:graphic>
              <a:graphicData uri="http://schemas.openxmlformats.org/drawingml/2006/picture">
                <pic:pic>
                  <pic:nvPicPr>
                    <pic:cNvPr id="0" name="fig_pca_selection.png"/>
                    <pic:cNvPicPr/>
                  </pic:nvPicPr>
                  <pic:blipFill>
                    <a:blip r:embed="rId13"/>
                    <a:stretch>
                      <a:fillRect/>
                    </a:stretch>
                  </pic:blipFill>
                  <pic:spPr>
                    <a:xfrm>
                      <a:off x="0" y="0"/>
                      <a:ext cx="2736000" cy="4201714"/>
                    </a:xfrm>
                    <a:prstGeom prst="rect"/>
                  </pic:spPr>
                </pic:pic>
              </a:graphicData>
            </a:graphic>
          </wp:inline>
        </w:drawing>
      </w:r>
    </w:p>
    <w:p>
      <w:pPr>
        <w:spacing w:before="0" w:after="120" w:line="240" w:lineRule="auto"/>
        <w:jc w:val="center"/>
      </w:pPr>
      <w:r>
        <w:rPr>
          <w:rFonts w:ascii="TH SarabunPSK" w:hAnsi="TH SarabunPSK" w:cs="TH SarabunPSK"/>
          <w:b/>
          <w:i w:val="0"/>
          <w:sz w:val="24"/>
          <w:szCs w:val="24"/>
        </w:rPr>
        <w:t>ภาพ 2 ผังงานการเลือกจำนวนองค์ประกอบ PCA (ตามแนวทางงานอ้างอิง [1])</w:t>
      </w:r>
    </w:p>
    <w:p>
      <w:pPr>
        <w:spacing w:before="160" w:after="40" w:line="240" w:lineRule="auto"/>
        <w:jc w:val="left"/>
      </w:pPr>
      <w:r>
        <w:rPr>
          <w:rFonts w:ascii="TH SarabunPSK" w:hAnsi="TH SarabunPSK" w:cs="TH SarabunPSK"/>
          <w:b/>
          <w:i/>
          <w:sz w:val="28"/>
          <w:szCs w:val="28"/>
        </w:rPr>
        <w:t>3.7 โปรโตคอลการประเมิน</w:t>
      </w:r>
    </w:p>
    <w:p>
      <w:pPr>
        <w:spacing w:before="0" w:after="120" w:line="240" w:lineRule="auto"/>
        <w:ind w:firstLine="397"/>
        <w:jc w:val="both"/>
      </w:pPr>
      <w:r>
        <w:rPr>
          <w:rFonts w:ascii="TH SarabunPSK" w:hAnsi="TH SarabunPSK" w:cs="TH SarabunPSK"/>
          <w:b w:val="0"/>
          <w:i w:val="0"/>
          <w:sz w:val="28"/>
          <w:szCs w:val="28"/>
        </w:rPr>
        <w:t>เนื่องจากเหตุการณ์หลายแถวมาจากกระบวนการเดียวกัน การแบ่งฝึก/ทดสอบแบบสุ่มรายแถวจะทำให้เหตุการณ์จากกระบวนการเดียวกันปรากฏทั้งในชุดฝึกและชุดทดสอบ ส่งผลให้ค่าที่รายงานสูงเกินจริง [2], [3] บทความนี้จึงรายงานผลหลักด้วย GroupKFold แบ่งตาม ProcessGuid และประเมินระดับกระบวนการ พร้อมตัดคุณลักษณะที่สืบเนื่องจากกระบวนการกำหนดป้ายกำกับออก และประเมินความสามารถต่อภัยที่ไม่เคยพบด้วยการกันสถานการณ์ออกทีละชนิด (leave-one-scenario-out) วัดผลด้วย Accuracy, Precision, Recall, F1 และ AUC</w:t>
      </w:r>
    </w:p>
    <w:p>
      <w:pPr>
        <w:spacing w:before="200" w:after="80" w:line="240" w:lineRule="auto"/>
        <w:jc w:val="center"/>
      </w:pPr>
      <w:r>
        <w:rPr>
          <w:rFonts w:ascii="TH SarabunPSK" w:hAnsi="TH SarabunPSK" w:cs="TH SarabunPSK"/>
          <w:b/>
          <w:i w:val="0"/>
          <w:sz w:val="28"/>
          <w:szCs w:val="28"/>
        </w:rPr>
        <w:t>4. การทดลองและผลลัพธ์</w:t>
      </w:r>
    </w:p>
    <w:p>
      <w:pPr>
        <w:spacing w:before="160" w:after="40" w:line="240" w:lineRule="auto"/>
        <w:jc w:val="left"/>
      </w:pPr>
      <w:r>
        <w:rPr>
          <w:rFonts w:ascii="TH SarabunPSK" w:hAnsi="TH SarabunPSK" w:cs="TH SarabunPSK"/>
          <w:b/>
          <w:i/>
          <w:sz w:val="28"/>
          <w:szCs w:val="28"/>
        </w:rPr>
        <w:t>4.1 องค์ประกอบชุดข้อมูล</w:t>
      </w:r>
    </w:p>
    <w:p>
      <w:pPr>
        <w:spacing w:before="0" w:after="120" w:line="240" w:lineRule="auto"/>
        <w:ind w:firstLine="397"/>
        <w:jc w:val="both"/>
      </w:pPr>
      <w:r>
        <w:rPr>
          <w:rFonts w:ascii="TH SarabunPSK" w:hAnsi="TH SarabunPSK" w:cs="TH SarabunPSK"/>
          <w:b w:val="0"/>
          <w:i w:val="0"/>
          <w:sz w:val="28"/>
          <w:szCs w:val="28"/>
        </w:rPr>
        <w:t>ชุดข้อมูลรวมมี 81,331 เหตุการณ์ 80 คอลัมน์ เมื่อรวมระดับกระบวนการได้ 23,971 ตัวอย่าง องค์ประกอบตามตาราง 3 จุดเด่นคือสัดส่วนตัวอย่างอันตรายของสองแพลตฟอร์มใกล้เคียงกันมาก (Linux 34.2% เทียบ Windows 33.3%) จึงลดความเสี่ยงที่แพลตฟอร์มจะกลายเป็นตัวแทนของป้ายกำกับ</w:t>
      </w:r>
    </w:p>
    <w:p>
      <w:pPr>
        <w:spacing w:before="120" w:after="40" w:line="240" w:lineRule="auto"/>
        <w:jc w:val="left"/>
      </w:pPr>
      <w:r>
        <w:rPr>
          <w:rFonts w:ascii="TH SarabunPSK" w:hAnsi="TH SarabunPSK" w:cs="TH SarabunPSK"/>
          <w:b/>
          <w:i w:val="0"/>
          <w:sz w:val="24"/>
          <w:szCs w:val="24"/>
        </w:rPr>
        <w:t>ตาราง 3 องค์ประกอบตามแพลตฟอร์มและป้ายกำกับ</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after="0"/>
              <w:jc w:val="left"/>
            </w:pPr>
            <w:r/>
            <w:r>
              <w:rPr>
                <w:rFonts w:ascii="TH SarabunPSK" w:hAnsi="TH SarabunPSK" w:cs="TH SarabunPSK"/>
                <w:b/>
                <w:i w:val="0"/>
                <w:sz w:val="24"/>
                <w:szCs w:val="24"/>
              </w:rPr>
              <w:t>แพลตฟอร์ม</w:t>
            </w:r>
          </w:p>
        </w:tc>
        <w:tc>
          <w:tcPr>
            <w:tcW w:type="dxa" w:w="1928"/>
          </w:tcPr>
          <w:p>
            <w:pPr>
              <w:spacing w:after="0"/>
              <w:jc w:val="center"/>
            </w:pPr>
            <w:r/>
            <w:r>
              <w:rPr>
                <w:rFonts w:ascii="TH SarabunPSK" w:hAnsi="TH SarabunPSK" w:cs="TH SarabunPSK"/>
                <w:b/>
                <w:i w:val="0"/>
                <w:sz w:val="24"/>
                <w:szCs w:val="24"/>
              </w:rPr>
              <w:t>ปกติ</w:t>
            </w:r>
          </w:p>
        </w:tc>
        <w:tc>
          <w:tcPr>
            <w:tcW w:type="dxa" w:w="1928"/>
          </w:tcPr>
          <w:p>
            <w:pPr>
              <w:spacing w:after="0"/>
              <w:jc w:val="center"/>
            </w:pPr>
            <w:r/>
            <w:r>
              <w:rPr>
                <w:rFonts w:ascii="TH SarabunPSK" w:hAnsi="TH SarabunPSK" w:cs="TH SarabunPSK"/>
                <w:b/>
                <w:i w:val="0"/>
                <w:sz w:val="24"/>
                <w:szCs w:val="24"/>
              </w:rPr>
              <w:t>อันตราย</w:t>
            </w:r>
          </w:p>
        </w:tc>
        <w:tc>
          <w:tcPr>
            <w:tcW w:type="dxa" w:w="1928"/>
          </w:tcPr>
          <w:p>
            <w:pPr>
              <w:spacing w:after="0"/>
              <w:jc w:val="center"/>
            </w:pPr>
            <w:r/>
            <w:r>
              <w:rPr>
                <w:rFonts w:ascii="TH SarabunPSK" w:hAnsi="TH SarabunPSK" w:cs="TH SarabunPSK"/>
                <w:b/>
                <w:i w:val="0"/>
                <w:sz w:val="24"/>
                <w:szCs w:val="24"/>
              </w:rPr>
              <w:t>รวม</w:t>
            </w:r>
          </w:p>
        </w:tc>
        <w:tc>
          <w:tcPr>
            <w:tcW w:type="dxa" w:w="1928"/>
          </w:tcPr>
          <w:p>
            <w:pPr>
              <w:spacing w:after="0"/>
              <w:jc w:val="center"/>
            </w:pPr>
            <w:r/>
            <w:r>
              <w:rPr>
                <w:rFonts w:ascii="TH SarabunPSK" w:hAnsi="TH SarabunPSK" w:cs="TH SarabunPSK"/>
                <w:b/>
                <w:i w:val="0"/>
                <w:sz w:val="24"/>
                <w:szCs w:val="24"/>
              </w:rPr>
              <w:t>%อันตราย</w:t>
            </w:r>
          </w:p>
        </w:tc>
      </w:tr>
      <w:tr>
        <w:tc>
          <w:tcPr>
            <w:tcW w:type="dxa" w:w="1928"/>
          </w:tcPr>
          <w:p>
            <w:pPr>
              <w:spacing w:after="0"/>
              <w:jc w:val="left"/>
            </w:pPr>
            <w:r/>
            <w:r>
              <w:rPr>
                <w:rFonts w:ascii="TH SarabunPSK" w:hAnsi="TH SarabunPSK" w:cs="TH SarabunPSK"/>
                <w:b w:val="0"/>
                <w:i w:val="0"/>
                <w:sz w:val="24"/>
                <w:szCs w:val="24"/>
              </w:rPr>
              <w:t>Linux</w:t>
            </w:r>
          </w:p>
        </w:tc>
        <w:tc>
          <w:tcPr>
            <w:tcW w:type="dxa" w:w="1928"/>
          </w:tcPr>
          <w:p>
            <w:pPr>
              <w:spacing w:after="0"/>
              <w:jc w:val="center"/>
            </w:pPr>
            <w:r/>
            <w:r>
              <w:rPr>
                <w:rFonts w:ascii="TH SarabunPSK" w:hAnsi="TH SarabunPSK" w:cs="TH SarabunPSK"/>
                <w:b w:val="0"/>
                <w:i w:val="0"/>
                <w:sz w:val="24"/>
                <w:szCs w:val="24"/>
              </w:rPr>
              <w:t>29,805</w:t>
            </w:r>
          </w:p>
        </w:tc>
        <w:tc>
          <w:tcPr>
            <w:tcW w:type="dxa" w:w="1928"/>
          </w:tcPr>
          <w:p>
            <w:pPr>
              <w:spacing w:after="0"/>
              <w:jc w:val="center"/>
            </w:pPr>
            <w:r/>
            <w:r>
              <w:rPr>
                <w:rFonts w:ascii="TH SarabunPSK" w:hAnsi="TH SarabunPSK" w:cs="TH SarabunPSK"/>
                <w:b w:val="0"/>
                <w:i w:val="0"/>
                <w:sz w:val="24"/>
                <w:szCs w:val="24"/>
              </w:rPr>
              <w:t>15,506</w:t>
            </w:r>
          </w:p>
        </w:tc>
        <w:tc>
          <w:tcPr>
            <w:tcW w:type="dxa" w:w="1928"/>
          </w:tcPr>
          <w:p>
            <w:pPr>
              <w:spacing w:after="0"/>
              <w:jc w:val="center"/>
            </w:pPr>
            <w:r/>
            <w:r>
              <w:rPr>
                <w:rFonts w:ascii="TH SarabunPSK" w:hAnsi="TH SarabunPSK" w:cs="TH SarabunPSK"/>
                <w:b w:val="0"/>
                <w:i w:val="0"/>
                <w:sz w:val="24"/>
                <w:szCs w:val="24"/>
              </w:rPr>
              <w:t>45,311</w:t>
            </w:r>
          </w:p>
        </w:tc>
        <w:tc>
          <w:tcPr>
            <w:tcW w:type="dxa" w:w="1928"/>
          </w:tcPr>
          <w:p>
            <w:pPr>
              <w:spacing w:after="0"/>
              <w:jc w:val="center"/>
            </w:pPr>
            <w:r/>
            <w:r>
              <w:rPr>
                <w:rFonts w:ascii="TH SarabunPSK" w:hAnsi="TH SarabunPSK" w:cs="TH SarabunPSK"/>
                <w:b w:val="0"/>
                <w:i w:val="0"/>
                <w:sz w:val="24"/>
                <w:szCs w:val="24"/>
              </w:rPr>
              <w:t>34.2%</w:t>
            </w:r>
          </w:p>
        </w:tc>
      </w:tr>
      <w:tr>
        <w:tc>
          <w:tcPr>
            <w:tcW w:type="dxa" w:w="1928"/>
          </w:tcPr>
          <w:p>
            <w:pPr>
              <w:spacing w:after="0"/>
              <w:jc w:val="left"/>
            </w:pPr>
            <w:r/>
            <w:r>
              <w:rPr>
                <w:rFonts w:ascii="TH SarabunPSK" w:hAnsi="TH SarabunPSK" w:cs="TH SarabunPSK"/>
                <w:b w:val="0"/>
                <w:i w:val="0"/>
                <w:sz w:val="24"/>
                <w:szCs w:val="24"/>
              </w:rPr>
              <w:t>Windows</w:t>
            </w:r>
          </w:p>
        </w:tc>
        <w:tc>
          <w:tcPr>
            <w:tcW w:type="dxa" w:w="1928"/>
          </w:tcPr>
          <w:p>
            <w:pPr>
              <w:spacing w:after="0"/>
              <w:jc w:val="center"/>
            </w:pPr>
            <w:r/>
            <w:r>
              <w:rPr>
                <w:rFonts w:ascii="TH SarabunPSK" w:hAnsi="TH SarabunPSK" w:cs="TH SarabunPSK"/>
                <w:b w:val="0"/>
                <w:i w:val="0"/>
                <w:sz w:val="24"/>
                <w:szCs w:val="24"/>
              </w:rPr>
              <w:t>24,027</w:t>
            </w:r>
          </w:p>
        </w:tc>
        <w:tc>
          <w:tcPr>
            <w:tcW w:type="dxa" w:w="1928"/>
          </w:tcPr>
          <w:p>
            <w:pPr>
              <w:spacing w:after="0"/>
              <w:jc w:val="center"/>
            </w:pPr>
            <w:r/>
            <w:r>
              <w:rPr>
                <w:rFonts w:ascii="TH SarabunPSK" w:hAnsi="TH SarabunPSK" w:cs="TH SarabunPSK"/>
                <w:b w:val="0"/>
                <w:i w:val="0"/>
                <w:sz w:val="24"/>
                <w:szCs w:val="24"/>
              </w:rPr>
              <w:t>11,993</w:t>
            </w:r>
          </w:p>
        </w:tc>
        <w:tc>
          <w:tcPr>
            <w:tcW w:type="dxa" w:w="1928"/>
          </w:tcPr>
          <w:p>
            <w:pPr>
              <w:spacing w:after="0"/>
              <w:jc w:val="center"/>
            </w:pPr>
            <w:r/>
            <w:r>
              <w:rPr>
                <w:rFonts w:ascii="TH SarabunPSK" w:hAnsi="TH SarabunPSK" w:cs="TH SarabunPSK"/>
                <w:b w:val="0"/>
                <w:i w:val="0"/>
                <w:sz w:val="24"/>
                <w:szCs w:val="24"/>
              </w:rPr>
              <w:t>36,020</w:t>
            </w:r>
          </w:p>
        </w:tc>
        <w:tc>
          <w:tcPr>
            <w:tcW w:type="dxa" w:w="1928"/>
          </w:tcPr>
          <w:p>
            <w:pPr>
              <w:spacing w:after="0"/>
              <w:jc w:val="center"/>
            </w:pPr>
            <w:r/>
            <w:r>
              <w:rPr>
                <w:rFonts w:ascii="TH SarabunPSK" w:hAnsi="TH SarabunPSK" w:cs="TH SarabunPSK"/>
                <w:b w:val="0"/>
                <w:i w:val="0"/>
                <w:sz w:val="24"/>
                <w:szCs w:val="24"/>
              </w:rPr>
              <w:t>33.3%</w:t>
            </w:r>
          </w:p>
        </w:tc>
      </w:tr>
      <w:tr>
        <w:tc>
          <w:tcPr>
            <w:tcW w:type="dxa" w:w="1928"/>
          </w:tcPr>
          <w:p>
            <w:pPr>
              <w:spacing w:after="0"/>
              <w:jc w:val="left"/>
            </w:pPr>
            <w:r/>
            <w:r>
              <w:rPr>
                <w:rFonts w:ascii="TH SarabunPSK" w:hAnsi="TH SarabunPSK" w:cs="TH SarabunPSK"/>
                <w:b w:val="0"/>
                <w:i w:val="0"/>
                <w:sz w:val="24"/>
                <w:szCs w:val="24"/>
              </w:rPr>
              <w:t>รวม</w:t>
            </w:r>
          </w:p>
        </w:tc>
        <w:tc>
          <w:tcPr>
            <w:tcW w:type="dxa" w:w="1928"/>
          </w:tcPr>
          <w:p>
            <w:pPr>
              <w:spacing w:after="0"/>
              <w:jc w:val="center"/>
            </w:pPr>
            <w:r/>
            <w:r>
              <w:rPr>
                <w:rFonts w:ascii="TH SarabunPSK" w:hAnsi="TH SarabunPSK" w:cs="TH SarabunPSK"/>
                <w:b w:val="0"/>
                <w:i w:val="0"/>
                <w:sz w:val="24"/>
                <w:szCs w:val="24"/>
              </w:rPr>
              <w:t>53,832</w:t>
            </w:r>
          </w:p>
        </w:tc>
        <w:tc>
          <w:tcPr>
            <w:tcW w:type="dxa" w:w="1928"/>
          </w:tcPr>
          <w:p>
            <w:pPr>
              <w:spacing w:after="0"/>
              <w:jc w:val="center"/>
            </w:pPr>
            <w:r/>
            <w:r>
              <w:rPr>
                <w:rFonts w:ascii="TH SarabunPSK" w:hAnsi="TH SarabunPSK" w:cs="TH SarabunPSK"/>
                <w:b w:val="0"/>
                <w:i w:val="0"/>
                <w:sz w:val="24"/>
                <w:szCs w:val="24"/>
              </w:rPr>
              <w:t>27,499</w:t>
            </w:r>
          </w:p>
        </w:tc>
        <w:tc>
          <w:tcPr>
            <w:tcW w:type="dxa" w:w="1928"/>
          </w:tcPr>
          <w:p>
            <w:pPr>
              <w:spacing w:after="0"/>
              <w:jc w:val="center"/>
            </w:pPr>
            <w:r/>
            <w:r>
              <w:rPr>
                <w:rFonts w:ascii="TH SarabunPSK" w:hAnsi="TH SarabunPSK" w:cs="TH SarabunPSK"/>
                <w:b w:val="0"/>
                <w:i w:val="0"/>
                <w:sz w:val="24"/>
                <w:szCs w:val="24"/>
              </w:rPr>
              <w:t>81,331</w:t>
            </w:r>
          </w:p>
        </w:tc>
        <w:tc>
          <w:tcPr>
            <w:tcW w:type="dxa" w:w="1928"/>
          </w:tcPr>
          <w:p>
            <w:pPr>
              <w:spacing w:after="0"/>
              <w:jc w:val="center"/>
            </w:pPr>
            <w:r/>
            <w:r>
              <w:rPr>
                <w:rFonts w:ascii="TH SarabunPSK" w:hAnsi="TH SarabunPSK" w:cs="TH SarabunPSK"/>
                <w:b w:val="0"/>
                <w:i w:val="0"/>
                <w:sz w:val="24"/>
                <w:szCs w:val="24"/>
              </w:rPr>
              <w:t>33.8%</w:t>
            </w:r>
          </w:p>
        </w:tc>
      </w:tr>
    </w:tbl>
    <w:p>
      <w:pPr>
        <w:spacing w:before="0" w:after="80" w:line="240" w:lineRule="auto"/>
      </w:pPr>
    </w:p>
    <w:p>
      <w:pPr>
        <w:spacing w:before="160" w:after="40" w:line="240" w:lineRule="auto"/>
        <w:jc w:val="left"/>
      </w:pPr>
      <w:r>
        <w:rPr>
          <w:rFonts w:ascii="TH SarabunPSK" w:hAnsi="TH SarabunPSK" w:cs="TH SarabunPSK"/>
          <w:b/>
          <w:i/>
          <w:sz w:val="28"/>
          <w:szCs w:val="28"/>
        </w:rPr>
        <w:t>4.2 ผลการจำแนกระดับกระบวนการ</w:t>
      </w:r>
    </w:p>
    <w:p>
      <w:pPr>
        <w:spacing w:before="0" w:after="120" w:line="240" w:lineRule="auto"/>
        <w:ind w:firstLine="397"/>
        <w:jc w:val="both"/>
      </w:pPr>
      <w:r>
        <w:rPr>
          <w:rFonts w:ascii="TH SarabunPSK" w:hAnsi="TH SarabunPSK" w:cs="TH SarabunPSK"/>
          <w:b w:val="0"/>
          <w:i w:val="0"/>
          <w:sz w:val="28"/>
          <w:szCs w:val="28"/>
        </w:rPr>
        <w:t>ตาราง 4 แสดงผลภายใต้โปรโตคอล GroupKFold ระดับกระบวนการ (32 คุณลักษณะที่ควบคุมการรั่วไหล) แบบจำลอง Random Forest [12] ให้ผลดีที่สุด ความแม่นยำ 94.9% ค่า F1 0.924 และ AUC 0.988 สำหรับแบบไม่มีผู้สอน (ฝึกด้วยข้อมูลปกติเท่านั้น) Local Outlier Factor [14] ให้ผลดีที่สุดสอดคล้องกับข้อสรุปของงานอ้างอิง [1] โดยได้ AUC 0.849 สูงกว่าเส้นฐานแจ้งเตือนทุกแถว (F1 0.500) อย่างชัดเจน ภาพ 3 เปรียบเทียบค่า Precision, Recall และ F1 ของแบบจำลองทั้งเจ็ด และภาพ 4 แสดงเส้นโค้ง ROC</w:t>
      </w:r>
    </w:p>
    <w:p>
      <w:pPr>
        <w:spacing w:before="120" w:after="40" w:line="240" w:lineRule="auto"/>
        <w:jc w:val="left"/>
      </w:pPr>
      <w:r>
        <w:rPr>
          <w:rFonts w:ascii="TH SarabunPSK" w:hAnsi="TH SarabunPSK" w:cs="TH SarabunPSK"/>
          <w:b/>
          <w:i w:val="0"/>
          <w:sz w:val="24"/>
          <w:szCs w:val="24"/>
        </w:rPr>
        <w:t>ตาราง 4 ผลการจำแนกระดับกระบวนการ (GroupKFold, 32 คุณลักษณะ)</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after="0"/>
              <w:jc w:val="left"/>
            </w:pPr>
            <w:r/>
            <w:r>
              <w:rPr>
                <w:rFonts w:ascii="TH SarabunPSK" w:hAnsi="TH SarabunPSK" w:cs="TH SarabunPSK"/>
                <w:b/>
                <w:i w:val="0"/>
                <w:sz w:val="24"/>
                <w:szCs w:val="24"/>
              </w:rPr>
              <w:t>ชนิด</w:t>
            </w:r>
          </w:p>
        </w:tc>
        <w:tc>
          <w:tcPr>
            <w:tcW w:type="dxa" w:w="1377"/>
          </w:tcPr>
          <w:p>
            <w:pPr>
              <w:spacing w:after="0"/>
              <w:jc w:val="center"/>
            </w:pPr>
            <w:r/>
            <w:r>
              <w:rPr>
                <w:rFonts w:ascii="TH SarabunPSK" w:hAnsi="TH SarabunPSK" w:cs="TH SarabunPSK"/>
                <w:b/>
                <w:i w:val="0"/>
                <w:sz w:val="24"/>
                <w:szCs w:val="24"/>
              </w:rPr>
              <w:t>แบบจำลอง</w:t>
            </w:r>
          </w:p>
        </w:tc>
        <w:tc>
          <w:tcPr>
            <w:tcW w:type="dxa" w:w="1377"/>
          </w:tcPr>
          <w:p>
            <w:pPr>
              <w:spacing w:after="0"/>
              <w:jc w:val="center"/>
            </w:pPr>
            <w:r/>
            <w:r>
              <w:rPr>
                <w:rFonts w:ascii="TH SarabunPSK" w:hAnsi="TH SarabunPSK" w:cs="TH SarabunPSK"/>
                <w:b/>
                <w:i w:val="0"/>
                <w:sz w:val="24"/>
                <w:szCs w:val="24"/>
              </w:rPr>
              <w:t>Acc</w:t>
            </w:r>
          </w:p>
        </w:tc>
        <w:tc>
          <w:tcPr>
            <w:tcW w:type="dxa" w:w="1377"/>
          </w:tcPr>
          <w:p>
            <w:pPr>
              <w:spacing w:after="0"/>
              <w:jc w:val="center"/>
            </w:pPr>
            <w:r/>
            <w:r>
              <w:rPr>
                <w:rFonts w:ascii="TH SarabunPSK" w:hAnsi="TH SarabunPSK" w:cs="TH SarabunPSK"/>
                <w:b/>
                <w:i w:val="0"/>
                <w:sz w:val="24"/>
                <w:szCs w:val="24"/>
              </w:rPr>
              <w:t>Prec</w:t>
            </w:r>
          </w:p>
        </w:tc>
        <w:tc>
          <w:tcPr>
            <w:tcW w:type="dxa" w:w="1377"/>
          </w:tcPr>
          <w:p>
            <w:pPr>
              <w:spacing w:after="0"/>
              <w:jc w:val="center"/>
            </w:pPr>
            <w:r/>
            <w:r>
              <w:rPr>
                <w:rFonts w:ascii="TH SarabunPSK" w:hAnsi="TH SarabunPSK" w:cs="TH SarabunPSK"/>
                <w:b/>
                <w:i w:val="0"/>
                <w:sz w:val="24"/>
                <w:szCs w:val="24"/>
              </w:rPr>
              <w:t>Rec</w:t>
            </w:r>
          </w:p>
        </w:tc>
        <w:tc>
          <w:tcPr>
            <w:tcW w:type="dxa" w:w="1377"/>
          </w:tcPr>
          <w:p>
            <w:pPr>
              <w:spacing w:after="0"/>
              <w:jc w:val="center"/>
            </w:pPr>
            <w:r/>
            <w:r>
              <w:rPr>
                <w:rFonts w:ascii="TH SarabunPSK" w:hAnsi="TH SarabunPSK" w:cs="TH SarabunPSK"/>
                <w:b/>
                <w:i w:val="0"/>
                <w:sz w:val="24"/>
                <w:szCs w:val="24"/>
              </w:rPr>
              <w:t>F1</w:t>
            </w:r>
          </w:p>
        </w:tc>
        <w:tc>
          <w:tcPr>
            <w:tcW w:type="dxa" w:w="1377"/>
          </w:tcPr>
          <w:p>
            <w:pPr>
              <w:spacing w:after="0"/>
              <w:jc w:val="center"/>
            </w:pPr>
            <w:r/>
            <w:r>
              <w:rPr>
                <w:rFonts w:ascii="TH SarabunPSK" w:hAnsi="TH SarabunPSK" w:cs="TH SarabunPSK"/>
                <w:b/>
                <w:i w:val="0"/>
                <w:sz w:val="24"/>
                <w:szCs w:val="24"/>
              </w:rPr>
              <w:t>AUC</w:t>
            </w:r>
          </w:p>
        </w:tc>
      </w:tr>
      <w:tr>
        <w:tc>
          <w:tcPr>
            <w:tcW w:type="dxa" w:w="1377"/>
          </w:tcPr>
          <w:p>
            <w:pPr>
              <w:spacing w:after="0"/>
              <w:jc w:val="left"/>
            </w:pPr>
            <w:r/>
            <w:r>
              <w:rPr>
                <w:rFonts w:ascii="TH SarabunPSK" w:hAnsi="TH SarabunPSK" w:cs="TH SarabunPSK"/>
                <w:b w:val="0"/>
                <w:i w:val="0"/>
                <w:sz w:val="24"/>
                <w:szCs w:val="24"/>
              </w:rPr>
              <w:t>มีผู้สอน</w:t>
            </w:r>
          </w:p>
        </w:tc>
        <w:tc>
          <w:tcPr>
            <w:tcW w:type="dxa" w:w="1377"/>
          </w:tcPr>
          <w:p>
            <w:pPr>
              <w:spacing w:after="0"/>
              <w:jc w:val="center"/>
            </w:pPr>
            <w:r/>
            <w:r>
              <w:rPr>
                <w:rFonts w:ascii="TH SarabunPSK" w:hAnsi="TH SarabunPSK" w:cs="TH SarabunPSK"/>
                <w:b w:val="0"/>
                <w:i w:val="0"/>
                <w:sz w:val="24"/>
                <w:szCs w:val="24"/>
              </w:rPr>
              <w:t>Random Forest</w:t>
            </w:r>
          </w:p>
        </w:tc>
        <w:tc>
          <w:tcPr>
            <w:tcW w:type="dxa" w:w="1377"/>
          </w:tcPr>
          <w:p>
            <w:pPr>
              <w:spacing w:after="0"/>
              <w:jc w:val="center"/>
            </w:pPr>
            <w:r/>
            <w:r>
              <w:rPr>
                <w:rFonts w:ascii="TH SarabunPSK" w:hAnsi="TH SarabunPSK" w:cs="TH SarabunPSK"/>
                <w:b w:val="0"/>
                <w:i w:val="0"/>
                <w:sz w:val="24"/>
                <w:szCs w:val="24"/>
              </w:rPr>
              <w:t>0.949</w:t>
            </w:r>
          </w:p>
        </w:tc>
        <w:tc>
          <w:tcPr>
            <w:tcW w:type="dxa" w:w="1377"/>
          </w:tcPr>
          <w:p>
            <w:pPr>
              <w:spacing w:after="0"/>
              <w:jc w:val="center"/>
            </w:pPr>
            <w:r/>
            <w:r>
              <w:rPr>
                <w:rFonts w:ascii="TH SarabunPSK" w:hAnsi="TH SarabunPSK" w:cs="TH SarabunPSK"/>
                <w:b w:val="0"/>
                <w:i w:val="0"/>
                <w:sz w:val="24"/>
                <w:szCs w:val="24"/>
              </w:rPr>
              <w:t>0.919</w:t>
            </w:r>
          </w:p>
        </w:tc>
        <w:tc>
          <w:tcPr>
            <w:tcW w:type="dxa" w:w="1377"/>
          </w:tcPr>
          <w:p>
            <w:pPr>
              <w:spacing w:after="0"/>
              <w:jc w:val="center"/>
            </w:pPr>
            <w:r/>
            <w:r>
              <w:rPr>
                <w:rFonts w:ascii="TH SarabunPSK" w:hAnsi="TH SarabunPSK" w:cs="TH SarabunPSK"/>
                <w:b w:val="0"/>
                <w:i w:val="0"/>
                <w:sz w:val="24"/>
                <w:szCs w:val="24"/>
              </w:rPr>
              <w:t>0.929</w:t>
            </w:r>
          </w:p>
        </w:tc>
        <w:tc>
          <w:tcPr>
            <w:tcW w:type="dxa" w:w="1377"/>
          </w:tcPr>
          <w:p>
            <w:pPr>
              <w:spacing w:after="0"/>
              <w:jc w:val="center"/>
            </w:pPr>
            <w:r/>
            <w:r>
              <w:rPr>
                <w:rFonts w:ascii="TH SarabunPSK" w:hAnsi="TH SarabunPSK" w:cs="TH SarabunPSK"/>
                <w:b w:val="0"/>
                <w:i w:val="0"/>
                <w:sz w:val="24"/>
                <w:szCs w:val="24"/>
              </w:rPr>
              <w:t>0.924</w:t>
            </w:r>
          </w:p>
        </w:tc>
        <w:tc>
          <w:tcPr>
            <w:tcW w:type="dxa" w:w="1377"/>
          </w:tcPr>
          <w:p>
            <w:pPr>
              <w:spacing w:after="0"/>
              <w:jc w:val="center"/>
            </w:pPr>
            <w:r/>
            <w:r>
              <w:rPr>
                <w:rFonts w:ascii="TH SarabunPSK" w:hAnsi="TH SarabunPSK" w:cs="TH SarabunPSK"/>
                <w:b w:val="0"/>
                <w:i w:val="0"/>
                <w:sz w:val="24"/>
                <w:szCs w:val="24"/>
              </w:rPr>
              <w:t>0.988</w:t>
            </w:r>
          </w:p>
        </w:tc>
      </w:tr>
      <w:tr>
        <w:tc>
          <w:tcPr>
            <w:tcW w:type="dxa" w:w="1377"/>
          </w:tcPr>
          <w:p>
            <w:pPr>
              <w:spacing w:after="0"/>
              <w:jc w:val="left"/>
            </w:pPr>
            <w:r/>
            <w:r>
              <w:rPr>
                <w:rFonts w:ascii="TH SarabunPSK" w:hAnsi="TH SarabunPSK" w:cs="TH SarabunPSK"/>
                <w:b w:val="0"/>
                <w:i w:val="0"/>
                <w:sz w:val="24"/>
                <w:szCs w:val="24"/>
              </w:rPr>
              <w:t>มีผู้สอน</w:t>
            </w:r>
          </w:p>
        </w:tc>
        <w:tc>
          <w:tcPr>
            <w:tcW w:type="dxa" w:w="1377"/>
          </w:tcPr>
          <w:p>
            <w:pPr>
              <w:spacing w:after="0"/>
              <w:jc w:val="center"/>
            </w:pPr>
            <w:r/>
            <w:r>
              <w:rPr>
                <w:rFonts w:ascii="TH SarabunPSK" w:hAnsi="TH SarabunPSK" w:cs="TH SarabunPSK"/>
                <w:b w:val="0"/>
                <w:i w:val="0"/>
                <w:sz w:val="24"/>
                <w:szCs w:val="24"/>
              </w:rPr>
              <w:t>Decision Tree</w:t>
            </w:r>
          </w:p>
        </w:tc>
        <w:tc>
          <w:tcPr>
            <w:tcW w:type="dxa" w:w="1377"/>
          </w:tcPr>
          <w:p>
            <w:pPr>
              <w:spacing w:after="0"/>
              <w:jc w:val="center"/>
            </w:pPr>
            <w:r/>
            <w:r>
              <w:rPr>
                <w:rFonts w:ascii="TH SarabunPSK" w:hAnsi="TH SarabunPSK" w:cs="TH SarabunPSK"/>
                <w:b w:val="0"/>
                <w:i w:val="0"/>
                <w:sz w:val="24"/>
                <w:szCs w:val="24"/>
              </w:rPr>
              <w:t>0.871</w:t>
            </w:r>
          </w:p>
        </w:tc>
        <w:tc>
          <w:tcPr>
            <w:tcW w:type="dxa" w:w="1377"/>
          </w:tcPr>
          <w:p>
            <w:pPr>
              <w:spacing w:after="0"/>
              <w:jc w:val="center"/>
            </w:pPr>
            <w:r/>
            <w:r>
              <w:rPr>
                <w:rFonts w:ascii="TH SarabunPSK" w:hAnsi="TH SarabunPSK" w:cs="TH SarabunPSK"/>
                <w:b w:val="0"/>
                <w:i w:val="0"/>
                <w:sz w:val="24"/>
                <w:szCs w:val="24"/>
              </w:rPr>
              <w:t>0.817</w:t>
            </w:r>
          </w:p>
        </w:tc>
        <w:tc>
          <w:tcPr>
            <w:tcW w:type="dxa" w:w="1377"/>
          </w:tcPr>
          <w:p>
            <w:pPr>
              <w:spacing w:after="0"/>
              <w:jc w:val="center"/>
            </w:pPr>
            <w:r/>
            <w:r>
              <w:rPr>
                <w:rFonts w:ascii="TH SarabunPSK" w:hAnsi="TH SarabunPSK" w:cs="TH SarabunPSK"/>
                <w:b w:val="0"/>
                <w:i w:val="0"/>
                <w:sz w:val="24"/>
                <w:szCs w:val="24"/>
              </w:rPr>
              <w:t>0.792</w:t>
            </w:r>
          </w:p>
        </w:tc>
        <w:tc>
          <w:tcPr>
            <w:tcW w:type="dxa" w:w="1377"/>
          </w:tcPr>
          <w:p>
            <w:pPr>
              <w:spacing w:after="0"/>
              <w:jc w:val="center"/>
            </w:pPr>
            <w:r/>
            <w:r>
              <w:rPr>
                <w:rFonts w:ascii="TH SarabunPSK" w:hAnsi="TH SarabunPSK" w:cs="TH SarabunPSK"/>
                <w:b w:val="0"/>
                <w:i w:val="0"/>
                <w:sz w:val="24"/>
                <w:szCs w:val="24"/>
              </w:rPr>
              <w:t>0.804</w:t>
            </w:r>
          </w:p>
        </w:tc>
        <w:tc>
          <w:tcPr>
            <w:tcW w:type="dxa" w:w="1377"/>
          </w:tcPr>
          <w:p>
            <w:pPr>
              <w:spacing w:after="0"/>
              <w:jc w:val="center"/>
            </w:pPr>
            <w:r/>
            <w:r>
              <w:rPr>
                <w:rFonts w:ascii="TH SarabunPSK" w:hAnsi="TH SarabunPSK" w:cs="TH SarabunPSK"/>
                <w:b w:val="0"/>
                <w:i w:val="0"/>
                <w:sz w:val="24"/>
                <w:szCs w:val="24"/>
              </w:rPr>
              <w:t>0.930</w:t>
            </w:r>
          </w:p>
        </w:tc>
      </w:tr>
      <w:tr>
        <w:tc>
          <w:tcPr>
            <w:tcW w:type="dxa" w:w="1377"/>
          </w:tcPr>
          <w:p>
            <w:pPr>
              <w:spacing w:after="0"/>
              <w:jc w:val="left"/>
            </w:pPr>
            <w:r/>
            <w:r>
              <w:rPr>
                <w:rFonts w:ascii="TH SarabunPSK" w:hAnsi="TH SarabunPSK" w:cs="TH SarabunPSK"/>
                <w:b w:val="0"/>
                <w:i w:val="0"/>
                <w:sz w:val="24"/>
                <w:szCs w:val="24"/>
              </w:rPr>
              <w:t>มีผู้สอน</w:t>
            </w:r>
          </w:p>
        </w:tc>
        <w:tc>
          <w:tcPr>
            <w:tcW w:type="dxa" w:w="1377"/>
          </w:tcPr>
          <w:p>
            <w:pPr>
              <w:spacing w:after="0"/>
              <w:jc w:val="center"/>
            </w:pPr>
            <w:r/>
            <w:r>
              <w:rPr>
                <w:rFonts w:ascii="TH SarabunPSK" w:hAnsi="TH SarabunPSK" w:cs="TH SarabunPSK"/>
                <w:b w:val="0"/>
                <w:i w:val="0"/>
                <w:sz w:val="24"/>
                <w:szCs w:val="24"/>
              </w:rPr>
              <w:t>SVM</w:t>
            </w:r>
          </w:p>
        </w:tc>
        <w:tc>
          <w:tcPr>
            <w:tcW w:type="dxa" w:w="1377"/>
          </w:tcPr>
          <w:p>
            <w:pPr>
              <w:spacing w:after="0"/>
              <w:jc w:val="center"/>
            </w:pPr>
            <w:r/>
            <w:r>
              <w:rPr>
                <w:rFonts w:ascii="TH SarabunPSK" w:hAnsi="TH SarabunPSK" w:cs="TH SarabunPSK"/>
                <w:b w:val="0"/>
                <w:i w:val="0"/>
                <w:sz w:val="24"/>
                <w:szCs w:val="24"/>
              </w:rPr>
              <w:t>0.733</w:t>
            </w:r>
          </w:p>
        </w:tc>
        <w:tc>
          <w:tcPr>
            <w:tcW w:type="dxa" w:w="1377"/>
          </w:tcPr>
          <w:p>
            <w:pPr>
              <w:spacing w:after="0"/>
              <w:jc w:val="center"/>
            </w:pPr>
            <w:r/>
            <w:r>
              <w:rPr>
                <w:rFonts w:ascii="TH SarabunPSK" w:hAnsi="TH SarabunPSK" w:cs="TH SarabunPSK"/>
                <w:b w:val="0"/>
                <w:i w:val="0"/>
                <w:sz w:val="24"/>
                <w:szCs w:val="24"/>
              </w:rPr>
              <w:t>0.597</w:t>
            </w:r>
          </w:p>
        </w:tc>
        <w:tc>
          <w:tcPr>
            <w:tcW w:type="dxa" w:w="1377"/>
          </w:tcPr>
          <w:p>
            <w:pPr>
              <w:spacing w:after="0"/>
              <w:jc w:val="center"/>
            </w:pPr>
            <w:r/>
            <w:r>
              <w:rPr>
                <w:rFonts w:ascii="TH SarabunPSK" w:hAnsi="TH SarabunPSK" w:cs="TH SarabunPSK"/>
                <w:b w:val="0"/>
                <w:i w:val="0"/>
                <w:sz w:val="24"/>
                <w:szCs w:val="24"/>
              </w:rPr>
              <w:t>0.619</w:t>
            </w:r>
          </w:p>
        </w:tc>
        <w:tc>
          <w:tcPr>
            <w:tcW w:type="dxa" w:w="1377"/>
          </w:tcPr>
          <w:p>
            <w:pPr>
              <w:spacing w:after="0"/>
              <w:jc w:val="center"/>
            </w:pPr>
            <w:r/>
            <w:r>
              <w:rPr>
                <w:rFonts w:ascii="TH SarabunPSK" w:hAnsi="TH SarabunPSK" w:cs="TH SarabunPSK"/>
                <w:b w:val="0"/>
                <w:i w:val="0"/>
                <w:sz w:val="24"/>
                <w:szCs w:val="24"/>
              </w:rPr>
              <w:t>0.607</w:t>
            </w:r>
          </w:p>
        </w:tc>
        <w:tc>
          <w:tcPr>
            <w:tcW w:type="dxa" w:w="1377"/>
          </w:tcPr>
          <w:p>
            <w:pPr>
              <w:spacing w:after="0"/>
              <w:jc w:val="center"/>
            </w:pPr>
            <w:r/>
            <w:r>
              <w:rPr>
                <w:rFonts w:ascii="TH SarabunPSK" w:hAnsi="TH SarabunPSK" w:cs="TH SarabunPSK"/>
                <w:b w:val="0"/>
                <w:i w:val="0"/>
                <w:sz w:val="24"/>
                <w:szCs w:val="24"/>
              </w:rPr>
              <w:t>0.786</w:t>
            </w:r>
          </w:p>
        </w:tc>
      </w:tr>
      <w:tr>
        <w:tc>
          <w:tcPr>
            <w:tcW w:type="dxa" w:w="1377"/>
          </w:tcPr>
          <w:p>
            <w:pPr>
              <w:spacing w:after="0"/>
              <w:jc w:val="left"/>
            </w:pPr>
            <w:r/>
            <w:r>
              <w:rPr>
                <w:rFonts w:ascii="TH SarabunPSK" w:hAnsi="TH SarabunPSK" w:cs="TH SarabunPSK"/>
                <w:b w:val="0"/>
                <w:i w:val="0"/>
                <w:sz w:val="24"/>
                <w:szCs w:val="24"/>
              </w:rPr>
              <w:t>มีผู้สอน</w:t>
            </w:r>
          </w:p>
        </w:tc>
        <w:tc>
          <w:tcPr>
            <w:tcW w:type="dxa" w:w="1377"/>
          </w:tcPr>
          <w:p>
            <w:pPr>
              <w:spacing w:after="0"/>
              <w:jc w:val="center"/>
            </w:pPr>
            <w:r/>
            <w:r>
              <w:rPr>
                <w:rFonts w:ascii="TH SarabunPSK" w:hAnsi="TH SarabunPSK" w:cs="TH SarabunPSK"/>
                <w:b w:val="0"/>
                <w:i w:val="0"/>
                <w:sz w:val="24"/>
                <w:szCs w:val="24"/>
              </w:rPr>
              <w:t>Naive Bayes</w:t>
            </w:r>
          </w:p>
        </w:tc>
        <w:tc>
          <w:tcPr>
            <w:tcW w:type="dxa" w:w="1377"/>
          </w:tcPr>
          <w:p>
            <w:pPr>
              <w:spacing w:after="0"/>
              <w:jc w:val="center"/>
            </w:pPr>
            <w:r/>
            <w:r>
              <w:rPr>
                <w:rFonts w:ascii="TH SarabunPSK" w:hAnsi="TH SarabunPSK" w:cs="TH SarabunPSK"/>
                <w:b w:val="0"/>
                <w:i w:val="0"/>
                <w:sz w:val="24"/>
                <w:szCs w:val="24"/>
              </w:rPr>
              <w:t>0.359</w:t>
            </w:r>
          </w:p>
        </w:tc>
        <w:tc>
          <w:tcPr>
            <w:tcW w:type="dxa" w:w="1377"/>
          </w:tcPr>
          <w:p>
            <w:pPr>
              <w:spacing w:after="0"/>
              <w:jc w:val="center"/>
            </w:pPr>
            <w:r/>
            <w:r>
              <w:rPr>
                <w:rFonts w:ascii="TH SarabunPSK" w:hAnsi="TH SarabunPSK" w:cs="TH SarabunPSK"/>
                <w:b w:val="0"/>
                <w:i w:val="0"/>
                <w:sz w:val="24"/>
                <w:szCs w:val="24"/>
              </w:rPr>
              <w:t>0.340</w:t>
            </w:r>
          </w:p>
        </w:tc>
        <w:tc>
          <w:tcPr>
            <w:tcW w:type="dxa" w:w="1377"/>
          </w:tcPr>
          <w:p>
            <w:pPr>
              <w:spacing w:after="0"/>
              <w:jc w:val="center"/>
            </w:pPr>
            <w:r/>
            <w:r>
              <w:rPr>
                <w:rFonts w:ascii="TH SarabunPSK" w:hAnsi="TH SarabunPSK" w:cs="TH SarabunPSK"/>
                <w:b w:val="0"/>
                <w:i w:val="0"/>
                <w:sz w:val="24"/>
                <w:szCs w:val="24"/>
              </w:rPr>
              <w:t>0.980</w:t>
            </w:r>
          </w:p>
        </w:tc>
        <w:tc>
          <w:tcPr>
            <w:tcW w:type="dxa" w:w="1377"/>
          </w:tcPr>
          <w:p>
            <w:pPr>
              <w:spacing w:after="0"/>
              <w:jc w:val="center"/>
            </w:pPr>
            <w:r/>
            <w:r>
              <w:rPr>
                <w:rFonts w:ascii="TH SarabunPSK" w:hAnsi="TH SarabunPSK" w:cs="TH SarabunPSK"/>
                <w:b w:val="0"/>
                <w:i w:val="0"/>
                <w:sz w:val="24"/>
                <w:szCs w:val="24"/>
              </w:rPr>
              <w:t>0.505</w:t>
            </w:r>
          </w:p>
        </w:tc>
        <w:tc>
          <w:tcPr>
            <w:tcW w:type="dxa" w:w="1377"/>
          </w:tcPr>
          <w:p>
            <w:pPr>
              <w:spacing w:after="0"/>
              <w:jc w:val="center"/>
            </w:pPr>
            <w:r/>
            <w:r>
              <w:rPr>
                <w:rFonts w:ascii="TH SarabunPSK" w:hAnsi="TH SarabunPSK" w:cs="TH SarabunPSK"/>
                <w:b w:val="0"/>
                <w:i w:val="0"/>
                <w:sz w:val="24"/>
                <w:szCs w:val="24"/>
              </w:rPr>
              <w:t>0.594</w:t>
            </w:r>
          </w:p>
        </w:tc>
      </w:tr>
      <w:tr>
        <w:tc>
          <w:tcPr>
            <w:tcW w:type="dxa" w:w="1377"/>
          </w:tcPr>
          <w:p>
            <w:pPr>
              <w:spacing w:after="0"/>
              <w:jc w:val="left"/>
            </w:pPr>
            <w:r/>
            <w:r>
              <w:rPr>
                <w:rFonts w:ascii="TH SarabunPSK" w:hAnsi="TH SarabunPSK" w:cs="TH SarabunPSK"/>
                <w:b w:val="0"/>
                <w:i w:val="0"/>
                <w:sz w:val="24"/>
                <w:szCs w:val="24"/>
              </w:rPr>
              <w:t>ไม่มีผู้สอน</w:t>
            </w:r>
          </w:p>
        </w:tc>
        <w:tc>
          <w:tcPr>
            <w:tcW w:type="dxa" w:w="1377"/>
          </w:tcPr>
          <w:p>
            <w:pPr>
              <w:spacing w:after="0"/>
              <w:jc w:val="center"/>
            </w:pPr>
            <w:r/>
            <w:r>
              <w:rPr>
                <w:rFonts w:ascii="TH SarabunPSK" w:hAnsi="TH SarabunPSK" w:cs="TH SarabunPSK"/>
                <w:b w:val="0"/>
                <w:i w:val="0"/>
                <w:sz w:val="24"/>
                <w:szCs w:val="24"/>
              </w:rPr>
              <w:t>Local Outlier Factor</w:t>
            </w:r>
          </w:p>
        </w:tc>
        <w:tc>
          <w:tcPr>
            <w:tcW w:type="dxa" w:w="1377"/>
          </w:tcPr>
          <w:p>
            <w:pPr>
              <w:spacing w:after="0"/>
              <w:jc w:val="center"/>
            </w:pPr>
            <w:r/>
            <w:r>
              <w:rPr>
                <w:rFonts w:ascii="TH SarabunPSK" w:hAnsi="TH SarabunPSK" w:cs="TH SarabunPSK"/>
                <w:b w:val="0"/>
                <w:i w:val="0"/>
                <w:sz w:val="24"/>
                <w:szCs w:val="24"/>
              </w:rPr>
              <w:t>0.771</w:t>
            </w:r>
          </w:p>
        </w:tc>
        <w:tc>
          <w:tcPr>
            <w:tcW w:type="dxa" w:w="1377"/>
          </w:tcPr>
          <w:p>
            <w:pPr>
              <w:spacing w:after="0"/>
              <w:jc w:val="center"/>
            </w:pPr>
            <w:r/>
            <w:r>
              <w:rPr>
                <w:rFonts w:ascii="TH SarabunPSK" w:hAnsi="TH SarabunPSK" w:cs="TH SarabunPSK"/>
                <w:b w:val="0"/>
                <w:i w:val="0"/>
                <w:sz w:val="24"/>
                <w:szCs w:val="24"/>
              </w:rPr>
              <w:t>0.612</w:t>
            </w:r>
          </w:p>
        </w:tc>
        <w:tc>
          <w:tcPr>
            <w:tcW w:type="dxa" w:w="1377"/>
          </w:tcPr>
          <w:p>
            <w:pPr>
              <w:spacing w:after="0"/>
              <w:jc w:val="center"/>
            </w:pPr>
            <w:r/>
            <w:r>
              <w:rPr>
                <w:rFonts w:ascii="TH SarabunPSK" w:hAnsi="TH SarabunPSK" w:cs="TH SarabunPSK"/>
                <w:b w:val="0"/>
                <w:i w:val="0"/>
                <w:sz w:val="24"/>
                <w:szCs w:val="24"/>
              </w:rPr>
              <w:t>0.857</w:t>
            </w:r>
          </w:p>
        </w:tc>
        <w:tc>
          <w:tcPr>
            <w:tcW w:type="dxa" w:w="1377"/>
          </w:tcPr>
          <w:p>
            <w:pPr>
              <w:spacing w:after="0"/>
              <w:jc w:val="center"/>
            </w:pPr>
            <w:r/>
            <w:r>
              <w:rPr>
                <w:rFonts w:ascii="TH SarabunPSK" w:hAnsi="TH SarabunPSK" w:cs="TH SarabunPSK"/>
                <w:b w:val="0"/>
                <w:i w:val="0"/>
                <w:sz w:val="24"/>
                <w:szCs w:val="24"/>
              </w:rPr>
              <w:t>0.714</w:t>
            </w:r>
          </w:p>
        </w:tc>
        <w:tc>
          <w:tcPr>
            <w:tcW w:type="dxa" w:w="1377"/>
          </w:tcPr>
          <w:p>
            <w:pPr>
              <w:spacing w:after="0"/>
              <w:jc w:val="center"/>
            </w:pPr>
            <w:r/>
            <w:r>
              <w:rPr>
                <w:rFonts w:ascii="TH SarabunPSK" w:hAnsi="TH SarabunPSK" w:cs="TH SarabunPSK"/>
                <w:b w:val="0"/>
                <w:i w:val="0"/>
                <w:sz w:val="24"/>
                <w:szCs w:val="24"/>
              </w:rPr>
              <w:t>0.849</w:t>
            </w:r>
          </w:p>
        </w:tc>
      </w:tr>
      <w:tr>
        <w:tc>
          <w:tcPr>
            <w:tcW w:type="dxa" w:w="1377"/>
          </w:tcPr>
          <w:p>
            <w:pPr>
              <w:spacing w:after="0"/>
              <w:jc w:val="left"/>
            </w:pPr>
            <w:r/>
            <w:r>
              <w:rPr>
                <w:rFonts w:ascii="TH SarabunPSK" w:hAnsi="TH SarabunPSK" w:cs="TH SarabunPSK"/>
                <w:b w:val="0"/>
                <w:i w:val="0"/>
                <w:sz w:val="24"/>
                <w:szCs w:val="24"/>
              </w:rPr>
              <w:t>ไม่มีผู้สอน</w:t>
            </w:r>
          </w:p>
        </w:tc>
        <w:tc>
          <w:tcPr>
            <w:tcW w:type="dxa" w:w="1377"/>
          </w:tcPr>
          <w:p>
            <w:pPr>
              <w:spacing w:after="0"/>
              <w:jc w:val="center"/>
            </w:pPr>
            <w:r/>
            <w:r>
              <w:rPr>
                <w:rFonts w:ascii="TH SarabunPSK" w:hAnsi="TH SarabunPSK" w:cs="TH SarabunPSK"/>
                <w:b w:val="0"/>
                <w:i w:val="0"/>
                <w:sz w:val="24"/>
                <w:szCs w:val="24"/>
              </w:rPr>
              <w:t>Isolation Forest</w:t>
            </w:r>
          </w:p>
        </w:tc>
        <w:tc>
          <w:tcPr>
            <w:tcW w:type="dxa" w:w="1377"/>
          </w:tcPr>
          <w:p>
            <w:pPr>
              <w:spacing w:after="0"/>
              <w:jc w:val="center"/>
            </w:pPr>
            <w:r/>
            <w:r>
              <w:rPr>
                <w:rFonts w:ascii="TH SarabunPSK" w:hAnsi="TH SarabunPSK" w:cs="TH SarabunPSK"/>
                <w:b w:val="0"/>
                <w:i w:val="0"/>
                <w:sz w:val="24"/>
                <w:szCs w:val="24"/>
              </w:rPr>
              <w:t>0.647</w:t>
            </w:r>
          </w:p>
        </w:tc>
        <w:tc>
          <w:tcPr>
            <w:tcW w:type="dxa" w:w="1377"/>
          </w:tcPr>
          <w:p>
            <w:pPr>
              <w:spacing w:after="0"/>
              <w:jc w:val="center"/>
            </w:pPr>
            <w:r/>
            <w:r>
              <w:rPr>
                <w:rFonts w:ascii="TH SarabunPSK" w:hAnsi="TH SarabunPSK" w:cs="TH SarabunPSK"/>
                <w:b w:val="0"/>
                <w:i w:val="0"/>
                <w:sz w:val="24"/>
                <w:szCs w:val="24"/>
              </w:rPr>
              <w:t>0.479</w:t>
            </w:r>
          </w:p>
        </w:tc>
        <w:tc>
          <w:tcPr>
            <w:tcW w:type="dxa" w:w="1377"/>
          </w:tcPr>
          <w:p>
            <w:pPr>
              <w:spacing w:after="0"/>
              <w:jc w:val="center"/>
            </w:pPr>
            <w:r/>
            <w:r>
              <w:rPr>
                <w:rFonts w:ascii="TH SarabunPSK" w:hAnsi="TH SarabunPSK" w:cs="TH SarabunPSK"/>
                <w:b w:val="0"/>
                <w:i w:val="0"/>
                <w:sz w:val="24"/>
                <w:szCs w:val="24"/>
              </w:rPr>
              <w:t>0.667</w:t>
            </w:r>
          </w:p>
        </w:tc>
        <w:tc>
          <w:tcPr>
            <w:tcW w:type="dxa" w:w="1377"/>
          </w:tcPr>
          <w:p>
            <w:pPr>
              <w:spacing w:after="0"/>
              <w:jc w:val="center"/>
            </w:pPr>
            <w:r/>
            <w:r>
              <w:rPr>
                <w:rFonts w:ascii="TH SarabunPSK" w:hAnsi="TH SarabunPSK" w:cs="TH SarabunPSK"/>
                <w:b w:val="0"/>
                <w:i w:val="0"/>
                <w:sz w:val="24"/>
                <w:szCs w:val="24"/>
              </w:rPr>
              <w:t>0.558</w:t>
            </w:r>
          </w:p>
        </w:tc>
        <w:tc>
          <w:tcPr>
            <w:tcW w:type="dxa" w:w="1377"/>
          </w:tcPr>
          <w:p>
            <w:pPr>
              <w:spacing w:after="0"/>
              <w:jc w:val="center"/>
            </w:pPr>
            <w:r/>
            <w:r>
              <w:rPr>
                <w:rFonts w:ascii="TH SarabunPSK" w:hAnsi="TH SarabunPSK" w:cs="TH SarabunPSK"/>
                <w:b w:val="0"/>
                <w:i w:val="0"/>
                <w:sz w:val="24"/>
                <w:szCs w:val="24"/>
              </w:rPr>
              <w:t>0.622</w:t>
            </w:r>
          </w:p>
        </w:tc>
      </w:tr>
      <w:tr>
        <w:tc>
          <w:tcPr>
            <w:tcW w:type="dxa" w:w="1377"/>
          </w:tcPr>
          <w:p>
            <w:pPr>
              <w:spacing w:after="0"/>
              <w:jc w:val="left"/>
            </w:pPr>
            <w:r/>
            <w:r>
              <w:rPr>
                <w:rFonts w:ascii="TH SarabunPSK" w:hAnsi="TH SarabunPSK" w:cs="TH SarabunPSK"/>
                <w:b w:val="0"/>
                <w:i w:val="0"/>
                <w:sz w:val="24"/>
                <w:szCs w:val="24"/>
              </w:rPr>
              <w:t>ไม่มีผู้สอน</w:t>
            </w:r>
          </w:p>
        </w:tc>
        <w:tc>
          <w:tcPr>
            <w:tcW w:type="dxa" w:w="1377"/>
          </w:tcPr>
          <w:p>
            <w:pPr>
              <w:spacing w:after="0"/>
              <w:jc w:val="center"/>
            </w:pPr>
            <w:r/>
            <w:r>
              <w:rPr>
                <w:rFonts w:ascii="TH SarabunPSK" w:hAnsi="TH SarabunPSK" w:cs="TH SarabunPSK"/>
                <w:b w:val="0"/>
                <w:i w:val="0"/>
                <w:sz w:val="24"/>
                <w:szCs w:val="24"/>
              </w:rPr>
              <w:t>One-Class SVM</w:t>
            </w:r>
          </w:p>
        </w:tc>
        <w:tc>
          <w:tcPr>
            <w:tcW w:type="dxa" w:w="1377"/>
          </w:tcPr>
          <w:p>
            <w:pPr>
              <w:spacing w:after="0"/>
              <w:jc w:val="center"/>
            </w:pPr>
            <w:r/>
            <w:r>
              <w:rPr>
                <w:rFonts w:ascii="TH SarabunPSK" w:hAnsi="TH SarabunPSK" w:cs="TH SarabunPSK"/>
                <w:b w:val="0"/>
                <w:i w:val="0"/>
                <w:sz w:val="24"/>
                <w:szCs w:val="24"/>
              </w:rPr>
              <w:t>0.554</w:t>
            </w:r>
          </w:p>
        </w:tc>
        <w:tc>
          <w:tcPr>
            <w:tcW w:type="dxa" w:w="1377"/>
          </w:tcPr>
          <w:p>
            <w:pPr>
              <w:spacing w:after="0"/>
              <w:jc w:val="center"/>
            </w:pPr>
            <w:r/>
            <w:r>
              <w:rPr>
                <w:rFonts w:ascii="TH SarabunPSK" w:hAnsi="TH SarabunPSK" w:cs="TH SarabunPSK"/>
                <w:b w:val="0"/>
                <w:i w:val="0"/>
                <w:sz w:val="24"/>
                <w:szCs w:val="24"/>
              </w:rPr>
              <w:t>0.376</w:t>
            </w:r>
          </w:p>
        </w:tc>
        <w:tc>
          <w:tcPr>
            <w:tcW w:type="dxa" w:w="1377"/>
          </w:tcPr>
          <w:p>
            <w:pPr>
              <w:spacing w:after="0"/>
              <w:jc w:val="center"/>
            </w:pPr>
            <w:r/>
            <w:r>
              <w:rPr>
                <w:rFonts w:ascii="TH SarabunPSK" w:hAnsi="TH SarabunPSK" w:cs="TH SarabunPSK"/>
                <w:b w:val="0"/>
                <w:i w:val="0"/>
                <w:sz w:val="24"/>
                <w:szCs w:val="24"/>
              </w:rPr>
              <w:t>0.513</w:t>
            </w:r>
          </w:p>
        </w:tc>
        <w:tc>
          <w:tcPr>
            <w:tcW w:type="dxa" w:w="1377"/>
          </w:tcPr>
          <w:p>
            <w:pPr>
              <w:spacing w:after="0"/>
              <w:jc w:val="center"/>
            </w:pPr>
            <w:r/>
            <w:r>
              <w:rPr>
                <w:rFonts w:ascii="TH SarabunPSK" w:hAnsi="TH SarabunPSK" w:cs="TH SarabunPSK"/>
                <w:b w:val="0"/>
                <w:i w:val="0"/>
                <w:sz w:val="24"/>
                <w:szCs w:val="24"/>
              </w:rPr>
              <w:t>0.434</w:t>
            </w:r>
          </w:p>
        </w:tc>
        <w:tc>
          <w:tcPr>
            <w:tcW w:type="dxa" w:w="1377"/>
          </w:tcPr>
          <w:p>
            <w:pPr>
              <w:spacing w:after="0"/>
              <w:jc w:val="center"/>
            </w:pPr>
            <w:r/>
            <w:r>
              <w:rPr>
                <w:rFonts w:ascii="TH SarabunPSK" w:hAnsi="TH SarabunPSK" w:cs="TH SarabunPSK"/>
                <w:b w:val="0"/>
                <w:i w:val="0"/>
                <w:sz w:val="24"/>
                <w:szCs w:val="24"/>
              </w:rPr>
              <w:t>0.499</w:t>
            </w:r>
          </w:p>
        </w:tc>
      </w:tr>
      <w:tr>
        <w:tc>
          <w:tcPr>
            <w:tcW w:type="dxa" w:w="1377"/>
          </w:tcPr>
          <w:p>
            <w:pPr>
              <w:spacing w:after="0"/>
              <w:jc w:val="left"/>
            </w:pPr>
            <w:r/>
            <w:r>
              <w:rPr>
                <w:rFonts w:ascii="TH SarabunPSK" w:hAnsi="TH SarabunPSK" w:cs="TH SarabunPSK"/>
                <w:b w:val="0"/>
                <w:i w:val="0"/>
                <w:sz w:val="24"/>
                <w:szCs w:val="24"/>
              </w:rPr>
              <w:t>เส้นฐาน</w:t>
            </w:r>
          </w:p>
        </w:tc>
        <w:tc>
          <w:tcPr>
            <w:tcW w:type="dxa" w:w="1377"/>
          </w:tcPr>
          <w:p>
            <w:pPr>
              <w:spacing w:after="0"/>
              <w:jc w:val="center"/>
            </w:pPr>
            <w:r/>
            <w:r>
              <w:rPr>
                <w:rFonts w:ascii="TH SarabunPSK" w:hAnsi="TH SarabunPSK" w:cs="TH SarabunPSK"/>
                <w:b w:val="0"/>
                <w:i w:val="0"/>
                <w:sz w:val="24"/>
                <w:szCs w:val="24"/>
              </w:rPr>
              <w:t>แจ้งเตือนทุกแถว</w:t>
            </w:r>
          </w:p>
        </w:tc>
        <w:tc>
          <w:tcPr>
            <w:tcW w:type="dxa" w:w="1377"/>
          </w:tcPr>
          <w:p>
            <w:pPr>
              <w:spacing w:after="0"/>
              <w:jc w:val="center"/>
            </w:pPr>
            <w:r/>
            <w:r>
              <w:rPr>
                <w:rFonts w:ascii="TH SarabunPSK" w:hAnsi="TH SarabunPSK" w:cs="TH SarabunPSK"/>
                <w:b w:val="0"/>
                <w:i w:val="0"/>
                <w:sz w:val="24"/>
                <w:szCs w:val="24"/>
              </w:rPr>
              <w:t>0.334</w:t>
            </w:r>
          </w:p>
        </w:tc>
        <w:tc>
          <w:tcPr>
            <w:tcW w:type="dxa" w:w="1377"/>
          </w:tcPr>
          <w:p>
            <w:pPr>
              <w:spacing w:after="0"/>
              <w:jc w:val="center"/>
            </w:pPr>
            <w:r/>
            <w:r>
              <w:rPr>
                <w:rFonts w:ascii="TH SarabunPSK" w:hAnsi="TH SarabunPSK" w:cs="TH SarabunPSK"/>
                <w:b w:val="0"/>
                <w:i w:val="0"/>
                <w:sz w:val="24"/>
                <w:szCs w:val="24"/>
              </w:rPr>
              <w:t>0.334</w:t>
            </w:r>
          </w:p>
        </w:tc>
        <w:tc>
          <w:tcPr>
            <w:tcW w:type="dxa" w:w="1377"/>
          </w:tcPr>
          <w:p>
            <w:pPr>
              <w:spacing w:after="0"/>
              <w:jc w:val="center"/>
            </w:pPr>
            <w:r/>
            <w:r>
              <w:rPr>
                <w:rFonts w:ascii="TH SarabunPSK" w:hAnsi="TH SarabunPSK" w:cs="TH SarabunPSK"/>
                <w:b w:val="0"/>
                <w:i w:val="0"/>
                <w:sz w:val="24"/>
                <w:szCs w:val="24"/>
              </w:rPr>
              <w:t>1.000</w:t>
            </w:r>
          </w:p>
        </w:tc>
        <w:tc>
          <w:tcPr>
            <w:tcW w:type="dxa" w:w="1377"/>
          </w:tcPr>
          <w:p>
            <w:pPr>
              <w:spacing w:after="0"/>
              <w:jc w:val="center"/>
            </w:pPr>
            <w:r/>
            <w:r>
              <w:rPr>
                <w:rFonts w:ascii="TH SarabunPSK" w:hAnsi="TH SarabunPSK" w:cs="TH SarabunPSK"/>
                <w:b w:val="0"/>
                <w:i w:val="0"/>
                <w:sz w:val="24"/>
                <w:szCs w:val="24"/>
              </w:rPr>
              <w:t>0.500</w:t>
            </w:r>
          </w:p>
        </w:tc>
        <w:tc>
          <w:tcPr>
            <w:tcW w:type="dxa" w:w="1377"/>
          </w:tcPr>
          <w:p>
            <w:pPr>
              <w:spacing w:after="0"/>
              <w:jc w:val="center"/>
            </w:pPr>
            <w:r/>
            <w:r>
              <w:rPr>
                <w:rFonts w:ascii="TH SarabunPSK" w:hAnsi="TH SarabunPSK" w:cs="TH SarabunPSK"/>
                <w:b w:val="0"/>
                <w:i w:val="0"/>
                <w:sz w:val="24"/>
                <w:szCs w:val="24"/>
              </w:rPr>
              <w:t>-</w:t>
            </w:r>
          </w:p>
        </w:tc>
      </w:tr>
    </w:tbl>
    <w:p>
      <w:pPr>
        <w:spacing w:before="0" w:after="80" w:line="240" w:lineRule="auto"/>
      </w:pPr>
    </w:p>
    <w:p>
      <w:pPr>
        <w:spacing w:before="120" w:after="40"/>
        <w:jc w:val="center"/>
      </w:pPr>
      <w:r>
        <w:drawing>
          <wp:inline xmlns:a="http://schemas.openxmlformats.org/drawingml/2006/main" xmlns:pic="http://schemas.openxmlformats.org/drawingml/2006/picture">
            <wp:extent cx="4320000" cy="2612093"/>
            <wp:docPr id="3" name="Picture 3"/>
            <wp:cNvGraphicFramePr>
              <a:graphicFrameLocks noChangeAspect="1"/>
            </wp:cNvGraphicFramePr>
            <a:graphic>
              <a:graphicData uri="http://schemas.openxmlformats.org/drawingml/2006/picture">
                <pic:pic>
                  <pic:nvPicPr>
                    <pic:cNvPr id="0" name="fig_model_compare.png"/>
                    <pic:cNvPicPr/>
                  </pic:nvPicPr>
                  <pic:blipFill>
                    <a:blip r:embed="rId14"/>
                    <a:stretch>
                      <a:fillRect/>
                    </a:stretch>
                  </pic:blipFill>
                  <pic:spPr>
                    <a:xfrm>
                      <a:off x="0" y="0"/>
                      <a:ext cx="4320000" cy="2612093"/>
                    </a:xfrm>
                    <a:prstGeom prst="rect"/>
                  </pic:spPr>
                </pic:pic>
              </a:graphicData>
            </a:graphic>
          </wp:inline>
        </w:drawing>
      </w:r>
    </w:p>
    <w:p>
      <w:pPr>
        <w:spacing w:before="0" w:after="120" w:line="240" w:lineRule="auto"/>
        <w:jc w:val="center"/>
      </w:pPr>
      <w:r>
        <w:rPr>
          <w:rFonts w:ascii="TH SarabunPSK" w:hAnsi="TH SarabunPSK" w:cs="TH SarabunPSK"/>
          <w:b/>
          <w:i w:val="0"/>
          <w:sz w:val="24"/>
          <w:szCs w:val="24"/>
        </w:rPr>
        <w:t>ภาพ 3 การเปรียบเทียบประสิทธิภาพของแบบจำลอง (Precision, Recall, F1)</w:t>
      </w:r>
    </w:p>
    <w:p>
      <w:pPr>
        <w:spacing w:before="120" w:after="40"/>
        <w:jc w:val="center"/>
      </w:pPr>
      <w:r>
        <w:drawing>
          <wp:inline xmlns:a="http://schemas.openxmlformats.org/drawingml/2006/main" xmlns:pic="http://schemas.openxmlformats.org/drawingml/2006/picture">
            <wp:extent cx="4032000" cy="3584000"/>
            <wp:docPr id="4" name="Picture 4"/>
            <wp:cNvGraphicFramePr>
              <a:graphicFrameLocks noChangeAspect="1"/>
            </wp:cNvGraphicFramePr>
            <a:graphic>
              <a:graphicData uri="http://schemas.openxmlformats.org/drawingml/2006/picture">
                <pic:pic>
                  <pic:nvPicPr>
                    <pic:cNvPr id="0" name="roc_curve.png"/>
                    <pic:cNvPicPr/>
                  </pic:nvPicPr>
                  <pic:blipFill>
                    <a:blip r:embed="rId15"/>
                    <a:stretch>
                      <a:fillRect/>
                    </a:stretch>
                  </pic:blipFill>
                  <pic:spPr>
                    <a:xfrm>
                      <a:off x="0" y="0"/>
                      <a:ext cx="4032000" cy="3584000"/>
                    </a:xfrm>
                    <a:prstGeom prst="rect"/>
                  </pic:spPr>
                </pic:pic>
              </a:graphicData>
            </a:graphic>
          </wp:inline>
        </w:drawing>
      </w:r>
    </w:p>
    <w:p>
      <w:pPr>
        <w:spacing w:before="0" w:after="120" w:line="240" w:lineRule="auto"/>
        <w:jc w:val="center"/>
      </w:pPr>
      <w:r>
        <w:rPr>
          <w:rFonts w:ascii="TH SarabunPSK" w:hAnsi="TH SarabunPSK" w:cs="TH SarabunPSK"/>
          <w:b/>
          <w:i w:val="0"/>
          <w:sz w:val="24"/>
          <w:szCs w:val="24"/>
        </w:rPr>
        <w:t>ภาพ 4 เส้นโค้ง ROC ของแบบจำลองทั้งเจ็ด (ระดับกระบวนการ, group split ตาม ProcessGuid)</w:t>
      </w:r>
    </w:p>
    <w:p>
      <w:pPr>
        <w:spacing w:before="160" w:after="40" w:line="240" w:lineRule="auto"/>
        <w:jc w:val="left"/>
      </w:pPr>
      <w:r>
        <w:rPr>
          <w:rFonts w:ascii="TH SarabunPSK" w:hAnsi="TH SarabunPSK" w:cs="TH SarabunPSK"/>
          <w:b/>
          <w:i/>
          <w:sz w:val="28"/>
          <w:szCs w:val="28"/>
        </w:rPr>
        <w:t>4.3 การประเมินแบบ zero-day (leave-one-scenario-out)</w:t>
      </w:r>
    </w:p>
    <w:p>
      <w:pPr>
        <w:spacing w:before="0" w:after="120" w:line="240" w:lineRule="auto"/>
        <w:ind w:firstLine="397"/>
        <w:jc w:val="both"/>
      </w:pPr>
      <w:r>
        <w:rPr>
          <w:rFonts w:ascii="TH SarabunPSK" w:hAnsi="TH SarabunPSK" w:cs="TH SarabunPSK"/>
          <w:b w:val="0"/>
          <w:i w:val="0"/>
          <w:sz w:val="28"/>
          <w:szCs w:val="28"/>
        </w:rPr>
        <w:t>เพื่อประเมินความสามารถในการตรวจจับการโจมตีชนิดที่ไม่เคยพบในการฝึก ตามแนวคิดการขจัดอคติของ [3] เราใช้การกันสถานการณ์ออกทีละชนิดจนครบ ผลในตาราง 5 แสดงว่า Random Forest ชนะเส้นฐาน 8 จาก 10 สถานการณ์ และ Local Outlier Factor ชนะเส้นฐานครบ 10 จาก 10 สถานการณ์ ยืนยันว่าคุณลักษณะที่ใช้ยังใช้ได้กับพฤติกรรมที่ไม่เคยพบมาก่อนในระดับหนึ่ง และการรวมสองแพลตฟอร์มให้ผลดีกว่าการใช้ Linux เพียงอย่างเดียว</w:t>
      </w:r>
    </w:p>
    <w:p>
      <w:pPr>
        <w:spacing w:before="120" w:after="40" w:line="240" w:lineRule="auto"/>
        <w:jc w:val="left"/>
      </w:pPr>
      <w:r>
        <w:rPr>
          <w:rFonts w:ascii="TH SarabunPSK" w:hAnsi="TH SarabunPSK" w:cs="TH SarabunPSK"/>
          <w:b/>
          <w:i w:val="0"/>
          <w:sz w:val="24"/>
          <w:szCs w:val="24"/>
        </w:rPr>
        <w:t>ตาราง 5 สรุปผล zero-day (ค่าเฉลี่ยข้าม 10 สถานการณ์)</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after="0"/>
              <w:jc w:val="left"/>
            </w:pPr>
            <w:r/>
            <w:r>
              <w:rPr>
                <w:rFonts w:ascii="TH SarabunPSK" w:hAnsi="TH SarabunPSK" w:cs="TH SarabunPSK"/>
                <w:b/>
                <w:i w:val="0"/>
                <w:sz w:val="24"/>
                <w:szCs w:val="24"/>
              </w:rPr>
              <w:t>แบบจำลอง</w:t>
            </w:r>
          </w:p>
        </w:tc>
        <w:tc>
          <w:tcPr>
            <w:tcW w:type="dxa" w:w="2409"/>
          </w:tcPr>
          <w:p>
            <w:pPr>
              <w:spacing w:after="0"/>
              <w:jc w:val="center"/>
            </w:pPr>
            <w:r/>
            <w:r>
              <w:rPr>
                <w:rFonts w:ascii="TH SarabunPSK" w:hAnsi="TH SarabunPSK" w:cs="TH SarabunPSK"/>
                <w:b/>
                <w:i w:val="0"/>
                <w:sz w:val="24"/>
                <w:szCs w:val="24"/>
              </w:rPr>
              <w:t>F1 เฉลี่ย</w:t>
            </w:r>
          </w:p>
        </w:tc>
        <w:tc>
          <w:tcPr>
            <w:tcW w:type="dxa" w:w="2409"/>
          </w:tcPr>
          <w:p>
            <w:pPr>
              <w:spacing w:after="0"/>
              <w:jc w:val="center"/>
            </w:pPr>
            <w:r/>
            <w:r>
              <w:rPr>
                <w:rFonts w:ascii="TH SarabunPSK" w:hAnsi="TH SarabunPSK" w:cs="TH SarabunPSK"/>
                <w:b/>
                <w:i w:val="0"/>
                <w:sz w:val="24"/>
                <w:szCs w:val="24"/>
              </w:rPr>
              <w:t>AUC เฉลี่ย</w:t>
            </w:r>
          </w:p>
        </w:tc>
        <w:tc>
          <w:tcPr>
            <w:tcW w:type="dxa" w:w="2409"/>
          </w:tcPr>
          <w:p>
            <w:pPr>
              <w:spacing w:after="0"/>
              <w:jc w:val="center"/>
            </w:pPr>
            <w:r/>
            <w:r>
              <w:rPr>
                <w:rFonts w:ascii="TH SarabunPSK" w:hAnsi="TH SarabunPSK" w:cs="TH SarabunPSK"/>
                <w:b/>
                <w:i w:val="0"/>
                <w:sz w:val="24"/>
                <w:szCs w:val="24"/>
              </w:rPr>
              <w:t>ชนะเส้นฐาน</w:t>
            </w:r>
          </w:p>
        </w:tc>
      </w:tr>
      <w:tr>
        <w:tc>
          <w:tcPr>
            <w:tcW w:type="dxa" w:w="2409"/>
          </w:tcPr>
          <w:p>
            <w:pPr>
              <w:spacing w:after="0"/>
              <w:jc w:val="left"/>
            </w:pPr>
            <w:r/>
            <w:r>
              <w:rPr>
                <w:rFonts w:ascii="TH SarabunPSK" w:hAnsi="TH SarabunPSK" w:cs="TH SarabunPSK"/>
                <w:b w:val="0"/>
                <w:i w:val="0"/>
                <w:sz w:val="24"/>
                <w:szCs w:val="24"/>
              </w:rPr>
              <w:t>Random Forest</w:t>
            </w:r>
          </w:p>
        </w:tc>
        <w:tc>
          <w:tcPr>
            <w:tcW w:type="dxa" w:w="2409"/>
          </w:tcPr>
          <w:p>
            <w:pPr>
              <w:spacing w:after="0"/>
              <w:jc w:val="center"/>
            </w:pPr>
            <w:r/>
            <w:r>
              <w:rPr>
                <w:rFonts w:ascii="TH SarabunPSK" w:hAnsi="TH SarabunPSK" w:cs="TH SarabunPSK"/>
                <w:b w:val="0"/>
                <w:i w:val="0"/>
                <w:sz w:val="24"/>
                <w:szCs w:val="24"/>
              </w:rPr>
              <w:t>0.764</w:t>
            </w:r>
          </w:p>
        </w:tc>
        <w:tc>
          <w:tcPr>
            <w:tcW w:type="dxa" w:w="2409"/>
          </w:tcPr>
          <w:p>
            <w:pPr>
              <w:spacing w:after="0"/>
              <w:jc w:val="center"/>
            </w:pPr>
            <w:r/>
            <w:r>
              <w:rPr>
                <w:rFonts w:ascii="TH SarabunPSK" w:hAnsi="TH SarabunPSK" w:cs="TH SarabunPSK"/>
                <w:b w:val="0"/>
                <w:i w:val="0"/>
                <w:sz w:val="24"/>
                <w:szCs w:val="24"/>
              </w:rPr>
              <w:t>0.897</w:t>
            </w:r>
          </w:p>
        </w:tc>
        <w:tc>
          <w:tcPr>
            <w:tcW w:type="dxa" w:w="2409"/>
          </w:tcPr>
          <w:p>
            <w:pPr>
              <w:spacing w:after="0"/>
              <w:jc w:val="center"/>
            </w:pPr>
            <w:r/>
            <w:r>
              <w:rPr>
                <w:rFonts w:ascii="TH SarabunPSK" w:hAnsi="TH SarabunPSK" w:cs="TH SarabunPSK"/>
                <w:b w:val="0"/>
                <w:i w:val="0"/>
                <w:sz w:val="24"/>
                <w:szCs w:val="24"/>
              </w:rPr>
              <w:t>8/10</w:t>
            </w:r>
          </w:p>
        </w:tc>
      </w:tr>
      <w:tr>
        <w:tc>
          <w:tcPr>
            <w:tcW w:type="dxa" w:w="2409"/>
          </w:tcPr>
          <w:p>
            <w:pPr>
              <w:spacing w:after="0"/>
              <w:jc w:val="left"/>
            </w:pPr>
            <w:r/>
            <w:r>
              <w:rPr>
                <w:rFonts w:ascii="TH SarabunPSK" w:hAnsi="TH SarabunPSK" w:cs="TH SarabunPSK"/>
                <w:b w:val="0"/>
                <w:i w:val="0"/>
                <w:sz w:val="24"/>
                <w:szCs w:val="24"/>
              </w:rPr>
              <w:t>Local Outlier Factor</w:t>
            </w:r>
          </w:p>
        </w:tc>
        <w:tc>
          <w:tcPr>
            <w:tcW w:type="dxa" w:w="2409"/>
          </w:tcPr>
          <w:p>
            <w:pPr>
              <w:spacing w:after="0"/>
              <w:jc w:val="center"/>
            </w:pPr>
            <w:r/>
            <w:r>
              <w:rPr>
                <w:rFonts w:ascii="TH SarabunPSK" w:hAnsi="TH SarabunPSK" w:cs="TH SarabunPSK"/>
                <w:b w:val="0"/>
                <w:i w:val="0"/>
                <w:sz w:val="24"/>
                <w:szCs w:val="24"/>
              </w:rPr>
              <w:t>0.728</w:t>
            </w:r>
          </w:p>
        </w:tc>
        <w:tc>
          <w:tcPr>
            <w:tcW w:type="dxa" w:w="2409"/>
          </w:tcPr>
          <w:p>
            <w:pPr>
              <w:spacing w:after="0"/>
              <w:jc w:val="center"/>
            </w:pPr>
            <w:r/>
            <w:r>
              <w:rPr>
                <w:rFonts w:ascii="TH SarabunPSK" w:hAnsi="TH SarabunPSK" w:cs="TH SarabunPSK"/>
                <w:b w:val="0"/>
                <w:i w:val="0"/>
                <w:sz w:val="24"/>
                <w:szCs w:val="24"/>
              </w:rPr>
              <w:t>0.780</w:t>
            </w:r>
          </w:p>
        </w:tc>
        <w:tc>
          <w:tcPr>
            <w:tcW w:type="dxa" w:w="2409"/>
          </w:tcPr>
          <w:p>
            <w:pPr>
              <w:spacing w:after="0"/>
              <w:jc w:val="center"/>
            </w:pPr>
            <w:r/>
            <w:r>
              <w:rPr>
                <w:rFonts w:ascii="TH SarabunPSK" w:hAnsi="TH SarabunPSK" w:cs="TH SarabunPSK"/>
                <w:b w:val="0"/>
                <w:i w:val="0"/>
                <w:sz w:val="24"/>
                <w:szCs w:val="24"/>
              </w:rPr>
              <w:t>10/10</w:t>
            </w:r>
          </w:p>
        </w:tc>
      </w:tr>
      <w:tr>
        <w:tc>
          <w:tcPr>
            <w:tcW w:type="dxa" w:w="2409"/>
          </w:tcPr>
          <w:p>
            <w:pPr>
              <w:spacing w:after="0"/>
              <w:jc w:val="left"/>
            </w:pPr>
            <w:r/>
            <w:r>
              <w:rPr>
                <w:rFonts w:ascii="TH SarabunPSK" w:hAnsi="TH SarabunPSK" w:cs="TH SarabunPSK"/>
                <w:b w:val="0"/>
                <w:i w:val="0"/>
                <w:sz w:val="24"/>
                <w:szCs w:val="24"/>
              </w:rPr>
              <w:t>Decision Tree</w:t>
            </w:r>
          </w:p>
        </w:tc>
        <w:tc>
          <w:tcPr>
            <w:tcW w:type="dxa" w:w="2409"/>
          </w:tcPr>
          <w:p>
            <w:pPr>
              <w:spacing w:after="0"/>
              <w:jc w:val="center"/>
            </w:pPr>
            <w:r/>
            <w:r>
              <w:rPr>
                <w:rFonts w:ascii="TH SarabunPSK" w:hAnsi="TH SarabunPSK" w:cs="TH SarabunPSK"/>
                <w:b w:val="0"/>
                <w:i w:val="0"/>
                <w:sz w:val="24"/>
                <w:szCs w:val="24"/>
              </w:rPr>
              <w:t>0.688</w:t>
            </w:r>
          </w:p>
        </w:tc>
        <w:tc>
          <w:tcPr>
            <w:tcW w:type="dxa" w:w="2409"/>
          </w:tcPr>
          <w:p>
            <w:pPr>
              <w:spacing w:after="0"/>
              <w:jc w:val="center"/>
            </w:pPr>
            <w:r/>
            <w:r>
              <w:rPr>
                <w:rFonts w:ascii="TH SarabunPSK" w:hAnsi="TH SarabunPSK" w:cs="TH SarabunPSK"/>
                <w:b w:val="0"/>
                <w:i w:val="0"/>
                <w:sz w:val="24"/>
                <w:szCs w:val="24"/>
              </w:rPr>
              <w:t>0.820</w:t>
            </w:r>
          </w:p>
        </w:tc>
        <w:tc>
          <w:tcPr>
            <w:tcW w:type="dxa" w:w="2409"/>
          </w:tcPr>
          <w:p>
            <w:pPr>
              <w:spacing w:after="0"/>
              <w:jc w:val="center"/>
            </w:pPr>
            <w:r/>
            <w:r>
              <w:rPr>
                <w:rFonts w:ascii="TH SarabunPSK" w:hAnsi="TH SarabunPSK" w:cs="TH SarabunPSK"/>
                <w:b w:val="0"/>
                <w:i w:val="0"/>
                <w:sz w:val="24"/>
                <w:szCs w:val="24"/>
              </w:rPr>
              <w:t>7/10</w:t>
            </w:r>
          </w:p>
        </w:tc>
      </w:tr>
    </w:tbl>
    <w:p>
      <w:pPr>
        <w:spacing w:before="0" w:after="80" w:line="240" w:lineRule="auto"/>
      </w:pPr>
    </w:p>
    <w:p>
      <w:pPr>
        <w:spacing w:before="160" w:after="40" w:line="240" w:lineRule="auto"/>
        <w:jc w:val="left"/>
      </w:pPr>
      <w:r>
        <w:rPr>
          <w:rFonts w:ascii="TH SarabunPSK" w:hAnsi="TH SarabunPSK" w:cs="TH SarabunPSK"/>
          <w:b/>
          <w:i/>
          <w:sz w:val="28"/>
          <w:szCs w:val="28"/>
        </w:rPr>
        <w:t>4.4 การวิเคราะห์การรั่วไหลของข้อมูล (Data Leakage)</w:t>
      </w:r>
    </w:p>
    <w:p>
      <w:pPr>
        <w:spacing w:before="0" w:after="120" w:line="240" w:lineRule="auto"/>
        <w:ind w:firstLine="397"/>
        <w:jc w:val="both"/>
      </w:pPr>
      <w:r>
        <w:rPr>
          <w:rFonts w:ascii="TH SarabunPSK" w:hAnsi="TH SarabunPSK" w:cs="TH SarabunPSK"/>
          <w:b w:val="0"/>
          <w:i w:val="0"/>
          <w:sz w:val="28"/>
          <w:szCs w:val="28"/>
        </w:rPr>
        <w:t>การรั่วไหลของข้อมูลเป็นประเด็นสำคัญที่สุดของบทความนี้ เนื่องจากทำให้ค่าที่รายงานดูดีเกินจริงโดยไม่ได้สะท้อนความสามารถจริงในการตรวจจับ [2], [3] เราจึงตรวจสอบแหล่งการรั่วไหลอย่างเป็นระบบสี่ประเภท (1) การรั่วไหลจากโปรโตคอลการประเมิน เมื่อเหตุการณ์จากกระบวนการเดียวกันปรากฏทั้งในชุดฝึกและชุดทดสอบ (2) การรั่วไหลระดับแพลตฟอร์ม จากรูปแบบค่าว่างของคอลัมน์ที่ต่างกันระหว่าง Windows และ Linux ทำให้แบบจำลองแยกแพลตฟอร์มได้เกือบสมบูรณ์ (ราว 100%) หากไม่ควบคุม หลังตัดคอลัมน์ที่รั่วออกความสามารถในการแยกแพลตฟอร์มลดลงเข้าใกล้ระดับการเดาสุ่ม (3) การรั่วไหลจากขั้นเติมข้อมูล (enrichment) เมื่อกระบวนการที่เกิดหลัง Sysmon มีบรรทัดคำสั่งแต่กระบวนการที่เกิดก่อนไม่มี ทำให้ “บรรทัดคำสั่งว่าง” กลายเป็นตัวชี้ป้ายกำกับโดยบังเอิญ และ (4) การรั่วไหลจากคุณลักษณะที่สืบเนื่องจากกระบวนการกำหนดป้ายกำกับ เช่น ไดเรกทอรีทำงาน (ซึ่งตรงกับไดเรกทอรีทดสอบที่ใช้ตัดสินป้ายกำกับ) และความลึกของสายกระบวนการ แนวทางนี้สอดคล้องกับงานอ้างอิง [1] ที่ตัดคอลัมน์ Image, ProcessGUID, ProcessId, timestamp และ host_name ออกด้วยเหตุผลเดียวกัน คือคอลัมน์เหล่านั้นสัมพันธ์โดยตรงกับตัวแปรเป้าหมาย</w:t>
      </w:r>
    </w:p>
    <w:p>
      <w:pPr>
        <w:spacing w:before="0" w:after="120" w:line="240" w:lineRule="auto"/>
        <w:ind w:firstLine="397"/>
        <w:jc w:val="both"/>
      </w:pPr>
      <w:r>
        <w:rPr>
          <w:rFonts w:ascii="TH SarabunPSK" w:hAnsi="TH SarabunPSK" w:cs="TH SarabunPSK"/>
          <w:b w:val="0"/>
          <w:i w:val="0"/>
          <w:sz w:val="28"/>
          <w:szCs w:val="28"/>
        </w:rPr>
        <w:t>ตาราง 6 แสดงความอ่อนไหวของค่าที่รายงานต่อโปรโตคอลการประเมินบนแบบจำลองและข้อมูลชุดเดียวกัน การแบ่งแบบสุ่มรายแถวให้ F1 สูงถึง 0.961 แต่เมื่อเปลี่ยนเป็นการแบ่งแบบจัดกลุ่มตามกระบวนการ ค่าลดลงเหลือ 0.811 และเมื่อประเมินแบบกันสถานการณ์ออก (zero-day) ลดลงเหลือ 0.634 ความต่างกว่า 30 จุดนี้เกิดจากข้อมูลชุดเดียวกันทุกแถว ต่างกันเพียงวิธีแบ่ง จึงยืนยันว่าการรายงานตัวเลขต้องระบุโปรโตคอลเสมอ</w:t>
      </w:r>
    </w:p>
    <w:p>
      <w:pPr>
        <w:spacing w:before="120" w:after="40" w:line="240" w:lineRule="auto"/>
        <w:jc w:val="left"/>
      </w:pPr>
      <w:r>
        <w:rPr>
          <w:rFonts w:ascii="TH SarabunPSK" w:hAnsi="TH SarabunPSK" w:cs="TH SarabunPSK"/>
          <w:b/>
          <w:i w:val="0"/>
          <w:sz w:val="24"/>
          <w:szCs w:val="24"/>
        </w:rPr>
        <w:t>ตาราง 6 ความอ่อนไหวต่อโปรโตคอล (Random Forest, ข้อมูลชุดเดียวกัน)</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after="0"/>
              <w:jc w:val="left"/>
            </w:pPr>
            <w:r/>
            <w:r>
              <w:rPr>
                <w:rFonts w:ascii="TH SarabunPSK" w:hAnsi="TH SarabunPSK" w:cs="TH SarabunPSK"/>
                <w:b/>
                <w:i w:val="0"/>
                <w:sz w:val="24"/>
                <w:szCs w:val="24"/>
              </w:rPr>
              <w:t>วิธีแบ่ง train/test</w:t>
            </w:r>
          </w:p>
        </w:tc>
        <w:tc>
          <w:tcPr>
            <w:tcW w:type="dxa" w:w="3213"/>
          </w:tcPr>
          <w:p>
            <w:pPr>
              <w:spacing w:after="0"/>
              <w:jc w:val="center"/>
            </w:pPr>
            <w:r/>
            <w:r>
              <w:rPr>
                <w:rFonts w:ascii="TH SarabunPSK" w:hAnsi="TH SarabunPSK" w:cs="TH SarabunPSK"/>
                <w:b/>
                <w:i w:val="0"/>
                <w:sz w:val="24"/>
                <w:szCs w:val="24"/>
              </w:rPr>
              <w:t>Accuracy</w:t>
            </w:r>
          </w:p>
        </w:tc>
        <w:tc>
          <w:tcPr>
            <w:tcW w:type="dxa" w:w="3213"/>
          </w:tcPr>
          <w:p>
            <w:pPr>
              <w:spacing w:after="0"/>
              <w:jc w:val="center"/>
            </w:pPr>
            <w:r/>
            <w:r>
              <w:rPr>
                <w:rFonts w:ascii="TH SarabunPSK" w:hAnsi="TH SarabunPSK" w:cs="TH SarabunPSK"/>
                <w:b/>
                <w:i w:val="0"/>
                <w:sz w:val="24"/>
                <w:szCs w:val="24"/>
              </w:rPr>
              <w:t>F1</w:t>
            </w:r>
          </w:p>
        </w:tc>
      </w:tr>
      <w:tr>
        <w:tc>
          <w:tcPr>
            <w:tcW w:type="dxa" w:w="3213"/>
          </w:tcPr>
          <w:p>
            <w:pPr>
              <w:spacing w:after="0"/>
              <w:jc w:val="left"/>
            </w:pPr>
            <w:r/>
            <w:r>
              <w:rPr>
                <w:rFonts w:ascii="TH SarabunPSK" w:hAnsi="TH SarabunPSK" w:cs="TH SarabunPSK"/>
                <w:b w:val="0"/>
                <w:i w:val="0"/>
                <w:sz w:val="24"/>
                <w:szCs w:val="24"/>
              </w:rPr>
              <w:t>สุ่มรายแถว (train_test_split)</w:t>
            </w:r>
          </w:p>
        </w:tc>
        <w:tc>
          <w:tcPr>
            <w:tcW w:type="dxa" w:w="3213"/>
          </w:tcPr>
          <w:p>
            <w:pPr>
              <w:spacing w:after="0"/>
              <w:jc w:val="center"/>
            </w:pPr>
            <w:r/>
            <w:r>
              <w:rPr>
                <w:rFonts w:ascii="TH SarabunPSK" w:hAnsi="TH SarabunPSK" w:cs="TH SarabunPSK"/>
                <w:b w:val="0"/>
                <w:i w:val="0"/>
                <w:sz w:val="24"/>
                <w:szCs w:val="24"/>
              </w:rPr>
              <w:t>0.974</w:t>
            </w:r>
          </w:p>
        </w:tc>
        <w:tc>
          <w:tcPr>
            <w:tcW w:type="dxa" w:w="3213"/>
          </w:tcPr>
          <w:p>
            <w:pPr>
              <w:spacing w:after="0"/>
              <w:jc w:val="center"/>
            </w:pPr>
            <w:r/>
            <w:r>
              <w:rPr>
                <w:rFonts w:ascii="TH SarabunPSK" w:hAnsi="TH SarabunPSK" w:cs="TH SarabunPSK"/>
                <w:b w:val="0"/>
                <w:i w:val="0"/>
                <w:sz w:val="24"/>
                <w:szCs w:val="24"/>
              </w:rPr>
              <w:t>0.961</w:t>
            </w:r>
          </w:p>
        </w:tc>
      </w:tr>
      <w:tr>
        <w:tc>
          <w:tcPr>
            <w:tcW w:type="dxa" w:w="3213"/>
          </w:tcPr>
          <w:p>
            <w:pPr>
              <w:spacing w:after="0"/>
              <w:jc w:val="left"/>
            </w:pPr>
            <w:r/>
            <w:r>
              <w:rPr>
                <w:rFonts w:ascii="TH SarabunPSK" w:hAnsi="TH SarabunPSK" w:cs="TH SarabunPSK"/>
                <w:b w:val="0"/>
                <w:i w:val="0"/>
                <w:sz w:val="24"/>
                <w:szCs w:val="24"/>
              </w:rPr>
              <w:t>GroupKFold ตาม ProcessGuid</w:t>
            </w:r>
          </w:p>
        </w:tc>
        <w:tc>
          <w:tcPr>
            <w:tcW w:type="dxa" w:w="3213"/>
          </w:tcPr>
          <w:p>
            <w:pPr>
              <w:spacing w:after="0"/>
              <w:jc w:val="center"/>
            </w:pPr>
            <w:r/>
            <w:r>
              <w:rPr>
                <w:rFonts w:ascii="TH SarabunPSK" w:hAnsi="TH SarabunPSK" w:cs="TH SarabunPSK"/>
                <w:b w:val="0"/>
                <w:i w:val="0"/>
                <w:sz w:val="24"/>
                <w:szCs w:val="24"/>
              </w:rPr>
              <w:t>0.881</w:t>
            </w:r>
          </w:p>
        </w:tc>
        <w:tc>
          <w:tcPr>
            <w:tcW w:type="dxa" w:w="3213"/>
          </w:tcPr>
          <w:p>
            <w:pPr>
              <w:spacing w:after="0"/>
              <w:jc w:val="center"/>
            </w:pPr>
            <w:r/>
            <w:r>
              <w:rPr>
                <w:rFonts w:ascii="TH SarabunPSK" w:hAnsi="TH SarabunPSK" w:cs="TH SarabunPSK"/>
                <w:b w:val="0"/>
                <w:i w:val="0"/>
                <w:sz w:val="24"/>
                <w:szCs w:val="24"/>
              </w:rPr>
              <w:t>0.811</w:t>
            </w:r>
          </w:p>
        </w:tc>
      </w:tr>
      <w:tr>
        <w:tc>
          <w:tcPr>
            <w:tcW w:type="dxa" w:w="3213"/>
          </w:tcPr>
          <w:p>
            <w:pPr>
              <w:spacing w:after="0"/>
              <w:jc w:val="left"/>
            </w:pPr>
            <w:r/>
            <w:r>
              <w:rPr>
                <w:rFonts w:ascii="TH SarabunPSK" w:hAnsi="TH SarabunPSK" w:cs="TH SarabunPSK"/>
                <w:b w:val="0"/>
                <w:i w:val="0"/>
                <w:sz w:val="24"/>
                <w:szCs w:val="24"/>
              </w:rPr>
              <w:t>Leave-one-scenario-out (zero-day)</w:t>
            </w:r>
          </w:p>
        </w:tc>
        <w:tc>
          <w:tcPr>
            <w:tcW w:type="dxa" w:w="3213"/>
          </w:tcPr>
          <w:p>
            <w:pPr>
              <w:spacing w:after="0"/>
              <w:jc w:val="center"/>
            </w:pPr>
            <w:r/>
            <w:r>
              <w:rPr>
                <w:rFonts w:ascii="TH SarabunPSK" w:hAnsi="TH SarabunPSK" w:cs="TH SarabunPSK"/>
                <w:b w:val="0"/>
                <w:i w:val="0"/>
                <w:sz w:val="24"/>
                <w:szCs w:val="24"/>
              </w:rPr>
              <w:t>0.636</w:t>
            </w:r>
          </w:p>
        </w:tc>
        <w:tc>
          <w:tcPr>
            <w:tcW w:type="dxa" w:w="3213"/>
          </w:tcPr>
          <w:p>
            <w:pPr>
              <w:spacing w:after="0"/>
              <w:jc w:val="center"/>
            </w:pPr>
            <w:r/>
            <w:r>
              <w:rPr>
                <w:rFonts w:ascii="TH SarabunPSK" w:hAnsi="TH SarabunPSK" w:cs="TH SarabunPSK"/>
                <w:b w:val="0"/>
                <w:i w:val="0"/>
                <w:sz w:val="24"/>
                <w:szCs w:val="24"/>
              </w:rPr>
              <w:t>0.634</w:t>
            </w:r>
          </w:p>
        </w:tc>
      </w:tr>
    </w:tbl>
    <w:p>
      <w:pPr>
        <w:spacing w:before="0" w:after="80" w:line="240" w:lineRule="auto"/>
      </w:pPr>
    </w:p>
    <w:p>
      <w:pPr>
        <w:spacing w:before="160" w:after="40" w:line="240" w:lineRule="auto"/>
        <w:jc w:val="left"/>
      </w:pPr>
      <w:r>
        <w:rPr>
          <w:rFonts w:ascii="TH SarabunPSK" w:hAnsi="TH SarabunPSK" w:cs="TH SarabunPSK"/>
          <w:b/>
          <w:i/>
          <w:sz w:val="28"/>
          <w:szCs w:val="28"/>
        </w:rPr>
        <w:t>4.5 ผลของการเลือกคุณลักษณะและ PCA</w:t>
      </w:r>
    </w:p>
    <w:p>
      <w:pPr>
        <w:spacing w:before="0" w:after="120" w:line="240" w:lineRule="auto"/>
        <w:ind w:firstLine="397"/>
        <w:jc w:val="both"/>
      </w:pPr>
      <w:r>
        <w:rPr>
          <w:rFonts w:ascii="TH SarabunPSK" w:hAnsi="TH SarabunPSK" w:cs="TH SarabunPSK"/>
          <w:b w:val="0"/>
          <w:i w:val="0"/>
          <w:sz w:val="28"/>
          <w:szCs w:val="28"/>
        </w:rPr>
        <w:t>การเลือกคุณลักษณะแบบตัดถอยหลังพบว่าคุณลักษณะเพียง 4-5 ตัวแบกสัญญาณส่วนใหญ่ อย่างไรก็ตาม คุณลักษณะเหล่านี้ส่วนมากไม่ใช่ “พฤติกรรม” แต่เป็นการรั่วไหลของท่อข้อมูล เช่น ไดเรกทอรีทำงานและความลึกของสายกระบวนการ ตาราง 7 แสดงว่าการตัดคุณลักษณะที่รั่ว (derived) ออกทำให้ F1 ลดลงเล็กน้อย (0.9475 → 0.9241) แต่เมื่อตัดคุณลักษณะความยาวคำสั่งออกด้วยจนเหลือเฉพาะพฤติกรรมล้วน F1 ลดลงมากถึง 0.610 ซึ่งชี้ว่าคะแนนส่วนหนึ่งมาจากความยาวคำสั่งของชุดทดสอบอัตโนมัติ ไม่ใช่พฤติกรรมที่ Sysmon เก็บ ข้อสังเกตนี้สอดคล้องกับงานอ้างอิง [1] ที่ตัดคอลัมน์ Image ทิ้งเพราะสัมพันธ์โดยตรงกับป้ายกำกับ บทความนี้จึงรายงานผลด้วยชุดคุณลักษณะที่ควบคุมการรั่วไหลแล้วเป็นหลัก และรายงานคู่กับชุดที่ไม่ควบคุมเพื่อความโปร่งใส</w:t>
      </w:r>
    </w:p>
    <w:p>
      <w:pPr>
        <w:spacing w:before="120" w:after="40" w:line="240" w:lineRule="auto"/>
        <w:jc w:val="left"/>
      </w:pPr>
      <w:r>
        <w:rPr>
          <w:rFonts w:ascii="TH SarabunPSK" w:hAnsi="TH SarabunPSK" w:cs="TH SarabunPSK"/>
          <w:b/>
          <w:i w:val="0"/>
          <w:sz w:val="24"/>
          <w:szCs w:val="24"/>
        </w:rPr>
        <w:t>ตาราง 7 ความอ่อนไหวต่อชุดคุณลักษณะ (ระดับกระบวนการ)</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after="0"/>
              <w:jc w:val="left"/>
            </w:pPr>
            <w:r/>
            <w:r>
              <w:rPr>
                <w:rFonts w:ascii="TH SarabunPSK" w:hAnsi="TH SarabunPSK" w:cs="TH SarabunPSK"/>
                <w:b/>
                <w:i w:val="0"/>
                <w:sz w:val="24"/>
                <w:szCs w:val="24"/>
              </w:rPr>
              <w:t>ชุดคุณลักษณะ</w:t>
            </w:r>
          </w:p>
        </w:tc>
        <w:tc>
          <w:tcPr>
            <w:tcW w:type="dxa" w:w="2409"/>
          </w:tcPr>
          <w:p>
            <w:pPr>
              <w:spacing w:after="0"/>
              <w:jc w:val="center"/>
            </w:pPr>
            <w:r/>
            <w:r>
              <w:rPr>
                <w:rFonts w:ascii="TH SarabunPSK" w:hAnsi="TH SarabunPSK" w:cs="TH SarabunPSK"/>
                <w:b/>
                <w:i w:val="0"/>
                <w:sz w:val="24"/>
                <w:szCs w:val="24"/>
              </w:rPr>
              <w:t>จำนวน</w:t>
            </w:r>
          </w:p>
        </w:tc>
        <w:tc>
          <w:tcPr>
            <w:tcW w:type="dxa" w:w="2409"/>
          </w:tcPr>
          <w:p>
            <w:pPr>
              <w:spacing w:after="0"/>
              <w:jc w:val="center"/>
            </w:pPr>
            <w:r/>
            <w:r>
              <w:rPr>
                <w:rFonts w:ascii="TH SarabunPSK" w:hAnsi="TH SarabunPSK" w:cs="TH SarabunPSK"/>
                <w:b/>
                <w:i w:val="0"/>
                <w:sz w:val="24"/>
                <w:szCs w:val="24"/>
              </w:rPr>
              <w:t>RF F1</w:t>
            </w:r>
          </w:p>
        </w:tc>
        <w:tc>
          <w:tcPr>
            <w:tcW w:type="dxa" w:w="2409"/>
          </w:tcPr>
          <w:p>
            <w:pPr>
              <w:spacing w:after="0"/>
              <w:jc w:val="center"/>
            </w:pPr>
            <w:r/>
            <w:r>
              <w:rPr>
                <w:rFonts w:ascii="TH SarabunPSK" w:hAnsi="TH SarabunPSK" w:cs="TH SarabunPSK"/>
                <w:b/>
                <w:i w:val="0"/>
                <w:sz w:val="24"/>
                <w:szCs w:val="24"/>
              </w:rPr>
              <w:t>LOF AUC</w:t>
            </w:r>
          </w:p>
        </w:tc>
      </w:tr>
      <w:tr>
        <w:tc>
          <w:tcPr>
            <w:tcW w:type="dxa" w:w="2409"/>
          </w:tcPr>
          <w:p>
            <w:pPr>
              <w:spacing w:after="0"/>
              <w:jc w:val="left"/>
            </w:pPr>
            <w:r/>
            <w:r>
              <w:rPr>
                <w:rFonts w:ascii="TH SarabunPSK" w:hAnsi="TH SarabunPSK" w:cs="TH SarabunPSK"/>
                <w:b w:val="0"/>
                <w:i w:val="0"/>
                <w:sz w:val="24"/>
                <w:szCs w:val="24"/>
              </w:rPr>
              <w:t>ทั้งหมด</w:t>
            </w:r>
          </w:p>
        </w:tc>
        <w:tc>
          <w:tcPr>
            <w:tcW w:type="dxa" w:w="2409"/>
          </w:tcPr>
          <w:p>
            <w:pPr>
              <w:spacing w:after="0"/>
              <w:jc w:val="center"/>
            </w:pPr>
            <w:r/>
            <w:r>
              <w:rPr>
                <w:rFonts w:ascii="TH SarabunPSK" w:hAnsi="TH SarabunPSK" w:cs="TH SarabunPSK"/>
                <w:b w:val="0"/>
                <w:i w:val="0"/>
                <w:sz w:val="24"/>
                <w:szCs w:val="24"/>
              </w:rPr>
              <w:t>35</w:t>
            </w:r>
          </w:p>
        </w:tc>
        <w:tc>
          <w:tcPr>
            <w:tcW w:type="dxa" w:w="2409"/>
          </w:tcPr>
          <w:p>
            <w:pPr>
              <w:spacing w:after="0"/>
              <w:jc w:val="center"/>
            </w:pPr>
            <w:r/>
            <w:r>
              <w:rPr>
                <w:rFonts w:ascii="TH SarabunPSK" w:hAnsi="TH SarabunPSK" w:cs="TH SarabunPSK"/>
                <w:b w:val="0"/>
                <w:i w:val="0"/>
                <w:sz w:val="24"/>
                <w:szCs w:val="24"/>
              </w:rPr>
              <w:t>0.948</w:t>
            </w:r>
          </w:p>
        </w:tc>
        <w:tc>
          <w:tcPr>
            <w:tcW w:type="dxa" w:w="2409"/>
          </w:tcPr>
          <w:p>
            <w:pPr>
              <w:spacing w:after="0"/>
              <w:jc w:val="center"/>
            </w:pPr>
            <w:r/>
            <w:r>
              <w:rPr>
                <w:rFonts w:ascii="TH SarabunPSK" w:hAnsi="TH SarabunPSK" w:cs="TH SarabunPSK"/>
                <w:b w:val="0"/>
                <w:i w:val="0"/>
                <w:sz w:val="24"/>
                <w:szCs w:val="24"/>
              </w:rPr>
              <w:t>0.866</w:t>
            </w:r>
          </w:p>
        </w:tc>
      </w:tr>
      <w:tr>
        <w:tc>
          <w:tcPr>
            <w:tcW w:type="dxa" w:w="2409"/>
          </w:tcPr>
          <w:p>
            <w:pPr>
              <w:spacing w:after="0"/>
              <w:jc w:val="left"/>
            </w:pPr>
            <w:r/>
            <w:r>
              <w:rPr>
                <w:rFonts w:ascii="TH SarabunPSK" w:hAnsi="TH SarabunPSK" w:cs="TH SarabunPSK"/>
                <w:b w:val="0"/>
                <w:i w:val="0"/>
                <w:sz w:val="24"/>
                <w:szCs w:val="24"/>
              </w:rPr>
              <w:t>ตัด derived (ควบคุมการรั่วไหล)</w:t>
            </w:r>
          </w:p>
        </w:tc>
        <w:tc>
          <w:tcPr>
            <w:tcW w:type="dxa" w:w="2409"/>
          </w:tcPr>
          <w:p>
            <w:pPr>
              <w:spacing w:after="0"/>
              <w:jc w:val="center"/>
            </w:pPr>
            <w:r/>
            <w:r>
              <w:rPr>
                <w:rFonts w:ascii="TH SarabunPSK" w:hAnsi="TH SarabunPSK" w:cs="TH SarabunPSK"/>
                <w:b w:val="0"/>
                <w:i w:val="0"/>
                <w:sz w:val="24"/>
                <w:szCs w:val="24"/>
              </w:rPr>
              <w:t>32</w:t>
            </w:r>
          </w:p>
        </w:tc>
        <w:tc>
          <w:tcPr>
            <w:tcW w:type="dxa" w:w="2409"/>
          </w:tcPr>
          <w:p>
            <w:pPr>
              <w:spacing w:after="0"/>
              <w:jc w:val="center"/>
            </w:pPr>
            <w:r/>
            <w:r>
              <w:rPr>
                <w:rFonts w:ascii="TH SarabunPSK" w:hAnsi="TH SarabunPSK" w:cs="TH SarabunPSK"/>
                <w:b w:val="0"/>
                <w:i w:val="0"/>
                <w:sz w:val="24"/>
                <w:szCs w:val="24"/>
              </w:rPr>
              <w:t>0.924</w:t>
            </w:r>
          </w:p>
        </w:tc>
        <w:tc>
          <w:tcPr>
            <w:tcW w:type="dxa" w:w="2409"/>
          </w:tcPr>
          <w:p>
            <w:pPr>
              <w:spacing w:after="0"/>
              <w:jc w:val="center"/>
            </w:pPr>
            <w:r/>
            <w:r>
              <w:rPr>
                <w:rFonts w:ascii="TH SarabunPSK" w:hAnsi="TH SarabunPSK" w:cs="TH SarabunPSK"/>
                <w:b w:val="0"/>
                <w:i w:val="0"/>
                <w:sz w:val="24"/>
                <w:szCs w:val="24"/>
              </w:rPr>
              <w:t>0.849</w:t>
            </w:r>
          </w:p>
        </w:tc>
      </w:tr>
      <w:tr>
        <w:tc>
          <w:tcPr>
            <w:tcW w:type="dxa" w:w="2409"/>
          </w:tcPr>
          <w:p>
            <w:pPr>
              <w:spacing w:after="0"/>
              <w:jc w:val="left"/>
            </w:pPr>
            <w:r/>
            <w:r>
              <w:rPr>
                <w:rFonts w:ascii="TH SarabunPSK" w:hAnsi="TH SarabunPSK" w:cs="TH SarabunPSK"/>
                <w:b w:val="0"/>
                <w:i w:val="0"/>
                <w:sz w:val="24"/>
                <w:szCs w:val="24"/>
              </w:rPr>
              <w:t>พฤติกรรมล้วน (ตัดความยาวคำสั่ง)</w:t>
            </w:r>
          </w:p>
        </w:tc>
        <w:tc>
          <w:tcPr>
            <w:tcW w:type="dxa" w:w="2409"/>
          </w:tcPr>
          <w:p>
            <w:pPr>
              <w:spacing w:after="0"/>
              <w:jc w:val="center"/>
            </w:pPr>
            <w:r/>
            <w:r>
              <w:rPr>
                <w:rFonts w:ascii="TH SarabunPSK" w:hAnsi="TH SarabunPSK" w:cs="TH SarabunPSK"/>
                <w:b w:val="0"/>
                <w:i w:val="0"/>
                <w:sz w:val="24"/>
                <w:szCs w:val="24"/>
              </w:rPr>
              <w:t>30</w:t>
            </w:r>
          </w:p>
        </w:tc>
        <w:tc>
          <w:tcPr>
            <w:tcW w:type="dxa" w:w="2409"/>
          </w:tcPr>
          <w:p>
            <w:pPr>
              <w:spacing w:after="0"/>
              <w:jc w:val="center"/>
            </w:pPr>
            <w:r/>
            <w:r>
              <w:rPr>
                <w:rFonts w:ascii="TH SarabunPSK" w:hAnsi="TH SarabunPSK" w:cs="TH SarabunPSK"/>
                <w:b w:val="0"/>
                <w:i w:val="0"/>
                <w:sz w:val="24"/>
                <w:szCs w:val="24"/>
              </w:rPr>
              <w:t>0.610</w:t>
            </w:r>
          </w:p>
        </w:tc>
        <w:tc>
          <w:tcPr>
            <w:tcW w:type="dxa" w:w="2409"/>
          </w:tcPr>
          <w:p>
            <w:pPr>
              <w:spacing w:after="0"/>
              <w:jc w:val="center"/>
            </w:pPr>
            <w:r/>
            <w:r>
              <w:rPr>
                <w:rFonts w:ascii="TH SarabunPSK" w:hAnsi="TH SarabunPSK" w:cs="TH SarabunPSK"/>
                <w:b w:val="0"/>
                <w:i w:val="0"/>
                <w:sz w:val="24"/>
                <w:szCs w:val="24"/>
              </w:rPr>
              <w:t>-</w:t>
            </w:r>
          </w:p>
        </w:tc>
      </w:tr>
    </w:tbl>
    <w:p>
      <w:pPr>
        <w:spacing w:before="0" w:after="80" w:line="240" w:lineRule="auto"/>
      </w:pPr>
    </w:p>
    <w:p>
      <w:pPr>
        <w:spacing w:before="0" w:after="120" w:line="240" w:lineRule="auto"/>
        <w:ind w:firstLine="397"/>
        <w:jc w:val="both"/>
      </w:pPr>
      <w:r>
        <w:rPr>
          <w:rFonts w:ascii="TH SarabunPSK" w:hAnsi="TH SarabunPSK" w:cs="TH SarabunPSK"/>
          <w:b w:val="0"/>
          <w:i w:val="0"/>
          <w:sz w:val="28"/>
          <w:szCs w:val="28"/>
        </w:rPr>
        <w:t>สำหรับการลดมิติ การกวาดจำนวนองค์ประกอบ PCA พบว่าจำนวนที่ให้ผลดีที่สุดเกือบเท่ากับจำนวนคุณลักษณะเต็ม และที่ระดับเหตุการณ์ PCA กลับทำให้ F1 ลดลงเล็กน้อย (0.951 → 0.936) เนื่องจากคุณลักษณะผ่านการเข้ารหัสแบบ label encoding และความยาวสตริงมาแล้ว จึงไม่มีความสัมพันธ์เชิงเส้นให้ PCA รวบได้มากนัก ผลนี้บ่งชี้ว่าการควบคุมการรั่วไหลและการเลือกคุณลักษณะมีผลต่อความน่าเชื่อถือมากกว่าการลดมิติด้วย PCA สำหรับชุดข้อมูลนี้</w:t>
      </w:r>
    </w:p>
    <w:p>
      <w:pPr>
        <w:spacing w:before="160" w:after="40" w:line="240" w:lineRule="auto"/>
        <w:jc w:val="left"/>
      </w:pPr>
      <w:r>
        <w:rPr>
          <w:rFonts w:ascii="TH SarabunPSK" w:hAnsi="TH SarabunPSK" w:cs="TH SarabunPSK"/>
          <w:b/>
          <w:i/>
          <w:sz w:val="28"/>
          <w:szCs w:val="28"/>
        </w:rPr>
        <w:t>4.6 การเปรียบเทียบองค์ประกอบกับงานอ้างอิง</w:t>
      </w:r>
    </w:p>
    <w:p>
      <w:pPr>
        <w:spacing w:before="0" w:after="120" w:line="240" w:lineRule="auto"/>
        <w:ind w:firstLine="397"/>
        <w:jc w:val="both"/>
      </w:pPr>
      <w:r>
        <w:rPr>
          <w:rFonts w:ascii="TH SarabunPSK" w:hAnsi="TH SarabunPSK" w:cs="TH SarabunPSK"/>
          <w:b w:val="0"/>
          <w:i w:val="0"/>
          <w:sz w:val="28"/>
          <w:szCs w:val="28"/>
        </w:rPr>
        <w:t>ตาราง 8 เปรียบเทียบสัดส่วนชนิดเหตุการณ์ระหว่างชุดข้อมูลของบทความนี้กับชุด NLME ของงานอ้างอิง [1] จะเห็นว่าชุดข้อมูลนี้ครอบคลุมเหตุการณ์เชิงเครือข่าย (NetworkConnect) การลบไฟล์ และการอ่านดิสก์ระดับต่ำที่งานอ้างอิงแทบไม่มี ทำให้เหมาะกับการวิเคราะห์พฤติกรรม C2/beaconing และ ransomware มากขึ้น</w:t>
      </w:r>
    </w:p>
    <w:p>
      <w:pPr>
        <w:spacing w:before="120" w:after="40" w:line="240" w:lineRule="auto"/>
        <w:jc w:val="left"/>
      </w:pPr>
      <w:r>
        <w:rPr>
          <w:rFonts w:ascii="TH SarabunPSK" w:hAnsi="TH SarabunPSK" w:cs="TH SarabunPSK"/>
          <w:b/>
          <w:i w:val="0"/>
          <w:sz w:val="24"/>
          <w:szCs w:val="24"/>
        </w:rPr>
        <w:t>ตาราง 8 สัดส่วนชนิดเหตุการณ์ (%): บทความนี้ เทียบ NLME [1]</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after="0"/>
              <w:jc w:val="left"/>
            </w:pPr>
            <w:r/>
            <w:r>
              <w:rPr>
                <w:rFonts w:ascii="TH SarabunPSK" w:hAnsi="TH SarabunPSK" w:cs="TH SarabunPSK"/>
                <w:b/>
                <w:i w:val="0"/>
                <w:sz w:val="24"/>
                <w:szCs w:val="24"/>
              </w:rPr>
              <w:t>ชนิดเหตุการณ์</w:t>
            </w:r>
          </w:p>
        </w:tc>
        <w:tc>
          <w:tcPr>
            <w:tcW w:type="dxa" w:w="3213"/>
          </w:tcPr>
          <w:p>
            <w:pPr>
              <w:spacing w:after="0"/>
              <w:jc w:val="center"/>
            </w:pPr>
            <w:r/>
            <w:r>
              <w:rPr>
                <w:rFonts w:ascii="TH SarabunPSK" w:hAnsi="TH SarabunPSK" w:cs="TH SarabunPSK"/>
                <w:b/>
                <w:i w:val="0"/>
                <w:sz w:val="24"/>
                <w:szCs w:val="24"/>
              </w:rPr>
              <w:t>บทความนี้</w:t>
            </w:r>
          </w:p>
        </w:tc>
        <w:tc>
          <w:tcPr>
            <w:tcW w:type="dxa" w:w="3213"/>
          </w:tcPr>
          <w:p>
            <w:pPr>
              <w:spacing w:after="0"/>
              <w:jc w:val="center"/>
            </w:pPr>
            <w:r/>
            <w:r>
              <w:rPr>
                <w:rFonts w:ascii="TH SarabunPSK" w:hAnsi="TH SarabunPSK" w:cs="TH SarabunPSK"/>
                <w:b/>
                <w:i w:val="0"/>
                <w:sz w:val="24"/>
                <w:szCs w:val="24"/>
              </w:rPr>
              <w:t>NLME [1]</w:t>
            </w:r>
          </w:p>
        </w:tc>
      </w:tr>
      <w:tr>
        <w:tc>
          <w:tcPr>
            <w:tcW w:type="dxa" w:w="3213"/>
          </w:tcPr>
          <w:p>
            <w:pPr>
              <w:spacing w:after="0"/>
              <w:jc w:val="left"/>
            </w:pPr>
            <w:r/>
            <w:r>
              <w:rPr>
                <w:rFonts w:ascii="TH SarabunPSK" w:hAnsi="TH SarabunPSK" w:cs="TH SarabunPSK"/>
                <w:b w:val="0"/>
                <w:i w:val="0"/>
                <w:sz w:val="24"/>
                <w:szCs w:val="24"/>
              </w:rPr>
              <w:t>NetworkConnect (3)</w:t>
            </w:r>
          </w:p>
        </w:tc>
        <w:tc>
          <w:tcPr>
            <w:tcW w:type="dxa" w:w="3213"/>
          </w:tcPr>
          <w:p>
            <w:pPr>
              <w:spacing w:after="0"/>
              <w:jc w:val="center"/>
            </w:pPr>
            <w:r/>
            <w:r>
              <w:rPr>
                <w:rFonts w:ascii="TH SarabunPSK" w:hAnsi="TH SarabunPSK" w:cs="TH SarabunPSK"/>
                <w:b w:val="0"/>
                <w:i w:val="0"/>
                <w:sz w:val="24"/>
                <w:szCs w:val="24"/>
              </w:rPr>
              <w:t>2.8</w:t>
            </w:r>
          </w:p>
        </w:tc>
        <w:tc>
          <w:tcPr>
            <w:tcW w:type="dxa" w:w="3213"/>
          </w:tcPr>
          <w:p>
            <w:pPr>
              <w:spacing w:after="0"/>
              <w:jc w:val="center"/>
            </w:pPr>
            <w:r/>
            <w:r>
              <w:rPr>
                <w:rFonts w:ascii="TH SarabunPSK" w:hAnsi="TH SarabunPSK" w:cs="TH SarabunPSK"/>
                <w:b w:val="0"/>
                <w:i w:val="0"/>
                <w:sz w:val="24"/>
                <w:szCs w:val="24"/>
              </w:rPr>
              <w:t>0.03</w:t>
            </w:r>
          </w:p>
        </w:tc>
      </w:tr>
      <w:tr>
        <w:tc>
          <w:tcPr>
            <w:tcW w:type="dxa" w:w="3213"/>
          </w:tcPr>
          <w:p>
            <w:pPr>
              <w:spacing w:after="0"/>
              <w:jc w:val="left"/>
            </w:pPr>
            <w:r/>
            <w:r>
              <w:rPr>
                <w:rFonts w:ascii="TH SarabunPSK" w:hAnsi="TH SarabunPSK" w:cs="TH SarabunPSK"/>
                <w:b w:val="0"/>
                <w:i w:val="0"/>
                <w:sz w:val="24"/>
                <w:szCs w:val="24"/>
              </w:rPr>
              <w:t>FileDelete (23)</w:t>
            </w:r>
          </w:p>
        </w:tc>
        <w:tc>
          <w:tcPr>
            <w:tcW w:type="dxa" w:w="3213"/>
          </w:tcPr>
          <w:p>
            <w:pPr>
              <w:spacing w:after="0"/>
              <w:jc w:val="center"/>
            </w:pPr>
            <w:r/>
            <w:r>
              <w:rPr>
                <w:rFonts w:ascii="TH SarabunPSK" w:hAnsi="TH SarabunPSK" w:cs="TH SarabunPSK"/>
                <w:b w:val="0"/>
                <w:i w:val="0"/>
                <w:sz w:val="24"/>
                <w:szCs w:val="24"/>
              </w:rPr>
              <w:t>9.6</w:t>
            </w:r>
          </w:p>
        </w:tc>
        <w:tc>
          <w:tcPr>
            <w:tcW w:type="dxa" w:w="3213"/>
          </w:tcPr>
          <w:p>
            <w:pPr>
              <w:spacing w:after="0"/>
              <w:jc w:val="center"/>
            </w:pPr>
            <w:r/>
            <w:r>
              <w:rPr>
                <w:rFonts w:ascii="TH SarabunPSK" w:hAnsi="TH SarabunPSK" w:cs="TH SarabunPSK"/>
                <w:b w:val="0"/>
                <w:i w:val="0"/>
                <w:sz w:val="24"/>
                <w:szCs w:val="24"/>
              </w:rPr>
              <w:t>0</w:t>
            </w:r>
          </w:p>
        </w:tc>
      </w:tr>
      <w:tr>
        <w:tc>
          <w:tcPr>
            <w:tcW w:type="dxa" w:w="3213"/>
          </w:tcPr>
          <w:p>
            <w:pPr>
              <w:spacing w:after="0"/>
              <w:jc w:val="left"/>
            </w:pPr>
            <w:r/>
            <w:r>
              <w:rPr>
                <w:rFonts w:ascii="TH SarabunPSK" w:hAnsi="TH SarabunPSK" w:cs="TH SarabunPSK"/>
                <w:b w:val="0"/>
                <w:i w:val="0"/>
                <w:sz w:val="24"/>
                <w:szCs w:val="24"/>
              </w:rPr>
              <w:t>RawAccessRead (9)</w:t>
            </w:r>
          </w:p>
        </w:tc>
        <w:tc>
          <w:tcPr>
            <w:tcW w:type="dxa" w:w="3213"/>
          </w:tcPr>
          <w:p>
            <w:pPr>
              <w:spacing w:after="0"/>
              <w:jc w:val="center"/>
            </w:pPr>
            <w:r/>
            <w:r>
              <w:rPr>
                <w:rFonts w:ascii="TH SarabunPSK" w:hAnsi="TH SarabunPSK" w:cs="TH SarabunPSK"/>
                <w:b w:val="0"/>
                <w:i w:val="0"/>
                <w:sz w:val="24"/>
                <w:szCs w:val="24"/>
              </w:rPr>
              <w:t>6.1</w:t>
            </w:r>
          </w:p>
        </w:tc>
        <w:tc>
          <w:tcPr>
            <w:tcW w:type="dxa" w:w="3213"/>
          </w:tcPr>
          <w:p>
            <w:pPr>
              <w:spacing w:after="0"/>
              <w:jc w:val="center"/>
            </w:pPr>
            <w:r/>
            <w:r>
              <w:rPr>
                <w:rFonts w:ascii="TH SarabunPSK" w:hAnsi="TH SarabunPSK" w:cs="TH SarabunPSK"/>
                <w:b w:val="0"/>
                <w:i w:val="0"/>
                <w:sz w:val="24"/>
                <w:szCs w:val="24"/>
              </w:rPr>
              <w:t>0</w:t>
            </w:r>
          </w:p>
        </w:tc>
      </w:tr>
      <w:tr>
        <w:tc>
          <w:tcPr>
            <w:tcW w:type="dxa" w:w="3213"/>
          </w:tcPr>
          <w:p>
            <w:pPr>
              <w:spacing w:after="0"/>
              <w:jc w:val="left"/>
            </w:pPr>
            <w:r/>
            <w:r>
              <w:rPr>
                <w:rFonts w:ascii="TH SarabunPSK" w:hAnsi="TH SarabunPSK" w:cs="TH SarabunPSK"/>
                <w:b w:val="0"/>
                <w:i w:val="0"/>
                <w:sz w:val="24"/>
                <w:szCs w:val="24"/>
              </w:rPr>
              <w:t>ProcessTerminate (5)</w:t>
            </w:r>
          </w:p>
        </w:tc>
        <w:tc>
          <w:tcPr>
            <w:tcW w:type="dxa" w:w="3213"/>
          </w:tcPr>
          <w:p>
            <w:pPr>
              <w:spacing w:after="0"/>
              <w:jc w:val="center"/>
            </w:pPr>
            <w:r/>
            <w:r>
              <w:rPr>
                <w:rFonts w:ascii="TH SarabunPSK" w:hAnsi="TH SarabunPSK" w:cs="TH SarabunPSK"/>
                <w:b w:val="0"/>
                <w:i w:val="0"/>
                <w:sz w:val="24"/>
                <w:szCs w:val="24"/>
              </w:rPr>
              <w:t>33.0</w:t>
            </w:r>
          </w:p>
        </w:tc>
        <w:tc>
          <w:tcPr>
            <w:tcW w:type="dxa" w:w="3213"/>
          </w:tcPr>
          <w:p>
            <w:pPr>
              <w:spacing w:after="0"/>
              <w:jc w:val="center"/>
            </w:pPr>
            <w:r/>
            <w:r>
              <w:rPr>
                <w:rFonts w:ascii="TH SarabunPSK" w:hAnsi="TH SarabunPSK" w:cs="TH SarabunPSK"/>
                <w:b w:val="0"/>
                <w:i w:val="0"/>
                <w:sz w:val="24"/>
                <w:szCs w:val="24"/>
              </w:rPr>
              <w:t>2.1</w:t>
            </w:r>
          </w:p>
        </w:tc>
      </w:tr>
      <w:tr>
        <w:tc>
          <w:tcPr>
            <w:tcW w:type="dxa" w:w="3213"/>
          </w:tcPr>
          <w:p>
            <w:pPr>
              <w:spacing w:after="0"/>
              <w:jc w:val="left"/>
            </w:pPr>
            <w:r/>
            <w:r>
              <w:rPr>
                <w:rFonts w:ascii="TH SarabunPSK" w:hAnsi="TH SarabunPSK" w:cs="TH SarabunPSK"/>
                <w:b w:val="0"/>
                <w:i w:val="0"/>
                <w:sz w:val="24"/>
                <w:szCs w:val="24"/>
              </w:rPr>
              <w:t>ProcessCreate (1)</w:t>
            </w:r>
          </w:p>
        </w:tc>
        <w:tc>
          <w:tcPr>
            <w:tcW w:type="dxa" w:w="3213"/>
          </w:tcPr>
          <w:p>
            <w:pPr>
              <w:spacing w:after="0"/>
              <w:jc w:val="center"/>
            </w:pPr>
            <w:r/>
            <w:r>
              <w:rPr>
                <w:rFonts w:ascii="TH SarabunPSK" w:hAnsi="TH SarabunPSK" w:cs="TH SarabunPSK"/>
                <w:b w:val="0"/>
                <w:i w:val="0"/>
                <w:sz w:val="24"/>
                <w:szCs w:val="24"/>
              </w:rPr>
              <w:t>28.7</w:t>
            </w:r>
          </w:p>
        </w:tc>
        <w:tc>
          <w:tcPr>
            <w:tcW w:type="dxa" w:w="3213"/>
          </w:tcPr>
          <w:p>
            <w:pPr>
              <w:spacing w:after="0"/>
              <w:jc w:val="center"/>
            </w:pPr>
            <w:r/>
            <w:r>
              <w:rPr>
                <w:rFonts w:ascii="TH SarabunPSK" w:hAnsi="TH SarabunPSK" w:cs="TH SarabunPSK"/>
                <w:b w:val="0"/>
                <w:i w:val="0"/>
                <w:sz w:val="24"/>
                <w:szCs w:val="24"/>
              </w:rPr>
              <w:t>29.5</w:t>
            </w:r>
          </w:p>
        </w:tc>
      </w:tr>
      <w:tr>
        <w:tc>
          <w:tcPr>
            <w:tcW w:type="dxa" w:w="3213"/>
          </w:tcPr>
          <w:p>
            <w:pPr>
              <w:spacing w:after="0"/>
              <w:jc w:val="left"/>
            </w:pPr>
            <w:r/>
            <w:r>
              <w:rPr>
                <w:rFonts w:ascii="TH SarabunPSK" w:hAnsi="TH SarabunPSK" w:cs="TH SarabunPSK"/>
                <w:b w:val="0"/>
                <w:i w:val="0"/>
                <w:sz w:val="24"/>
                <w:szCs w:val="24"/>
              </w:rPr>
              <w:t>FileCreate (11)</w:t>
            </w:r>
          </w:p>
        </w:tc>
        <w:tc>
          <w:tcPr>
            <w:tcW w:type="dxa" w:w="3213"/>
          </w:tcPr>
          <w:p>
            <w:pPr>
              <w:spacing w:after="0"/>
              <w:jc w:val="center"/>
            </w:pPr>
            <w:r/>
            <w:r>
              <w:rPr>
                <w:rFonts w:ascii="TH SarabunPSK" w:hAnsi="TH SarabunPSK" w:cs="TH SarabunPSK"/>
                <w:b w:val="0"/>
                <w:i w:val="0"/>
                <w:sz w:val="24"/>
                <w:szCs w:val="24"/>
              </w:rPr>
              <w:t>11.7</w:t>
            </w:r>
          </w:p>
        </w:tc>
        <w:tc>
          <w:tcPr>
            <w:tcW w:type="dxa" w:w="3213"/>
          </w:tcPr>
          <w:p>
            <w:pPr>
              <w:spacing w:after="0"/>
              <w:jc w:val="center"/>
            </w:pPr>
            <w:r/>
            <w:r>
              <w:rPr>
                <w:rFonts w:ascii="TH SarabunPSK" w:hAnsi="TH SarabunPSK" w:cs="TH SarabunPSK"/>
                <w:b w:val="0"/>
                <w:i w:val="0"/>
                <w:sz w:val="24"/>
                <w:szCs w:val="24"/>
              </w:rPr>
              <w:t>39.0</w:t>
            </w:r>
          </w:p>
        </w:tc>
      </w:tr>
    </w:tbl>
    <w:p>
      <w:pPr>
        <w:spacing w:before="0" w:after="80" w:line="240" w:lineRule="auto"/>
      </w:pPr>
    </w:p>
    <w:p>
      <w:pPr>
        <w:spacing w:before="200" w:after="80" w:line="240" w:lineRule="auto"/>
        <w:jc w:val="center"/>
      </w:pPr>
      <w:r>
        <w:rPr>
          <w:rFonts w:ascii="TH SarabunPSK" w:hAnsi="TH SarabunPSK" w:cs="TH SarabunPSK"/>
          <w:b/>
          <w:i w:val="0"/>
          <w:sz w:val="28"/>
          <w:szCs w:val="28"/>
        </w:rPr>
        <w:t>5. อภิปรายผล</w:t>
      </w:r>
    </w:p>
    <w:p>
      <w:pPr>
        <w:spacing w:before="0" w:after="120" w:line="240" w:lineRule="auto"/>
        <w:ind w:firstLine="397"/>
        <w:jc w:val="both"/>
      </w:pPr>
      <w:r>
        <w:rPr>
          <w:rFonts w:ascii="TH SarabunPSK" w:hAnsi="TH SarabunPSK" w:cs="TH SarabunPSK"/>
          <w:b w:val="0"/>
          <w:i w:val="0"/>
          <w:sz w:val="28"/>
          <w:szCs w:val="28"/>
        </w:rPr>
        <w:t>ผลการทดลองสอดคล้องกับงานอ้างอิงในสองประเด็น คือ Random Forest ให้ผลดีที่สุดในกลุ่มมีผู้สอน และ Local Outlier Factor ดีที่สุดในกลุ่มไม่มีผู้สอน [1], [14] นอกจากนี้การจำแนกระดับกระบวนการให้ผลดีกว่าระดับเหตุการณ์เดี่ยวอย่างชัดเจน สอดคล้องกับ [9] เนื่องจากเหตุการณ์เดี่ยวของมัลแวร์มักคล้ายพฤติกรรมปกติ สิ่งที่จำแนกได้จริงคือรูปแบบรวมของกระบวนการ</w:t>
      </w:r>
    </w:p>
    <w:p>
      <w:pPr>
        <w:spacing w:before="0" w:after="120" w:line="240" w:lineRule="auto"/>
        <w:ind w:firstLine="397"/>
        <w:jc w:val="both"/>
      </w:pPr>
      <w:r>
        <w:rPr>
          <w:rFonts w:ascii="TH SarabunPSK" w:hAnsi="TH SarabunPSK" w:cs="TH SarabunPSK"/>
          <w:b w:val="0"/>
          <w:i w:val="0"/>
          <w:sz w:val="28"/>
          <w:szCs w:val="28"/>
        </w:rPr>
        <w:t>ประเด็นที่บทความนี้เน้นเป็นพิเศษคือความน่าเชื่อถือของการวัดผล เราแสดงเชิงประจักษ์ว่าค่าที่รายงานขึ้นกับ (1) โปรโตคอลการประเมิน (ตาราง 6) และ (2) ชุดคุณลักษณะที่เลือก (ตาราง 7) มากกว่าปริมาณข้อมูล ตามที่ [2], [3] เตือนไว้ การควบคุมการรั่วไหลของข้อมูลจึงสำคัญกว่าการเพิ่มจำนวนเหตุการณ์ และการลดมิติด้วย PCA ให้ประโยชน์จำกัดกับชุดข้อมูลนี้เพราะคุณลักษณะผ่านการเข้ารหัสมาแล้ว การรายงานตัวเลขจึงควรระบุทั้งโปรโตคอลและชุดคุณลักษณะเสมอ ข้อจำกัดของงานได้แก่ จำนวนเครื่องที่ใช้เก็บข้อมูลยังน้อย ความหลากหลายของพฤติกรรมปกติยังจำกัด (ทำให้คุณลักษณะความยาวคำสั่งแยกคลาสได้ง่ายเกินจริง) และการจำลองด้วย Atomic Red Team อาจให้พฤติกรรมน้อยกว่ามัลแวร์จริงในบางเหตุการณ์</w:t>
      </w:r>
    </w:p>
    <w:p>
      <w:pPr>
        <w:spacing w:before="200" w:after="80" w:line="240" w:lineRule="auto"/>
        <w:jc w:val="center"/>
      </w:pPr>
      <w:r>
        <w:rPr>
          <w:rFonts w:ascii="TH SarabunPSK" w:hAnsi="TH SarabunPSK" w:cs="TH SarabunPSK"/>
          <w:b/>
          <w:i w:val="0"/>
          <w:sz w:val="28"/>
          <w:szCs w:val="28"/>
        </w:rPr>
        <w:t>6. สรุปและงานในอนาคต</w:t>
      </w:r>
    </w:p>
    <w:p>
      <w:pPr>
        <w:spacing w:before="0" w:after="120" w:line="240" w:lineRule="auto"/>
        <w:ind w:firstLine="397"/>
        <w:jc w:val="both"/>
      </w:pPr>
      <w:r>
        <w:rPr>
          <w:rFonts w:ascii="TH SarabunPSK" w:hAnsi="TH SarabunPSK" w:cs="TH SarabunPSK"/>
          <w:b w:val="0"/>
          <w:i w:val="0"/>
          <w:sz w:val="28"/>
          <w:szCs w:val="28"/>
        </w:rPr>
        <w:t>บทความนี้นำเสนอชุดข้อมูล Sysmon แบบสองแพลตฟอร์มจำนวน 81,331 เหตุการณ์สำหรับการตรวจจับมัลแวร์ พร้อมวิเคราะห์การรั่วไหลของข้อมูลอย่างเป็นระบบ ภายใต้โปรโตคอลที่ป้องกันการรั่วไหล แบบจำลอง Random Forest ระดับกระบวนการให้ความแม่นยำ 94.9% และ F1 0.924 งานในอนาคตได้แก่ การเพิ่มความหลากหลายของพฤติกรรมปกติ การเพิ่มจำนวนเครื่องและรอบทดลองเพื่อเสริมความแข็งแรงของการประเมินแบบ zero-day และการหลอมรวมสัญญาณระดับเครือข่าย เข้ากับบันทึกโฮสต์เพื่อยกระดับการตรวจจับพฤติกรรม C2</w:t>
      </w:r>
    </w:p>
    <w:p>
      <w:pPr>
        <w:spacing w:before="200" w:after="80" w:line="240" w:lineRule="auto"/>
        <w:jc w:val="center"/>
      </w:pPr>
      <w:r>
        <w:rPr>
          <w:rFonts w:ascii="TH SarabunPSK" w:hAnsi="TH SarabunPSK" w:cs="TH SarabunPSK"/>
          <w:b/>
          <w:i w:val="0"/>
          <w:sz w:val="28"/>
          <w:szCs w:val="28"/>
        </w:rPr>
        <w:t>เอกสารอ้างอิง</w:t>
      </w:r>
    </w:p>
    <w:p>
      <w:pPr>
        <w:spacing w:before="0" w:after="40" w:line="240" w:lineRule="auto"/>
        <w:ind w:left="340" w:hanging="340"/>
        <w:jc w:val="both"/>
      </w:pPr>
      <w:r>
        <w:rPr>
          <w:rFonts w:ascii="TH SarabunPSK" w:hAnsi="TH SarabunPSK" w:cs="TH SarabunPSK"/>
          <w:b w:val="0"/>
          <w:i w:val="0"/>
          <w:sz w:val="28"/>
          <w:szCs w:val="28"/>
        </w:rPr>
        <w:t>[1] R. M. R. Achmad, D. P. Nariswari, B. A. Pratomo, and H. Studiawan, "Sysmon event logs for machine learning-based malware detection," Cyber Security and Applications, vol. 3, 100110, 2025.</w:t>
      </w:r>
    </w:p>
    <w:p>
      <w:pPr>
        <w:spacing w:before="0" w:after="40" w:line="240" w:lineRule="auto"/>
        <w:ind w:left="340" w:hanging="340"/>
        <w:jc w:val="both"/>
      </w:pPr>
      <w:r>
        <w:rPr>
          <w:rFonts w:ascii="TH SarabunPSK" w:hAnsi="TH SarabunPSK" w:cs="TH SarabunPSK"/>
          <w:b w:val="0"/>
          <w:i w:val="0"/>
          <w:sz w:val="28"/>
          <w:szCs w:val="28"/>
        </w:rPr>
        <w:t>[2] D. Arp et al., "Dos and Don'ts of Machine Learning in Computer Security," in Proc. 31st USENIX Security Symposium, 2022, pp. 3971-3988.</w:t>
      </w:r>
    </w:p>
    <w:p>
      <w:pPr>
        <w:spacing w:before="0" w:after="40" w:line="240" w:lineRule="auto"/>
        <w:ind w:left="340" w:hanging="340"/>
        <w:jc w:val="both"/>
      </w:pPr>
      <w:r>
        <w:rPr>
          <w:rFonts w:ascii="TH SarabunPSK" w:hAnsi="TH SarabunPSK" w:cs="TH SarabunPSK"/>
          <w:b w:val="0"/>
          <w:i w:val="0"/>
          <w:sz w:val="28"/>
          <w:szCs w:val="28"/>
        </w:rPr>
        <w:t>[3] F. Pendlebury, F. Pierazzi, R. Jordaney, J. Kinder, and L. Cavallaro, "TESSERACT: Eliminating Experimental Bias in Malware Classification across Space and Time," in Proc. 28th USENIX Security Symposium, 2019, pp. 729-746.</w:t>
      </w:r>
    </w:p>
    <w:p>
      <w:pPr>
        <w:spacing w:before="0" w:after="40" w:line="240" w:lineRule="auto"/>
        <w:ind w:left="340" w:hanging="340"/>
        <w:jc w:val="both"/>
      </w:pPr>
      <w:r>
        <w:rPr>
          <w:rFonts w:ascii="TH SarabunPSK" w:hAnsi="TH SarabunPSK" w:cs="TH SarabunPSK"/>
          <w:b w:val="0"/>
          <w:i w:val="0"/>
          <w:sz w:val="28"/>
          <w:szCs w:val="28"/>
        </w:rPr>
        <w:t>[4] B. A. Pratomo, S. A. Kosim, H. Studiawan, and A. O. Prabowo, "BarongTrace: A Malware Event Log Dataset for Linux," in Advanced Information Networking and Applications, LNDECT, vol. 202, pp. 48-60, 2024.</w:t>
      </w:r>
    </w:p>
    <w:p>
      <w:pPr>
        <w:spacing w:before="0" w:after="40" w:line="240" w:lineRule="auto"/>
        <w:ind w:left="340" w:hanging="340"/>
        <w:jc w:val="both"/>
      </w:pPr>
      <w:r>
        <w:rPr>
          <w:rFonts w:ascii="TH SarabunPSK" w:hAnsi="TH SarabunPSK" w:cs="TH SarabunPSK"/>
          <w:b w:val="0"/>
          <w:i w:val="0"/>
          <w:sz w:val="28"/>
          <w:szCs w:val="28"/>
        </w:rPr>
        <w:t>[5] R. V. Mahmoud, M. Anagnostopoulos, S. Pastrana, and J. M. Pedersen, "Redefining Malware Sandboxing: Enhancing Analysis Through Sysmon and ELK Integration," IEEE Access, vol. 12, pp. 68624-68636, 2024.</w:t>
      </w:r>
    </w:p>
    <w:p>
      <w:pPr>
        <w:spacing w:before="0" w:after="40" w:line="240" w:lineRule="auto"/>
        <w:ind w:left="340" w:hanging="340"/>
        <w:jc w:val="both"/>
      </w:pPr>
      <w:r>
        <w:rPr>
          <w:rFonts w:ascii="TH SarabunPSK" w:hAnsi="TH SarabunPSK" w:cs="TH SarabunPSK"/>
          <w:b w:val="0"/>
          <w:i w:val="0"/>
          <w:sz w:val="28"/>
          <w:szCs w:val="28"/>
        </w:rPr>
        <w:t>[6] D. Sgandurra, L. Munoz-Gonzalez, R. Mohsen, and E. C. Lupu, "Automated Dynamic Analysis of Ransomware: Benefits, Limitations and use for Detection," arXiv:1609.03020, 2016.</w:t>
      </w:r>
    </w:p>
    <w:p>
      <w:pPr>
        <w:spacing w:before="0" w:after="40" w:line="240" w:lineRule="auto"/>
        <w:ind w:left="340" w:hanging="340"/>
        <w:jc w:val="both"/>
      </w:pPr>
      <w:r>
        <w:rPr>
          <w:rFonts w:ascii="TH SarabunPSK" w:hAnsi="TH SarabunPSK" w:cs="TH SarabunPSK"/>
          <w:b w:val="0"/>
          <w:i w:val="0"/>
          <w:sz w:val="28"/>
          <w:szCs w:val="28"/>
        </w:rPr>
        <w:t>[7] J. A. Herrera-Silva and M. Hernandez-Alvarez, "Dynamic Feature Dataset for Ransomware Detection Using Machine Learning Algorithms," Sensors, vol. 23, no. 3, 1053, 2023.</w:t>
      </w:r>
    </w:p>
    <w:p>
      <w:pPr>
        <w:spacing w:before="0" w:after="40" w:line="240" w:lineRule="auto"/>
        <w:ind w:left="340" w:hanging="340"/>
        <w:jc w:val="both"/>
      </w:pPr>
      <w:r>
        <w:rPr>
          <w:rFonts w:ascii="TH SarabunPSK" w:hAnsi="TH SarabunPSK" w:cs="TH SarabunPSK"/>
          <w:b w:val="0"/>
          <w:i w:val="0"/>
          <w:sz w:val="28"/>
          <w:szCs w:val="28"/>
        </w:rPr>
        <w:t>[8] R. Vinayakumar, M. Alazab, K. P. Soman, P. Poornachandran, and S. Venkatraman, "Robust Intelligent Malware Detection Using Deep Learning," IEEE Access, vol. 7, pp. 46717-46738, 2019.</w:t>
      </w:r>
    </w:p>
    <w:p>
      <w:pPr>
        <w:spacing w:before="0" w:after="40" w:line="240" w:lineRule="auto"/>
        <w:ind w:left="340" w:hanging="340"/>
        <w:jc w:val="both"/>
      </w:pPr>
      <w:r>
        <w:rPr>
          <w:rFonts w:ascii="TH SarabunPSK" w:hAnsi="TH SarabunPSK" w:cs="TH SarabunPSK"/>
          <w:b w:val="0"/>
          <w:i w:val="0"/>
          <w:sz w:val="28"/>
          <w:szCs w:val="28"/>
        </w:rPr>
        <w:t>[9] B. A. Pratomo et al., "Enhancing Enterprise Network Security: Comparing Machine-Level and Process-Level Analysis for Dynamic Malware Detection," arXiv:2310.18165, 2023.</w:t>
      </w:r>
    </w:p>
    <w:p>
      <w:pPr>
        <w:spacing w:before="0" w:after="40" w:line="240" w:lineRule="auto"/>
        <w:ind w:left="340" w:hanging="340"/>
        <w:jc w:val="both"/>
      </w:pPr>
      <w:r>
        <w:rPr>
          <w:rFonts w:ascii="TH SarabunPSK" w:hAnsi="TH SarabunPSK" w:cs="TH SarabunPSK"/>
          <w:b w:val="0"/>
          <w:i w:val="0"/>
          <w:sz w:val="28"/>
          <w:szCs w:val="28"/>
        </w:rPr>
        <w:t>[10] X. Han, T. Pasquier, A. Bates, J. Mickens, and M. Seltzer, "UNICORN: Runtime Provenance-Based Detector for Advanced Persistent Threats," in Proc. NDSS Symposium, 2020.</w:t>
      </w:r>
    </w:p>
    <w:p>
      <w:pPr>
        <w:spacing w:before="0" w:after="40" w:line="240" w:lineRule="auto"/>
        <w:ind w:left="340" w:hanging="340"/>
        <w:jc w:val="both"/>
      </w:pPr>
      <w:r>
        <w:rPr>
          <w:rFonts w:ascii="TH SarabunPSK" w:hAnsi="TH SarabunPSK" w:cs="TH SarabunPSK"/>
          <w:b w:val="0"/>
          <w:i w:val="0"/>
          <w:sz w:val="28"/>
          <w:szCs w:val="28"/>
        </w:rPr>
        <w:t>[11] Z. Cheng et al., "Kairos: Practical Intrusion Detection and Investigation using Whole-system Provenance," in Proc. IEEE Symposium on Security and Privacy, 2024.</w:t>
      </w:r>
    </w:p>
    <w:p>
      <w:pPr>
        <w:spacing w:before="0" w:after="40" w:line="240" w:lineRule="auto"/>
        <w:ind w:left="340" w:hanging="340"/>
        <w:jc w:val="both"/>
      </w:pPr>
      <w:r>
        <w:rPr>
          <w:rFonts w:ascii="TH SarabunPSK" w:hAnsi="TH SarabunPSK" w:cs="TH SarabunPSK"/>
          <w:b w:val="0"/>
          <w:i w:val="0"/>
          <w:sz w:val="28"/>
          <w:szCs w:val="28"/>
        </w:rPr>
        <w:t>[12] L. Breiman, "Random Forests," Machine Learning, vol. 45, no. 1, pp. 5-32, 2001.</w:t>
      </w:r>
    </w:p>
    <w:p>
      <w:pPr>
        <w:spacing w:before="0" w:after="40" w:line="240" w:lineRule="auto"/>
        <w:ind w:left="340" w:hanging="340"/>
        <w:jc w:val="both"/>
      </w:pPr>
      <w:r>
        <w:rPr>
          <w:rFonts w:ascii="TH SarabunPSK" w:hAnsi="TH SarabunPSK" w:cs="TH SarabunPSK"/>
          <w:b w:val="0"/>
          <w:i w:val="0"/>
          <w:sz w:val="28"/>
          <w:szCs w:val="28"/>
        </w:rPr>
        <w:t>[13] F. T. Liu, K. M. Ting, and Z. H. Zhou, "Isolation Forest," in Proc. IEEE ICDM, 2008, pp. 413-422.</w:t>
      </w:r>
    </w:p>
    <w:p>
      <w:pPr>
        <w:spacing w:before="0" w:after="40" w:line="240" w:lineRule="auto"/>
        <w:ind w:left="340" w:hanging="340"/>
        <w:jc w:val="both"/>
      </w:pPr>
      <w:r>
        <w:rPr>
          <w:rFonts w:ascii="TH SarabunPSK" w:hAnsi="TH SarabunPSK" w:cs="TH SarabunPSK"/>
          <w:b w:val="0"/>
          <w:i w:val="0"/>
          <w:sz w:val="28"/>
          <w:szCs w:val="28"/>
        </w:rPr>
        <w:t>[14] M. M. Breunig, H. P. Kriegel, R. T. Ng, and J. Sander, "LOF: Identifying Density-Based Local Outliers," in Proc. ACM SIGMOD, 2000, pp. 93-104.</w:t>
      </w:r>
    </w:p>
    <w:p>
      <w:pPr>
        <w:spacing w:before="0" w:after="40" w:line="240" w:lineRule="auto"/>
        <w:ind w:left="340" w:hanging="340"/>
        <w:jc w:val="both"/>
      </w:pPr>
      <w:r>
        <w:rPr>
          <w:rFonts w:ascii="TH SarabunPSK" w:hAnsi="TH SarabunPSK" w:cs="TH SarabunPSK"/>
          <w:b w:val="0"/>
          <w:i w:val="0"/>
          <w:sz w:val="28"/>
          <w:szCs w:val="28"/>
        </w:rPr>
        <w:t>[15] B. Scholkopf, J. C. Platt, J. Shawe-Taylor, A. J. Smola, and R. C. Williamson, "Estimating the Support of a High-Dimensional Distribution," Neural Computation, vol. 13, no. 7, pp. 1443-1471, 2001.</w:t>
      </w:r>
    </w:p>
    <w:p>
      <w:pPr>
        <w:spacing w:before="0" w:after="40" w:line="240" w:lineRule="auto"/>
        <w:ind w:left="340" w:hanging="340"/>
        <w:jc w:val="both"/>
      </w:pPr>
      <w:r>
        <w:rPr>
          <w:rFonts w:ascii="TH SarabunPSK" w:hAnsi="TH SarabunPSK" w:cs="TH SarabunPSK"/>
          <w:b w:val="0"/>
          <w:i w:val="0"/>
          <w:sz w:val="28"/>
          <w:szCs w:val="28"/>
        </w:rPr>
        <w:t>[16] C. Cortes and V. Vapnik, "Support-Vector Networks," Machine Learning, vol. 20, no. 3, pp. 273-297, 1995.</w:t>
      </w:r>
    </w:p>
    <w:p>
      <w:pPr>
        <w:spacing w:before="0" w:after="40" w:line="240" w:lineRule="auto"/>
        <w:ind w:left="340" w:hanging="340"/>
        <w:jc w:val="both"/>
      </w:pPr>
      <w:r>
        <w:rPr>
          <w:rFonts w:ascii="TH SarabunPSK" w:hAnsi="TH SarabunPSK" w:cs="TH SarabunPSK"/>
          <w:b w:val="0"/>
          <w:i w:val="0"/>
          <w:sz w:val="28"/>
          <w:szCs w:val="28"/>
        </w:rPr>
        <w:t>[17] V. Chandola, A. Banerjee, and V. Kumar, "Anomaly Detection: A Survey," ACM Computing Surveys, vol. 41, no. 3, pp. 1-58, 2009.</w:t>
      </w:r>
    </w:p>
    <w:p>
      <w:pPr>
        <w:spacing w:before="0" w:after="40" w:line="240" w:lineRule="auto"/>
        <w:ind w:left="340" w:hanging="340"/>
        <w:jc w:val="both"/>
      </w:pPr>
      <w:r>
        <w:rPr>
          <w:rFonts w:ascii="TH SarabunPSK" w:hAnsi="TH SarabunPSK" w:cs="TH SarabunPSK"/>
          <w:b w:val="0"/>
          <w:i w:val="0"/>
          <w:sz w:val="28"/>
          <w:szCs w:val="28"/>
        </w:rPr>
        <w:t>[18] N. V. Chawla, K. W. Bowyer, L. O. Hall, and W. P. Kegelmeyer, "SMOTE: Synthetic Minority Over-sampling Technique," Journal of Artificial Intelligence Research, vol. 16, pp. 321-357, 2002.</w:t>
      </w:r>
    </w:p>
    <w:p>
      <w:pPr>
        <w:spacing w:before="0" w:after="40" w:line="240" w:lineRule="auto"/>
        <w:ind w:left="340" w:hanging="340"/>
        <w:jc w:val="both"/>
      </w:pPr>
      <w:r>
        <w:rPr>
          <w:rFonts w:ascii="TH SarabunPSK" w:hAnsi="TH SarabunPSK" w:cs="TH SarabunPSK"/>
          <w:b w:val="0"/>
          <w:i w:val="0"/>
          <w:sz w:val="28"/>
          <w:szCs w:val="28"/>
        </w:rPr>
        <w:t>[19] F. Pedregosa et al., "Scikit-learn: Machine Learning in Python," Journal of Machine Learning Research, vol. 12, pp. 2825-2830, 2011.</w:t>
      </w:r>
    </w:p>
    <w:p>
      <w:pPr>
        <w:spacing w:before="0" w:after="40" w:line="240" w:lineRule="auto"/>
        <w:ind w:left="340" w:hanging="340"/>
        <w:jc w:val="both"/>
      </w:pPr>
      <w:r>
        <w:rPr>
          <w:rFonts w:ascii="TH SarabunPSK" w:hAnsi="TH SarabunPSK" w:cs="TH SarabunPSK"/>
          <w:b w:val="0"/>
          <w:i w:val="0"/>
          <w:sz w:val="28"/>
          <w:szCs w:val="28"/>
        </w:rPr>
        <w:t>[20] M. Russinovich and T. Garnier, "Sysmon (System Monitor)," Microsoft Sysinternals, 2024. [Online]. Available: https://learn.microsoft.com/sysinternals/downloads/sysmon</w:t>
      </w:r>
    </w:p>
    <w:p>
      <w:pPr>
        <w:spacing w:before="0" w:after="40" w:line="240" w:lineRule="auto"/>
        <w:ind w:left="340" w:hanging="340"/>
        <w:jc w:val="both"/>
      </w:pPr>
      <w:r>
        <w:rPr>
          <w:rFonts w:ascii="TH SarabunPSK" w:hAnsi="TH SarabunPSK" w:cs="TH SarabunPSK"/>
          <w:b w:val="0"/>
          <w:i w:val="0"/>
          <w:sz w:val="28"/>
          <w:szCs w:val="28"/>
        </w:rPr>
        <w:t>[21] B. E. Strom et al., "MITRE ATT&amp;CK: Design and Philosophy," The MITRE Corporation, 2020.</w:t>
      </w:r>
    </w:p>
    <w:p>
      <w:pPr>
        <w:spacing w:before="0" w:after="40" w:line="240" w:lineRule="auto"/>
        <w:ind w:left="340" w:hanging="340"/>
        <w:jc w:val="both"/>
      </w:pPr>
      <w:r>
        <w:rPr>
          <w:rFonts w:ascii="TH SarabunPSK" w:hAnsi="TH SarabunPSK" w:cs="TH SarabunPSK"/>
          <w:b w:val="0"/>
          <w:i w:val="0"/>
          <w:sz w:val="28"/>
          <w:szCs w:val="28"/>
        </w:rPr>
        <w:t>[22] Red Canary, "Atomic Red Team," GitHub repository, 2024. [Online]. Available: https://github.com/redcanaryco/atomic-red-team</w:t>
      </w:r>
    </w:p>
    <w:sectPr w:rsidR="0028328D" w:rsidRPr="00C2729D" w:rsidSect="00152A67">
      <w:type w:val="continuous"/>
      <w:pgSz w:w="11906" w:h="16838" w:code="9"/>
      <w:pgMar w:top="1701" w:right="1134" w:bottom="1417" w:left="1134" w:header="561" w:footer="56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3A966" w14:textId="77777777" w:rsidR="001E00EF" w:rsidRDefault="001E00EF">
      <w:r>
        <w:separator/>
      </w:r>
    </w:p>
  </w:endnote>
  <w:endnote w:type="continuationSeparator" w:id="0">
    <w:p w14:paraId="208F4DF0" w14:textId="77777777" w:rsidR="001E00EF" w:rsidRDefault="001E0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H SarabunPSK">
    <w:altName w:val="TH SarabunPSK"/>
    <w:charset w:val="DE"/>
    <w:family w:val="swiss"/>
    <w:pitch w:val="variable"/>
    <w:sig w:usb0="01000003" w:usb1="00000000" w:usb2="00000000" w:usb3="00000000" w:csb0="000101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BA144" w14:textId="17C443B1" w:rsidR="00685FF7" w:rsidRDefault="00685FF7">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2A54B" w14:textId="77777777" w:rsidR="001E00EF" w:rsidRDefault="001E00EF">
      <w:r>
        <w:separator/>
      </w:r>
    </w:p>
  </w:footnote>
  <w:footnote w:type="continuationSeparator" w:id="0">
    <w:p w14:paraId="217A8476" w14:textId="77777777" w:rsidR="001E00EF" w:rsidRDefault="001E00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441F1" w14:textId="690A3A46" w:rsidR="008B5DBE" w:rsidRPr="0022467F" w:rsidRDefault="0022467F" w:rsidP="008B5DBE">
    <w:pPr>
      <w:pStyle w:val="Caption"/>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 202</w:t>
    </w:r>
    <w:r w:rsidRPr="0022467F">
      <w:rPr>
        <w:rFonts w:ascii="TH SarabunPSK" w:hAnsi="TH SarabunPSK" w:cs="TH SarabunPSK"/>
        <w:sz w:val="28"/>
        <w:szCs w:val="28"/>
        <w:lang w:bidi="th-TH"/>
      </w:rPr>
      <w:t>X</w:t>
    </w:r>
    <w:r w:rsidRPr="0022467F">
      <w:rPr>
        <w:rFonts w:ascii="TH SarabunPSK" w:hAnsi="TH SarabunPSK" w:cs="TH SarabunPSK"/>
        <w:sz w:val="28"/>
        <w:szCs w:val="28"/>
        <w:lang w:bidi="th-TH"/>
      </w:rPr>
      <w:t>)</w:t>
    </w:r>
  </w:p>
  <w:p w14:paraId="34CE0A41" w14:textId="77777777" w:rsidR="006F6574" w:rsidRPr="003E3EEB" w:rsidRDefault="006F6574">
    <w:pPr>
      <w:pStyle w:val="Header"/>
      <w:rPr>
        <w:cs/>
        <w:lang w:val="en-US" w:bidi="th-TH"/>
      </w:rPr>
    </w:pPr>
  </w:p>
  <w:p w14:paraId="62EBF3C5" w14:textId="77777777" w:rsidR="006F6574" w:rsidRDefault="006F65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E16EC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7CCDC3C"/>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FFA2B23C"/>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C8CCB7D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417451A2"/>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29F404F2"/>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6828C2"/>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A848478"/>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38CC3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0AE42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9DA41EAE"/>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33EA5A59"/>
    <w:multiLevelType w:val="hybridMultilevel"/>
    <w:tmpl w:val="380E034C"/>
    <w:lvl w:ilvl="0" w:tplc="32D0A6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0" w:nlCheck="1" w:checkStyle="0"/>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1"/>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Mzc1NjUxNTIwMzZV0lEKTi0uzszPAykwrAUAUJsviiwAAAA="/>
  </w:docVars>
  <w:rsids>
    <w:rsidRoot w:val="003D04B2"/>
    <w:rsid w:val="00006DA4"/>
    <w:rsid w:val="00007636"/>
    <w:rsid w:val="00017187"/>
    <w:rsid w:val="00017A43"/>
    <w:rsid w:val="00017DFD"/>
    <w:rsid w:val="00020C72"/>
    <w:rsid w:val="00022EA3"/>
    <w:rsid w:val="00023DC1"/>
    <w:rsid w:val="00023E4A"/>
    <w:rsid w:val="00024088"/>
    <w:rsid w:val="0002649C"/>
    <w:rsid w:val="0003261D"/>
    <w:rsid w:val="000326BD"/>
    <w:rsid w:val="000374F0"/>
    <w:rsid w:val="00037995"/>
    <w:rsid w:val="00037DF6"/>
    <w:rsid w:val="00057388"/>
    <w:rsid w:val="000638FF"/>
    <w:rsid w:val="00077200"/>
    <w:rsid w:val="00082775"/>
    <w:rsid w:val="00093E6E"/>
    <w:rsid w:val="0009628E"/>
    <w:rsid w:val="000B1FB0"/>
    <w:rsid w:val="000B51C0"/>
    <w:rsid w:val="000C32F5"/>
    <w:rsid w:val="000C5DE7"/>
    <w:rsid w:val="000D4F8C"/>
    <w:rsid w:val="000D6511"/>
    <w:rsid w:val="000E7785"/>
    <w:rsid w:val="000F29D3"/>
    <w:rsid w:val="00103D36"/>
    <w:rsid w:val="00104241"/>
    <w:rsid w:val="00106298"/>
    <w:rsid w:val="001209FB"/>
    <w:rsid w:val="00121E0D"/>
    <w:rsid w:val="00123438"/>
    <w:rsid w:val="00123A6A"/>
    <w:rsid w:val="00124BCA"/>
    <w:rsid w:val="00127808"/>
    <w:rsid w:val="00144764"/>
    <w:rsid w:val="00152A67"/>
    <w:rsid w:val="00175150"/>
    <w:rsid w:val="00175E66"/>
    <w:rsid w:val="00186C34"/>
    <w:rsid w:val="00192C0C"/>
    <w:rsid w:val="0019472E"/>
    <w:rsid w:val="00195249"/>
    <w:rsid w:val="001A0689"/>
    <w:rsid w:val="001A7560"/>
    <w:rsid w:val="001A7704"/>
    <w:rsid w:val="001B65EE"/>
    <w:rsid w:val="001C0B78"/>
    <w:rsid w:val="001C56EC"/>
    <w:rsid w:val="001D0B28"/>
    <w:rsid w:val="001D1F4D"/>
    <w:rsid w:val="001D22D7"/>
    <w:rsid w:val="001D2F59"/>
    <w:rsid w:val="001D4CC1"/>
    <w:rsid w:val="001D6908"/>
    <w:rsid w:val="001E00EF"/>
    <w:rsid w:val="001E039C"/>
    <w:rsid w:val="001F5C58"/>
    <w:rsid w:val="001F74C1"/>
    <w:rsid w:val="00214F5E"/>
    <w:rsid w:val="00214F80"/>
    <w:rsid w:val="0022078D"/>
    <w:rsid w:val="0022467F"/>
    <w:rsid w:val="00230CC1"/>
    <w:rsid w:val="00234B5A"/>
    <w:rsid w:val="0024620B"/>
    <w:rsid w:val="00250221"/>
    <w:rsid w:val="002503FB"/>
    <w:rsid w:val="002512CB"/>
    <w:rsid w:val="00254B3A"/>
    <w:rsid w:val="00254CD1"/>
    <w:rsid w:val="00257082"/>
    <w:rsid w:val="002607F1"/>
    <w:rsid w:val="00260F57"/>
    <w:rsid w:val="0026108A"/>
    <w:rsid w:val="00261560"/>
    <w:rsid w:val="00261A7F"/>
    <w:rsid w:val="00263324"/>
    <w:rsid w:val="00265252"/>
    <w:rsid w:val="00275119"/>
    <w:rsid w:val="0028328D"/>
    <w:rsid w:val="00284D1D"/>
    <w:rsid w:val="00292F14"/>
    <w:rsid w:val="00294A41"/>
    <w:rsid w:val="0029520E"/>
    <w:rsid w:val="002A545B"/>
    <w:rsid w:val="002B4911"/>
    <w:rsid w:val="002B798F"/>
    <w:rsid w:val="002C0E44"/>
    <w:rsid w:val="002C1B63"/>
    <w:rsid w:val="002C6DFC"/>
    <w:rsid w:val="002D76F4"/>
    <w:rsid w:val="002E289D"/>
    <w:rsid w:val="002E3093"/>
    <w:rsid w:val="002F5387"/>
    <w:rsid w:val="002F5576"/>
    <w:rsid w:val="002F6EA2"/>
    <w:rsid w:val="00307F13"/>
    <w:rsid w:val="00311CB3"/>
    <w:rsid w:val="0032033F"/>
    <w:rsid w:val="003261C8"/>
    <w:rsid w:val="003277F8"/>
    <w:rsid w:val="00332134"/>
    <w:rsid w:val="00332926"/>
    <w:rsid w:val="003347C8"/>
    <w:rsid w:val="003350FE"/>
    <w:rsid w:val="003463DC"/>
    <w:rsid w:val="00351F7B"/>
    <w:rsid w:val="0036023D"/>
    <w:rsid w:val="00360D81"/>
    <w:rsid w:val="00364269"/>
    <w:rsid w:val="00364BC7"/>
    <w:rsid w:val="0036678C"/>
    <w:rsid w:val="0038067A"/>
    <w:rsid w:val="00381289"/>
    <w:rsid w:val="00386907"/>
    <w:rsid w:val="003963A8"/>
    <w:rsid w:val="003A38B0"/>
    <w:rsid w:val="003A5A1E"/>
    <w:rsid w:val="003B0453"/>
    <w:rsid w:val="003C562B"/>
    <w:rsid w:val="003D04B2"/>
    <w:rsid w:val="003E2A14"/>
    <w:rsid w:val="003E387F"/>
    <w:rsid w:val="003E3EEB"/>
    <w:rsid w:val="003F12EB"/>
    <w:rsid w:val="003F6025"/>
    <w:rsid w:val="003F70B5"/>
    <w:rsid w:val="00403120"/>
    <w:rsid w:val="0041285C"/>
    <w:rsid w:val="004238FD"/>
    <w:rsid w:val="0042454B"/>
    <w:rsid w:val="00425EDF"/>
    <w:rsid w:val="00431749"/>
    <w:rsid w:val="00434F70"/>
    <w:rsid w:val="00435DAF"/>
    <w:rsid w:val="00440B91"/>
    <w:rsid w:val="00443F2A"/>
    <w:rsid w:val="00445137"/>
    <w:rsid w:val="00447694"/>
    <w:rsid w:val="00452A1E"/>
    <w:rsid w:val="00454626"/>
    <w:rsid w:val="0045520F"/>
    <w:rsid w:val="004552F3"/>
    <w:rsid w:val="00461DE7"/>
    <w:rsid w:val="00462E85"/>
    <w:rsid w:val="00467CFD"/>
    <w:rsid w:val="00473AAE"/>
    <w:rsid w:val="004778D5"/>
    <w:rsid w:val="004937E0"/>
    <w:rsid w:val="004946C4"/>
    <w:rsid w:val="00494E5B"/>
    <w:rsid w:val="004B4C7C"/>
    <w:rsid w:val="004C1963"/>
    <w:rsid w:val="004C345B"/>
    <w:rsid w:val="004C531C"/>
    <w:rsid w:val="004D4632"/>
    <w:rsid w:val="004E47DF"/>
    <w:rsid w:val="004F0CFE"/>
    <w:rsid w:val="0050539B"/>
    <w:rsid w:val="005114FA"/>
    <w:rsid w:val="00514491"/>
    <w:rsid w:val="00526ED3"/>
    <w:rsid w:val="005310CC"/>
    <w:rsid w:val="005353AA"/>
    <w:rsid w:val="00542ED8"/>
    <w:rsid w:val="00543EAC"/>
    <w:rsid w:val="00545B9C"/>
    <w:rsid w:val="00550255"/>
    <w:rsid w:val="005559C7"/>
    <w:rsid w:val="0055687C"/>
    <w:rsid w:val="00557CF5"/>
    <w:rsid w:val="00564211"/>
    <w:rsid w:val="0057692C"/>
    <w:rsid w:val="00584926"/>
    <w:rsid w:val="0058638D"/>
    <w:rsid w:val="005875BA"/>
    <w:rsid w:val="005905F9"/>
    <w:rsid w:val="00591DC4"/>
    <w:rsid w:val="00591DD7"/>
    <w:rsid w:val="00594298"/>
    <w:rsid w:val="005958A9"/>
    <w:rsid w:val="005A6A7D"/>
    <w:rsid w:val="005B12CF"/>
    <w:rsid w:val="005B5667"/>
    <w:rsid w:val="005C550E"/>
    <w:rsid w:val="005C708E"/>
    <w:rsid w:val="005C765A"/>
    <w:rsid w:val="005D662E"/>
    <w:rsid w:val="005D79C1"/>
    <w:rsid w:val="005E11C4"/>
    <w:rsid w:val="005E6016"/>
    <w:rsid w:val="005E6436"/>
    <w:rsid w:val="005F146F"/>
    <w:rsid w:val="005F3FFB"/>
    <w:rsid w:val="006009F0"/>
    <w:rsid w:val="00603651"/>
    <w:rsid w:val="00605DF1"/>
    <w:rsid w:val="00607CA9"/>
    <w:rsid w:val="00633572"/>
    <w:rsid w:val="006510C1"/>
    <w:rsid w:val="00654007"/>
    <w:rsid w:val="00656215"/>
    <w:rsid w:val="00656923"/>
    <w:rsid w:val="00660459"/>
    <w:rsid w:val="00660BE5"/>
    <w:rsid w:val="00662472"/>
    <w:rsid w:val="0066531B"/>
    <w:rsid w:val="006666E4"/>
    <w:rsid w:val="006729A5"/>
    <w:rsid w:val="00674C6F"/>
    <w:rsid w:val="00675670"/>
    <w:rsid w:val="00681812"/>
    <w:rsid w:val="0068199B"/>
    <w:rsid w:val="00685913"/>
    <w:rsid w:val="00685FF7"/>
    <w:rsid w:val="0068775C"/>
    <w:rsid w:val="00687F9E"/>
    <w:rsid w:val="00690BF0"/>
    <w:rsid w:val="00692DF3"/>
    <w:rsid w:val="00693491"/>
    <w:rsid w:val="00693740"/>
    <w:rsid w:val="00694A60"/>
    <w:rsid w:val="006A02B9"/>
    <w:rsid w:val="006B73AA"/>
    <w:rsid w:val="006B7DCF"/>
    <w:rsid w:val="006B7F24"/>
    <w:rsid w:val="006C04AD"/>
    <w:rsid w:val="006C2601"/>
    <w:rsid w:val="006C3A5F"/>
    <w:rsid w:val="006D0AA2"/>
    <w:rsid w:val="006D4BED"/>
    <w:rsid w:val="006E04B4"/>
    <w:rsid w:val="006E32C2"/>
    <w:rsid w:val="006F6574"/>
    <w:rsid w:val="006F79F3"/>
    <w:rsid w:val="00707859"/>
    <w:rsid w:val="007172E8"/>
    <w:rsid w:val="00722828"/>
    <w:rsid w:val="007251BB"/>
    <w:rsid w:val="007324FA"/>
    <w:rsid w:val="00734A13"/>
    <w:rsid w:val="0073550B"/>
    <w:rsid w:val="00744BE9"/>
    <w:rsid w:val="007544D9"/>
    <w:rsid w:val="00754CCB"/>
    <w:rsid w:val="00757D8D"/>
    <w:rsid w:val="00761BAD"/>
    <w:rsid w:val="0076379A"/>
    <w:rsid w:val="007652C5"/>
    <w:rsid w:val="007656D3"/>
    <w:rsid w:val="0076583D"/>
    <w:rsid w:val="007725EF"/>
    <w:rsid w:val="00776045"/>
    <w:rsid w:val="007779C5"/>
    <w:rsid w:val="007779CE"/>
    <w:rsid w:val="00781A58"/>
    <w:rsid w:val="0078500C"/>
    <w:rsid w:val="00785A73"/>
    <w:rsid w:val="00794A00"/>
    <w:rsid w:val="007979F3"/>
    <w:rsid w:val="007C1F35"/>
    <w:rsid w:val="007C2BFD"/>
    <w:rsid w:val="007C7316"/>
    <w:rsid w:val="007E22C0"/>
    <w:rsid w:val="007E3C65"/>
    <w:rsid w:val="007E65DC"/>
    <w:rsid w:val="007F04F9"/>
    <w:rsid w:val="007F1685"/>
    <w:rsid w:val="007F46CC"/>
    <w:rsid w:val="0080108C"/>
    <w:rsid w:val="00801ADE"/>
    <w:rsid w:val="00802A0D"/>
    <w:rsid w:val="0080332F"/>
    <w:rsid w:val="00807B4B"/>
    <w:rsid w:val="008119A7"/>
    <w:rsid w:val="00817414"/>
    <w:rsid w:val="0082081F"/>
    <w:rsid w:val="00823A84"/>
    <w:rsid w:val="00824861"/>
    <w:rsid w:val="00824B5B"/>
    <w:rsid w:val="0082574A"/>
    <w:rsid w:val="00827025"/>
    <w:rsid w:val="0083090E"/>
    <w:rsid w:val="00830A2D"/>
    <w:rsid w:val="00832CC3"/>
    <w:rsid w:val="008341D9"/>
    <w:rsid w:val="00850E6F"/>
    <w:rsid w:val="008515C5"/>
    <w:rsid w:val="008519DF"/>
    <w:rsid w:val="0087137B"/>
    <w:rsid w:val="00881C0C"/>
    <w:rsid w:val="0088541B"/>
    <w:rsid w:val="0089239D"/>
    <w:rsid w:val="00897875"/>
    <w:rsid w:val="008A27B1"/>
    <w:rsid w:val="008B2C47"/>
    <w:rsid w:val="008B3041"/>
    <w:rsid w:val="008B5DBE"/>
    <w:rsid w:val="008B6330"/>
    <w:rsid w:val="008B6507"/>
    <w:rsid w:val="008B7F7B"/>
    <w:rsid w:val="008E28F8"/>
    <w:rsid w:val="008E441B"/>
    <w:rsid w:val="008E60CE"/>
    <w:rsid w:val="008F0F0F"/>
    <w:rsid w:val="008F7E36"/>
    <w:rsid w:val="00901DB4"/>
    <w:rsid w:val="009022E2"/>
    <w:rsid w:val="00914F00"/>
    <w:rsid w:val="00927870"/>
    <w:rsid w:val="00943268"/>
    <w:rsid w:val="0094570A"/>
    <w:rsid w:val="00946207"/>
    <w:rsid w:val="009465A0"/>
    <w:rsid w:val="00952045"/>
    <w:rsid w:val="00954A12"/>
    <w:rsid w:val="0095626C"/>
    <w:rsid w:val="00960299"/>
    <w:rsid w:val="0096248D"/>
    <w:rsid w:val="00970F3C"/>
    <w:rsid w:val="0097584C"/>
    <w:rsid w:val="009768BB"/>
    <w:rsid w:val="00991ED8"/>
    <w:rsid w:val="00993877"/>
    <w:rsid w:val="00994E9B"/>
    <w:rsid w:val="009A0BC2"/>
    <w:rsid w:val="009A75A3"/>
    <w:rsid w:val="009B023E"/>
    <w:rsid w:val="009B2EC1"/>
    <w:rsid w:val="009B5B75"/>
    <w:rsid w:val="009C746B"/>
    <w:rsid w:val="009D430B"/>
    <w:rsid w:val="009D4326"/>
    <w:rsid w:val="009D4D14"/>
    <w:rsid w:val="009D71C7"/>
    <w:rsid w:val="009E4AF5"/>
    <w:rsid w:val="009F0CC2"/>
    <w:rsid w:val="009F2368"/>
    <w:rsid w:val="009F33DC"/>
    <w:rsid w:val="009F4D16"/>
    <w:rsid w:val="009F5511"/>
    <w:rsid w:val="00A2707E"/>
    <w:rsid w:val="00A3081D"/>
    <w:rsid w:val="00A31A85"/>
    <w:rsid w:val="00A31CFD"/>
    <w:rsid w:val="00A335C4"/>
    <w:rsid w:val="00A3471F"/>
    <w:rsid w:val="00A34751"/>
    <w:rsid w:val="00A44896"/>
    <w:rsid w:val="00A64F07"/>
    <w:rsid w:val="00A71B87"/>
    <w:rsid w:val="00A73E1F"/>
    <w:rsid w:val="00A7569B"/>
    <w:rsid w:val="00A839B9"/>
    <w:rsid w:val="00A86D66"/>
    <w:rsid w:val="00A9145A"/>
    <w:rsid w:val="00A94607"/>
    <w:rsid w:val="00AA2B66"/>
    <w:rsid w:val="00AB1922"/>
    <w:rsid w:val="00AB7F1D"/>
    <w:rsid w:val="00AC0AD2"/>
    <w:rsid w:val="00AC1929"/>
    <w:rsid w:val="00AC4B90"/>
    <w:rsid w:val="00AD495A"/>
    <w:rsid w:val="00AD55E4"/>
    <w:rsid w:val="00AF28A3"/>
    <w:rsid w:val="00AF4E79"/>
    <w:rsid w:val="00AF735F"/>
    <w:rsid w:val="00B00EFF"/>
    <w:rsid w:val="00B018AB"/>
    <w:rsid w:val="00B1207D"/>
    <w:rsid w:val="00B17EBF"/>
    <w:rsid w:val="00B22633"/>
    <w:rsid w:val="00B27DD5"/>
    <w:rsid w:val="00B33788"/>
    <w:rsid w:val="00B40057"/>
    <w:rsid w:val="00B40F5C"/>
    <w:rsid w:val="00B45C87"/>
    <w:rsid w:val="00B60018"/>
    <w:rsid w:val="00B63C90"/>
    <w:rsid w:val="00B64106"/>
    <w:rsid w:val="00B653D8"/>
    <w:rsid w:val="00B8187D"/>
    <w:rsid w:val="00B821F0"/>
    <w:rsid w:val="00B83BCC"/>
    <w:rsid w:val="00B93F92"/>
    <w:rsid w:val="00B96A64"/>
    <w:rsid w:val="00BA2501"/>
    <w:rsid w:val="00BB5D10"/>
    <w:rsid w:val="00BB6DFF"/>
    <w:rsid w:val="00BB757E"/>
    <w:rsid w:val="00BC0AF2"/>
    <w:rsid w:val="00BC1630"/>
    <w:rsid w:val="00BC430D"/>
    <w:rsid w:val="00BC54EE"/>
    <w:rsid w:val="00BE220F"/>
    <w:rsid w:val="00BE6A81"/>
    <w:rsid w:val="00BF045E"/>
    <w:rsid w:val="00BF30E1"/>
    <w:rsid w:val="00C05AEC"/>
    <w:rsid w:val="00C07885"/>
    <w:rsid w:val="00C12053"/>
    <w:rsid w:val="00C2207D"/>
    <w:rsid w:val="00C2453A"/>
    <w:rsid w:val="00C2729D"/>
    <w:rsid w:val="00C27EBA"/>
    <w:rsid w:val="00C36423"/>
    <w:rsid w:val="00C374BD"/>
    <w:rsid w:val="00C437B2"/>
    <w:rsid w:val="00C47B43"/>
    <w:rsid w:val="00C517B3"/>
    <w:rsid w:val="00C55A95"/>
    <w:rsid w:val="00C612FB"/>
    <w:rsid w:val="00C61833"/>
    <w:rsid w:val="00C66431"/>
    <w:rsid w:val="00C72E9E"/>
    <w:rsid w:val="00C73552"/>
    <w:rsid w:val="00C75EDA"/>
    <w:rsid w:val="00C8451F"/>
    <w:rsid w:val="00CB51E4"/>
    <w:rsid w:val="00CC2897"/>
    <w:rsid w:val="00CC7E5F"/>
    <w:rsid w:val="00CD1219"/>
    <w:rsid w:val="00CD3F97"/>
    <w:rsid w:val="00CE658A"/>
    <w:rsid w:val="00CE6ECA"/>
    <w:rsid w:val="00CF0C87"/>
    <w:rsid w:val="00CF6980"/>
    <w:rsid w:val="00D0007C"/>
    <w:rsid w:val="00D02A77"/>
    <w:rsid w:val="00D05D39"/>
    <w:rsid w:val="00D15301"/>
    <w:rsid w:val="00D2093F"/>
    <w:rsid w:val="00D222D6"/>
    <w:rsid w:val="00D23648"/>
    <w:rsid w:val="00D31020"/>
    <w:rsid w:val="00D31913"/>
    <w:rsid w:val="00D31B25"/>
    <w:rsid w:val="00D336F6"/>
    <w:rsid w:val="00D3421C"/>
    <w:rsid w:val="00D34923"/>
    <w:rsid w:val="00D3771E"/>
    <w:rsid w:val="00D40285"/>
    <w:rsid w:val="00D52EA7"/>
    <w:rsid w:val="00D5628E"/>
    <w:rsid w:val="00D74855"/>
    <w:rsid w:val="00D75661"/>
    <w:rsid w:val="00D85118"/>
    <w:rsid w:val="00D933A7"/>
    <w:rsid w:val="00D948F5"/>
    <w:rsid w:val="00DA3EE4"/>
    <w:rsid w:val="00DA3EF3"/>
    <w:rsid w:val="00DA4654"/>
    <w:rsid w:val="00DA6BB0"/>
    <w:rsid w:val="00DB2045"/>
    <w:rsid w:val="00DB2E30"/>
    <w:rsid w:val="00DC1B15"/>
    <w:rsid w:val="00DC4BA3"/>
    <w:rsid w:val="00DC51D1"/>
    <w:rsid w:val="00DD05AF"/>
    <w:rsid w:val="00DD6992"/>
    <w:rsid w:val="00DF4635"/>
    <w:rsid w:val="00DF6704"/>
    <w:rsid w:val="00DF7A89"/>
    <w:rsid w:val="00E03EA8"/>
    <w:rsid w:val="00E05731"/>
    <w:rsid w:val="00E07D01"/>
    <w:rsid w:val="00E12F2B"/>
    <w:rsid w:val="00E2159A"/>
    <w:rsid w:val="00E3388C"/>
    <w:rsid w:val="00E35B2C"/>
    <w:rsid w:val="00E43837"/>
    <w:rsid w:val="00E46D15"/>
    <w:rsid w:val="00E542B4"/>
    <w:rsid w:val="00E66775"/>
    <w:rsid w:val="00E83997"/>
    <w:rsid w:val="00E9625E"/>
    <w:rsid w:val="00EA1DC3"/>
    <w:rsid w:val="00EB5657"/>
    <w:rsid w:val="00EB5C8C"/>
    <w:rsid w:val="00EC5C69"/>
    <w:rsid w:val="00ED1759"/>
    <w:rsid w:val="00ED355B"/>
    <w:rsid w:val="00ED5F08"/>
    <w:rsid w:val="00ED7C06"/>
    <w:rsid w:val="00EE5C24"/>
    <w:rsid w:val="00F14C6F"/>
    <w:rsid w:val="00F41187"/>
    <w:rsid w:val="00F46A1F"/>
    <w:rsid w:val="00F50B93"/>
    <w:rsid w:val="00F5768F"/>
    <w:rsid w:val="00F6143D"/>
    <w:rsid w:val="00F64EA4"/>
    <w:rsid w:val="00F7005E"/>
    <w:rsid w:val="00F710AA"/>
    <w:rsid w:val="00F7358D"/>
    <w:rsid w:val="00F737DA"/>
    <w:rsid w:val="00F738FB"/>
    <w:rsid w:val="00F757AA"/>
    <w:rsid w:val="00F766B4"/>
    <w:rsid w:val="00F80D96"/>
    <w:rsid w:val="00F85130"/>
    <w:rsid w:val="00F85A83"/>
    <w:rsid w:val="00F879B6"/>
    <w:rsid w:val="00F923A1"/>
    <w:rsid w:val="00FA1130"/>
    <w:rsid w:val="00FA5190"/>
    <w:rsid w:val="00FB0D42"/>
    <w:rsid w:val="00FD1C2F"/>
    <w:rsid w:val="00FE23ED"/>
    <w:rsid w:val="00FE5A62"/>
    <w:rsid w:val="00FF03D6"/>
    <w:rsid w:val="00FF0ED5"/>
    <w:rsid w:val="00FF7D6A"/>
    <w:rsid w:val="0A70134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F6614B"/>
  <w15:docId w15:val="{A488D3D9-C569-407C-9F52-1E40145C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3C"/>
    <w:rPr>
      <w:rFonts w:ascii="Angsana New" w:hAnsi="Angsana New"/>
      <w:sz w:val="24"/>
      <w:szCs w:val="24"/>
      <w:lang w:bidi="ar-SA"/>
    </w:rPr>
  </w:style>
  <w:style w:type="paragraph" w:styleId="Heading1">
    <w:name w:val="heading 1"/>
    <w:basedOn w:val="Normal"/>
    <w:next w:val="Normal"/>
    <w:qFormat/>
    <w:rsid w:val="00970F3C"/>
    <w:pPr>
      <w:keepNext/>
      <w:spacing w:before="60"/>
      <w:outlineLvl w:val="0"/>
    </w:pPr>
    <w:rPr>
      <w:rFonts w:ascii="Britannic Bold" w:hAnsi="Britannic Bold"/>
      <w:kern w:val="28"/>
    </w:rPr>
  </w:style>
  <w:style w:type="paragraph" w:styleId="Heading2">
    <w:name w:val="heading 2"/>
    <w:basedOn w:val="Normal"/>
    <w:next w:val="Normal"/>
    <w:qFormat/>
    <w:rsid w:val="00970F3C"/>
    <w:pPr>
      <w:keepNext/>
      <w:tabs>
        <w:tab w:val="left" w:pos="1440"/>
      </w:tabs>
      <w:spacing w:before="40"/>
      <w:ind w:firstLine="360"/>
      <w:outlineLvl w:val="1"/>
    </w:pPr>
    <w:rPr>
      <w:sz w:val="22"/>
    </w:rPr>
  </w:style>
  <w:style w:type="paragraph" w:styleId="Heading3">
    <w:name w:val="heading 3"/>
    <w:basedOn w:val="Normal"/>
    <w:next w:val="Normal"/>
    <w:qFormat/>
    <w:rsid w:val="00970F3C"/>
    <w:pPr>
      <w:keepNext/>
      <w:jc w:val="center"/>
      <w:outlineLvl w:val="2"/>
    </w:pPr>
    <w:rPr>
      <w:b/>
      <w:sz w:val="28"/>
    </w:rPr>
  </w:style>
  <w:style w:type="paragraph" w:styleId="Heading4">
    <w:name w:val="heading 4"/>
    <w:basedOn w:val="Normal"/>
    <w:next w:val="Normal"/>
    <w:qFormat/>
    <w:rsid w:val="00970F3C"/>
    <w:pPr>
      <w:keepNext/>
      <w:jc w:val="center"/>
      <w:outlineLvl w:val="3"/>
    </w:pPr>
    <w:rPr>
      <w:b/>
      <w:caps/>
    </w:rPr>
  </w:style>
  <w:style w:type="paragraph" w:styleId="Heading5">
    <w:name w:val="heading 5"/>
    <w:basedOn w:val="Normal"/>
    <w:next w:val="Normal"/>
    <w:qFormat/>
    <w:rsid w:val="00970F3C"/>
    <w:pPr>
      <w:spacing w:before="240" w:after="60"/>
      <w:outlineLvl w:val="4"/>
    </w:pPr>
    <w:rPr>
      <w:b/>
      <w:bCs/>
      <w:i/>
      <w:iCs/>
      <w:sz w:val="26"/>
      <w:szCs w:val="26"/>
    </w:rPr>
  </w:style>
  <w:style w:type="paragraph" w:styleId="Heading6">
    <w:name w:val="heading 6"/>
    <w:basedOn w:val="Normal"/>
    <w:next w:val="Normal"/>
    <w:qFormat/>
    <w:rsid w:val="00970F3C"/>
    <w:pPr>
      <w:spacing w:before="240" w:after="60"/>
      <w:outlineLvl w:val="5"/>
    </w:pPr>
    <w:rPr>
      <w:b/>
      <w:bCs/>
      <w:sz w:val="22"/>
      <w:szCs w:val="22"/>
    </w:rPr>
  </w:style>
  <w:style w:type="paragraph" w:styleId="Heading7">
    <w:name w:val="heading 7"/>
    <w:basedOn w:val="Normal"/>
    <w:next w:val="Normal"/>
    <w:qFormat/>
    <w:rsid w:val="00970F3C"/>
    <w:pPr>
      <w:spacing w:before="240" w:after="60"/>
      <w:outlineLvl w:val="6"/>
    </w:pPr>
  </w:style>
  <w:style w:type="paragraph" w:styleId="Heading8">
    <w:name w:val="heading 8"/>
    <w:basedOn w:val="Normal"/>
    <w:next w:val="Normal"/>
    <w:qFormat/>
    <w:rsid w:val="00970F3C"/>
    <w:pPr>
      <w:spacing w:before="240" w:after="60"/>
      <w:outlineLvl w:val="7"/>
    </w:pPr>
    <w:rPr>
      <w:i/>
      <w:iCs/>
    </w:rPr>
  </w:style>
  <w:style w:type="paragraph" w:styleId="Heading9">
    <w:name w:val="heading 9"/>
    <w:basedOn w:val="Normal"/>
    <w:next w:val="Normal"/>
    <w:qFormat/>
    <w:rsid w:val="00970F3C"/>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rsid w:val="00970F3C"/>
    <w:pPr>
      <w:tabs>
        <w:tab w:val="right" w:leader="dot" w:pos="3960"/>
      </w:tabs>
    </w:pPr>
  </w:style>
  <w:style w:type="paragraph" w:customStyle="1" w:styleId="ai2">
    <w:name w:val="ai2"/>
    <w:basedOn w:val="Normal"/>
    <w:rsid w:val="00970F3C"/>
    <w:pPr>
      <w:tabs>
        <w:tab w:val="right" w:leader="dot" w:pos="3960"/>
      </w:tabs>
    </w:pPr>
  </w:style>
  <w:style w:type="paragraph" w:customStyle="1" w:styleId="ArticleTitle">
    <w:name w:val="Article Title"/>
    <w:basedOn w:val="Normal"/>
    <w:rsid w:val="00970F3C"/>
    <w:pPr>
      <w:spacing w:before="60"/>
      <w:ind w:left="360"/>
    </w:pPr>
    <w:rPr>
      <w:sz w:val="21"/>
    </w:rPr>
  </w:style>
  <w:style w:type="paragraph" w:customStyle="1" w:styleId="Author">
    <w:name w:val="Author"/>
    <w:basedOn w:val="Normal"/>
    <w:rsid w:val="00970F3C"/>
    <w:pPr>
      <w:tabs>
        <w:tab w:val="right" w:leader="dot" w:pos="9360"/>
      </w:tabs>
      <w:ind w:firstLine="720"/>
    </w:pPr>
    <w:rPr>
      <w:i/>
      <w:sz w:val="21"/>
    </w:rPr>
  </w:style>
  <w:style w:type="paragraph" w:styleId="Header">
    <w:name w:val="header"/>
    <w:basedOn w:val="Normal"/>
    <w:link w:val="HeaderChar"/>
    <w:uiPriority w:val="99"/>
    <w:rsid w:val="00970F3C"/>
    <w:pPr>
      <w:tabs>
        <w:tab w:val="center" w:pos="4320"/>
        <w:tab w:val="right" w:pos="8640"/>
      </w:tabs>
    </w:pPr>
    <w:rPr>
      <w:lang w:val="x-none" w:eastAsia="x-none"/>
    </w:rPr>
  </w:style>
  <w:style w:type="paragraph" w:customStyle="1" w:styleId="PageNumber1">
    <w:name w:val="Page Number1"/>
    <w:basedOn w:val="Normal"/>
    <w:rsid w:val="00970F3C"/>
    <w:pPr>
      <w:jc w:val="center"/>
    </w:pPr>
    <w:rPr>
      <w:rFonts w:ascii="Times" w:hAnsi="Times"/>
    </w:rPr>
  </w:style>
  <w:style w:type="paragraph" w:styleId="Title">
    <w:name w:val="Title"/>
    <w:basedOn w:val="Normal"/>
    <w:qFormat/>
    <w:rsid w:val="00970F3C"/>
    <w:pPr>
      <w:jc w:val="center"/>
    </w:pPr>
    <w:rPr>
      <w:rFonts w:ascii="Britannic Bold" w:hAnsi="Britannic Bold"/>
      <w:b/>
      <w:kern w:val="28"/>
      <w:sz w:val="36"/>
    </w:rPr>
  </w:style>
  <w:style w:type="paragraph" w:styleId="BodyTextIndent">
    <w:name w:val="Body Text Indent"/>
    <w:basedOn w:val="Normal"/>
    <w:semiHidden/>
    <w:rsid w:val="00970F3C"/>
    <w:pPr>
      <w:ind w:firstLine="245"/>
      <w:jc w:val="both"/>
    </w:pPr>
    <w:rPr>
      <w:i/>
      <w:sz w:val="20"/>
    </w:rPr>
  </w:style>
  <w:style w:type="paragraph" w:styleId="BodyTextIndent2">
    <w:name w:val="Body Text Indent 2"/>
    <w:basedOn w:val="Normal"/>
    <w:semiHidden/>
    <w:rsid w:val="00970F3C"/>
    <w:pPr>
      <w:ind w:firstLine="245"/>
      <w:jc w:val="both"/>
    </w:pPr>
    <w:rPr>
      <w:sz w:val="20"/>
    </w:rPr>
  </w:style>
  <w:style w:type="character" w:styleId="Hyperlink">
    <w:name w:val="Hyperlink"/>
    <w:semiHidden/>
    <w:rsid w:val="00970F3C"/>
    <w:rPr>
      <w:color w:val="0000FF"/>
      <w:u w:val="single"/>
    </w:rPr>
  </w:style>
  <w:style w:type="character" w:styleId="FollowedHyperlink">
    <w:name w:val="FollowedHyperlink"/>
    <w:semiHidden/>
    <w:rsid w:val="00970F3C"/>
    <w:rPr>
      <w:color w:val="800080"/>
      <w:u w:val="single"/>
    </w:rPr>
  </w:style>
  <w:style w:type="paragraph" w:styleId="BodyText">
    <w:name w:val="Body Text"/>
    <w:basedOn w:val="Normal"/>
    <w:semiHidden/>
    <w:rsid w:val="00970F3C"/>
    <w:pPr>
      <w:jc w:val="center"/>
    </w:pPr>
    <w:rPr>
      <w:b/>
      <w:caps/>
    </w:rPr>
  </w:style>
  <w:style w:type="paragraph" w:styleId="BodyTextIndent3">
    <w:name w:val="Body Text Indent 3"/>
    <w:basedOn w:val="Normal"/>
    <w:semiHidden/>
    <w:rsid w:val="00970F3C"/>
    <w:pPr>
      <w:ind w:firstLine="270"/>
      <w:jc w:val="both"/>
    </w:pPr>
    <w:rPr>
      <w:sz w:val="20"/>
    </w:rPr>
  </w:style>
  <w:style w:type="paragraph" w:styleId="BlockText">
    <w:name w:val="Block Text"/>
    <w:basedOn w:val="Normal"/>
    <w:semiHidden/>
    <w:rsid w:val="00970F3C"/>
    <w:pPr>
      <w:spacing w:after="120"/>
      <w:ind w:left="1440" w:right="1440"/>
    </w:pPr>
  </w:style>
  <w:style w:type="paragraph" w:styleId="BodyText2">
    <w:name w:val="Body Text 2"/>
    <w:basedOn w:val="Normal"/>
    <w:semiHidden/>
    <w:rsid w:val="00970F3C"/>
    <w:pPr>
      <w:spacing w:after="120" w:line="480" w:lineRule="auto"/>
    </w:pPr>
  </w:style>
  <w:style w:type="paragraph" w:styleId="BodyText3">
    <w:name w:val="Body Text 3"/>
    <w:basedOn w:val="Normal"/>
    <w:semiHidden/>
    <w:rsid w:val="00970F3C"/>
    <w:pPr>
      <w:spacing w:after="120"/>
    </w:pPr>
    <w:rPr>
      <w:sz w:val="16"/>
      <w:szCs w:val="16"/>
    </w:rPr>
  </w:style>
  <w:style w:type="paragraph" w:styleId="BodyTextFirstIndent">
    <w:name w:val="Body Text First Indent"/>
    <w:basedOn w:val="BodyText"/>
    <w:semiHidden/>
    <w:rsid w:val="00970F3C"/>
    <w:pPr>
      <w:spacing w:after="120"/>
      <w:ind w:firstLine="210"/>
      <w:jc w:val="left"/>
    </w:pPr>
    <w:rPr>
      <w:b w:val="0"/>
      <w:caps w:val="0"/>
    </w:rPr>
  </w:style>
  <w:style w:type="paragraph" w:styleId="BodyTextFirstIndent2">
    <w:name w:val="Body Text First Indent 2"/>
    <w:basedOn w:val="BodyTextIndent"/>
    <w:semiHidden/>
    <w:rsid w:val="00970F3C"/>
    <w:pPr>
      <w:spacing w:after="120"/>
      <w:ind w:left="360" w:firstLine="210"/>
      <w:jc w:val="left"/>
    </w:pPr>
    <w:rPr>
      <w:i w:val="0"/>
      <w:sz w:val="24"/>
    </w:rPr>
  </w:style>
  <w:style w:type="paragraph" w:styleId="Caption">
    <w:name w:val="caption"/>
    <w:basedOn w:val="Normal"/>
    <w:next w:val="Normal"/>
    <w:qFormat/>
    <w:rsid w:val="00970F3C"/>
    <w:pPr>
      <w:spacing w:before="120" w:after="120"/>
    </w:pPr>
    <w:rPr>
      <w:b/>
      <w:bCs/>
      <w:sz w:val="20"/>
    </w:rPr>
  </w:style>
  <w:style w:type="paragraph" w:styleId="Closing">
    <w:name w:val="Closing"/>
    <w:basedOn w:val="Normal"/>
    <w:semiHidden/>
    <w:rsid w:val="00970F3C"/>
    <w:pPr>
      <w:ind w:left="4320"/>
    </w:pPr>
  </w:style>
  <w:style w:type="paragraph" w:styleId="CommentText">
    <w:name w:val="annotation text"/>
    <w:basedOn w:val="Normal"/>
    <w:semiHidden/>
    <w:rsid w:val="00970F3C"/>
    <w:rPr>
      <w:sz w:val="20"/>
    </w:rPr>
  </w:style>
  <w:style w:type="paragraph" w:styleId="Date">
    <w:name w:val="Date"/>
    <w:basedOn w:val="Normal"/>
    <w:next w:val="Normal"/>
    <w:semiHidden/>
    <w:rsid w:val="00970F3C"/>
  </w:style>
  <w:style w:type="paragraph" w:styleId="DocumentMap">
    <w:name w:val="Document Map"/>
    <w:basedOn w:val="Normal"/>
    <w:semiHidden/>
    <w:rsid w:val="00970F3C"/>
    <w:pPr>
      <w:shd w:val="clear" w:color="auto" w:fill="000080"/>
    </w:pPr>
    <w:rPr>
      <w:rFonts w:ascii="Tahoma" w:hAnsi="Tahoma" w:cs="Tahoma"/>
    </w:rPr>
  </w:style>
  <w:style w:type="paragraph" w:styleId="E-mailSignature">
    <w:name w:val="E-mail Signature"/>
    <w:basedOn w:val="Normal"/>
    <w:semiHidden/>
    <w:rsid w:val="00970F3C"/>
  </w:style>
  <w:style w:type="paragraph" w:styleId="EndnoteText">
    <w:name w:val="endnote text"/>
    <w:basedOn w:val="Normal"/>
    <w:semiHidden/>
    <w:rsid w:val="00970F3C"/>
    <w:rPr>
      <w:sz w:val="20"/>
    </w:rPr>
  </w:style>
  <w:style w:type="paragraph" w:styleId="EnvelopeAddress">
    <w:name w:val="envelope address"/>
    <w:basedOn w:val="Normal"/>
    <w:semiHidden/>
    <w:rsid w:val="00970F3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970F3C"/>
    <w:rPr>
      <w:rFonts w:ascii="Arial" w:hAnsi="Arial" w:cs="Arial"/>
      <w:sz w:val="20"/>
    </w:rPr>
  </w:style>
  <w:style w:type="paragraph" w:styleId="Footer">
    <w:name w:val="footer"/>
    <w:basedOn w:val="Normal"/>
    <w:link w:val="FooterChar"/>
    <w:uiPriority w:val="99"/>
    <w:rsid w:val="00970F3C"/>
    <w:pPr>
      <w:tabs>
        <w:tab w:val="center" w:pos="4320"/>
        <w:tab w:val="right" w:pos="8640"/>
      </w:tabs>
    </w:pPr>
  </w:style>
  <w:style w:type="paragraph" w:styleId="FootnoteText">
    <w:name w:val="footnote text"/>
    <w:basedOn w:val="Normal"/>
    <w:semiHidden/>
    <w:rsid w:val="00970F3C"/>
    <w:rPr>
      <w:sz w:val="20"/>
    </w:rPr>
  </w:style>
  <w:style w:type="paragraph" w:styleId="HTMLAddress">
    <w:name w:val="HTML Address"/>
    <w:basedOn w:val="Normal"/>
    <w:semiHidden/>
    <w:rsid w:val="00970F3C"/>
    <w:rPr>
      <w:i/>
      <w:iCs/>
    </w:rPr>
  </w:style>
  <w:style w:type="paragraph" w:styleId="HTMLPreformatted">
    <w:name w:val="HTML Preformatted"/>
    <w:basedOn w:val="Normal"/>
    <w:semiHidden/>
    <w:rsid w:val="00970F3C"/>
    <w:rPr>
      <w:rFonts w:ascii="Courier New" w:hAnsi="Courier New" w:cs="Courier New"/>
      <w:sz w:val="20"/>
    </w:rPr>
  </w:style>
  <w:style w:type="paragraph" w:styleId="Index1">
    <w:name w:val="index 1"/>
    <w:basedOn w:val="Normal"/>
    <w:next w:val="Normal"/>
    <w:autoRedefine/>
    <w:semiHidden/>
    <w:rsid w:val="00970F3C"/>
    <w:pPr>
      <w:ind w:left="240" w:hanging="240"/>
    </w:pPr>
  </w:style>
  <w:style w:type="paragraph" w:styleId="Index2">
    <w:name w:val="index 2"/>
    <w:basedOn w:val="Normal"/>
    <w:next w:val="Normal"/>
    <w:autoRedefine/>
    <w:semiHidden/>
    <w:rsid w:val="00970F3C"/>
    <w:pPr>
      <w:ind w:left="480" w:hanging="240"/>
    </w:pPr>
  </w:style>
  <w:style w:type="paragraph" w:styleId="Index3">
    <w:name w:val="index 3"/>
    <w:basedOn w:val="Normal"/>
    <w:next w:val="Normal"/>
    <w:autoRedefine/>
    <w:semiHidden/>
    <w:rsid w:val="00970F3C"/>
    <w:pPr>
      <w:ind w:left="720" w:hanging="240"/>
    </w:pPr>
  </w:style>
  <w:style w:type="paragraph" w:styleId="Index4">
    <w:name w:val="index 4"/>
    <w:basedOn w:val="Normal"/>
    <w:next w:val="Normal"/>
    <w:autoRedefine/>
    <w:semiHidden/>
    <w:rsid w:val="00970F3C"/>
    <w:pPr>
      <w:ind w:left="960" w:hanging="240"/>
    </w:pPr>
  </w:style>
  <w:style w:type="paragraph" w:styleId="Index5">
    <w:name w:val="index 5"/>
    <w:basedOn w:val="Normal"/>
    <w:next w:val="Normal"/>
    <w:autoRedefine/>
    <w:semiHidden/>
    <w:rsid w:val="00970F3C"/>
    <w:pPr>
      <w:ind w:left="1200" w:hanging="240"/>
    </w:pPr>
  </w:style>
  <w:style w:type="paragraph" w:styleId="Index6">
    <w:name w:val="index 6"/>
    <w:basedOn w:val="Normal"/>
    <w:next w:val="Normal"/>
    <w:autoRedefine/>
    <w:semiHidden/>
    <w:rsid w:val="00970F3C"/>
    <w:pPr>
      <w:ind w:left="1440" w:hanging="240"/>
    </w:pPr>
  </w:style>
  <w:style w:type="paragraph" w:styleId="Index7">
    <w:name w:val="index 7"/>
    <w:basedOn w:val="Normal"/>
    <w:next w:val="Normal"/>
    <w:autoRedefine/>
    <w:semiHidden/>
    <w:rsid w:val="00970F3C"/>
    <w:pPr>
      <w:ind w:left="1680" w:hanging="240"/>
    </w:pPr>
  </w:style>
  <w:style w:type="paragraph" w:styleId="Index8">
    <w:name w:val="index 8"/>
    <w:basedOn w:val="Normal"/>
    <w:next w:val="Normal"/>
    <w:autoRedefine/>
    <w:semiHidden/>
    <w:rsid w:val="00970F3C"/>
    <w:pPr>
      <w:ind w:left="1920" w:hanging="240"/>
    </w:pPr>
  </w:style>
  <w:style w:type="paragraph" w:styleId="Index9">
    <w:name w:val="index 9"/>
    <w:basedOn w:val="Normal"/>
    <w:next w:val="Normal"/>
    <w:autoRedefine/>
    <w:semiHidden/>
    <w:rsid w:val="00970F3C"/>
    <w:pPr>
      <w:ind w:left="2160" w:hanging="240"/>
    </w:pPr>
  </w:style>
  <w:style w:type="paragraph" w:styleId="IndexHeading">
    <w:name w:val="index heading"/>
    <w:basedOn w:val="Normal"/>
    <w:next w:val="Index1"/>
    <w:semiHidden/>
    <w:rsid w:val="00970F3C"/>
    <w:rPr>
      <w:rFonts w:ascii="Arial" w:hAnsi="Arial" w:cs="Arial"/>
      <w:b/>
      <w:bCs/>
    </w:rPr>
  </w:style>
  <w:style w:type="paragraph" w:styleId="List">
    <w:name w:val="List"/>
    <w:basedOn w:val="Normal"/>
    <w:semiHidden/>
    <w:rsid w:val="00970F3C"/>
    <w:pPr>
      <w:ind w:left="360" w:hanging="360"/>
    </w:pPr>
  </w:style>
  <w:style w:type="paragraph" w:styleId="List2">
    <w:name w:val="List 2"/>
    <w:basedOn w:val="Normal"/>
    <w:semiHidden/>
    <w:rsid w:val="00970F3C"/>
    <w:pPr>
      <w:ind w:left="720" w:hanging="360"/>
    </w:pPr>
  </w:style>
  <w:style w:type="paragraph" w:styleId="List3">
    <w:name w:val="List 3"/>
    <w:basedOn w:val="Normal"/>
    <w:semiHidden/>
    <w:rsid w:val="00970F3C"/>
    <w:pPr>
      <w:ind w:left="1080" w:hanging="360"/>
    </w:pPr>
  </w:style>
  <w:style w:type="paragraph" w:styleId="List4">
    <w:name w:val="List 4"/>
    <w:basedOn w:val="Normal"/>
    <w:semiHidden/>
    <w:rsid w:val="00970F3C"/>
    <w:pPr>
      <w:ind w:left="1440" w:hanging="360"/>
    </w:pPr>
  </w:style>
  <w:style w:type="paragraph" w:styleId="List5">
    <w:name w:val="List 5"/>
    <w:basedOn w:val="Normal"/>
    <w:semiHidden/>
    <w:rsid w:val="00970F3C"/>
    <w:pPr>
      <w:ind w:left="1800" w:hanging="360"/>
    </w:pPr>
  </w:style>
  <w:style w:type="paragraph" w:styleId="ListBullet">
    <w:name w:val="List Bullet"/>
    <w:basedOn w:val="Normal"/>
    <w:autoRedefine/>
    <w:semiHidden/>
    <w:rsid w:val="00970F3C"/>
    <w:pPr>
      <w:numPr>
        <w:numId w:val="1"/>
      </w:numPr>
    </w:pPr>
  </w:style>
  <w:style w:type="paragraph" w:styleId="ListBullet2">
    <w:name w:val="List Bullet 2"/>
    <w:basedOn w:val="Normal"/>
    <w:autoRedefine/>
    <w:semiHidden/>
    <w:rsid w:val="00970F3C"/>
    <w:pPr>
      <w:numPr>
        <w:numId w:val="2"/>
      </w:numPr>
    </w:pPr>
  </w:style>
  <w:style w:type="paragraph" w:styleId="ListBullet3">
    <w:name w:val="List Bullet 3"/>
    <w:basedOn w:val="Normal"/>
    <w:autoRedefine/>
    <w:semiHidden/>
    <w:rsid w:val="00970F3C"/>
    <w:pPr>
      <w:numPr>
        <w:numId w:val="3"/>
      </w:numPr>
    </w:pPr>
  </w:style>
  <w:style w:type="paragraph" w:styleId="ListBullet4">
    <w:name w:val="List Bullet 4"/>
    <w:basedOn w:val="Normal"/>
    <w:autoRedefine/>
    <w:semiHidden/>
    <w:rsid w:val="00970F3C"/>
    <w:pPr>
      <w:numPr>
        <w:numId w:val="4"/>
      </w:numPr>
    </w:pPr>
  </w:style>
  <w:style w:type="paragraph" w:styleId="ListBullet5">
    <w:name w:val="List Bullet 5"/>
    <w:basedOn w:val="Normal"/>
    <w:autoRedefine/>
    <w:semiHidden/>
    <w:rsid w:val="00970F3C"/>
    <w:pPr>
      <w:numPr>
        <w:numId w:val="5"/>
      </w:numPr>
    </w:pPr>
  </w:style>
  <w:style w:type="paragraph" w:styleId="ListContinue">
    <w:name w:val="List Continue"/>
    <w:basedOn w:val="Normal"/>
    <w:semiHidden/>
    <w:rsid w:val="00970F3C"/>
    <w:pPr>
      <w:spacing w:after="120"/>
      <w:ind w:left="360"/>
    </w:pPr>
  </w:style>
  <w:style w:type="paragraph" w:styleId="ListContinue2">
    <w:name w:val="List Continue 2"/>
    <w:basedOn w:val="Normal"/>
    <w:semiHidden/>
    <w:rsid w:val="00970F3C"/>
    <w:pPr>
      <w:spacing w:after="120"/>
      <w:ind w:left="720"/>
    </w:pPr>
  </w:style>
  <w:style w:type="paragraph" w:styleId="ListContinue3">
    <w:name w:val="List Continue 3"/>
    <w:basedOn w:val="Normal"/>
    <w:semiHidden/>
    <w:rsid w:val="00970F3C"/>
    <w:pPr>
      <w:spacing w:after="120"/>
      <w:ind w:left="1080"/>
    </w:pPr>
  </w:style>
  <w:style w:type="paragraph" w:styleId="ListContinue4">
    <w:name w:val="List Continue 4"/>
    <w:basedOn w:val="Normal"/>
    <w:semiHidden/>
    <w:rsid w:val="00970F3C"/>
    <w:pPr>
      <w:spacing w:after="120"/>
      <w:ind w:left="1440"/>
    </w:pPr>
  </w:style>
  <w:style w:type="paragraph" w:styleId="ListContinue5">
    <w:name w:val="List Continue 5"/>
    <w:basedOn w:val="Normal"/>
    <w:semiHidden/>
    <w:rsid w:val="00970F3C"/>
    <w:pPr>
      <w:spacing w:after="120"/>
      <w:ind w:left="1800"/>
    </w:pPr>
  </w:style>
  <w:style w:type="paragraph" w:styleId="ListNumber">
    <w:name w:val="List Number"/>
    <w:basedOn w:val="Normal"/>
    <w:semiHidden/>
    <w:rsid w:val="00970F3C"/>
    <w:pPr>
      <w:numPr>
        <w:numId w:val="6"/>
      </w:numPr>
    </w:pPr>
  </w:style>
  <w:style w:type="paragraph" w:styleId="ListNumber2">
    <w:name w:val="List Number 2"/>
    <w:basedOn w:val="Normal"/>
    <w:semiHidden/>
    <w:rsid w:val="00970F3C"/>
    <w:pPr>
      <w:numPr>
        <w:numId w:val="7"/>
      </w:numPr>
    </w:pPr>
  </w:style>
  <w:style w:type="paragraph" w:styleId="ListNumber3">
    <w:name w:val="List Number 3"/>
    <w:basedOn w:val="Normal"/>
    <w:semiHidden/>
    <w:rsid w:val="00970F3C"/>
    <w:pPr>
      <w:numPr>
        <w:numId w:val="8"/>
      </w:numPr>
    </w:pPr>
  </w:style>
  <w:style w:type="paragraph" w:styleId="ListNumber4">
    <w:name w:val="List Number 4"/>
    <w:basedOn w:val="Normal"/>
    <w:semiHidden/>
    <w:rsid w:val="00970F3C"/>
    <w:pPr>
      <w:numPr>
        <w:numId w:val="9"/>
      </w:numPr>
    </w:pPr>
  </w:style>
  <w:style w:type="paragraph" w:styleId="ListNumber5">
    <w:name w:val="List Number 5"/>
    <w:basedOn w:val="Normal"/>
    <w:semiHidden/>
    <w:rsid w:val="00970F3C"/>
    <w:pPr>
      <w:numPr>
        <w:numId w:val="10"/>
      </w:numPr>
    </w:pPr>
  </w:style>
  <w:style w:type="paragraph" w:styleId="MacroText">
    <w:name w:val="macro"/>
    <w:semiHidden/>
    <w:rsid w:val="00970F3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MessageHeader">
    <w:name w:val="Message Header"/>
    <w:basedOn w:val="Normal"/>
    <w:semiHidden/>
    <w:rsid w:val="00970F3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rsid w:val="00970F3C"/>
  </w:style>
  <w:style w:type="paragraph" w:styleId="NormalIndent">
    <w:name w:val="Normal Indent"/>
    <w:basedOn w:val="Normal"/>
    <w:semiHidden/>
    <w:rsid w:val="00970F3C"/>
    <w:pPr>
      <w:ind w:left="720"/>
    </w:pPr>
  </w:style>
  <w:style w:type="paragraph" w:styleId="NoteHeading">
    <w:name w:val="Note Heading"/>
    <w:basedOn w:val="Normal"/>
    <w:next w:val="Normal"/>
    <w:semiHidden/>
    <w:rsid w:val="00970F3C"/>
  </w:style>
  <w:style w:type="paragraph" w:styleId="PlainText">
    <w:name w:val="Plain Text"/>
    <w:basedOn w:val="Normal"/>
    <w:semiHidden/>
    <w:rsid w:val="00970F3C"/>
    <w:rPr>
      <w:rFonts w:ascii="Courier New" w:hAnsi="Courier New" w:cs="Courier New"/>
      <w:sz w:val="20"/>
    </w:rPr>
  </w:style>
  <w:style w:type="paragraph" w:styleId="Salutation">
    <w:name w:val="Salutation"/>
    <w:basedOn w:val="Normal"/>
    <w:next w:val="Normal"/>
    <w:semiHidden/>
    <w:rsid w:val="00970F3C"/>
  </w:style>
  <w:style w:type="paragraph" w:styleId="Signature">
    <w:name w:val="Signature"/>
    <w:basedOn w:val="Normal"/>
    <w:semiHidden/>
    <w:rsid w:val="00970F3C"/>
    <w:pPr>
      <w:ind w:left="4320"/>
    </w:pPr>
  </w:style>
  <w:style w:type="paragraph" w:styleId="Subtitle">
    <w:name w:val="Subtitle"/>
    <w:basedOn w:val="Normal"/>
    <w:qFormat/>
    <w:rsid w:val="00970F3C"/>
    <w:pPr>
      <w:spacing w:after="60"/>
      <w:jc w:val="center"/>
      <w:outlineLvl w:val="1"/>
    </w:pPr>
    <w:rPr>
      <w:rFonts w:ascii="Arial" w:hAnsi="Arial" w:cs="Arial"/>
    </w:rPr>
  </w:style>
  <w:style w:type="paragraph" w:styleId="TableofAuthorities">
    <w:name w:val="table of authorities"/>
    <w:basedOn w:val="Normal"/>
    <w:next w:val="Normal"/>
    <w:semiHidden/>
    <w:rsid w:val="00970F3C"/>
    <w:pPr>
      <w:ind w:left="240" w:hanging="240"/>
    </w:pPr>
  </w:style>
  <w:style w:type="paragraph" w:styleId="TableofFigures">
    <w:name w:val="table of figures"/>
    <w:basedOn w:val="Normal"/>
    <w:next w:val="Normal"/>
    <w:semiHidden/>
    <w:rsid w:val="00970F3C"/>
    <w:pPr>
      <w:ind w:left="480" w:hanging="480"/>
    </w:pPr>
  </w:style>
  <w:style w:type="paragraph" w:styleId="TOAHeading">
    <w:name w:val="toa heading"/>
    <w:basedOn w:val="Normal"/>
    <w:next w:val="Normal"/>
    <w:semiHidden/>
    <w:rsid w:val="00970F3C"/>
    <w:pPr>
      <w:spacing w:before="120"/>
    </w:pPr>
    <w:rPr>
      <w:rFonts w:ascii="Arial" w:hAnsi="Arial" w:cs="Arial"/>
      <w:b/>
      <w:bCs/>
    </w:rPr>
  </w:style>
  <w:style w:type="paragraph" w:styleId="TOC1">
    <w:name w:val="toc 1"/>
    <w:basedOn w:val="Normal"/>
    <w:next w:val="Normal"/>
    <w:autoRedefine/>
    <w:semiHidden/>
    <w:rsid w:val="00970F3C"/>
  </w:style>
  <w:style w:type="paragraph" w:styleId="TOC2">
    <w:name w:val="toc 2"/>
    <w:basedOn w:val="Normal"/>
    <w:next w:val="Normal"/>
    <w:autoRedefine/>
    <w:semiHidden/>
    <w:rsid w:val="00970F3C"/>
    <w:pPr>
      <w:ind w:left="240"/>
    </w:pPr>
  </w:style>
  <w:style w:type="paragraph" w:styleId="TOC3">
    <w:name w:val="toc 3"/>
    <w:basedOn w:val="Normal"/>
    <w:next w:val="Normal"/>
    <w:autoRedefine/>
    <w:semiHidden/>
    <w:rsid w:val="00970F3C"/>
    <w:pPr>
      <w:ind w:left="480"/>
    </w:pPr>
  </w:style>
  <w:style w:type="paragraph" w:styleId="TOC4">
    <w:name w:val="toc 4"/>
    <w:basedOn w:val="Normal"/>
    <w:next w:val="Normal"/>
    <w:autoRedefine/>
    <w:semiHidden/>
    <w:rsid w:val="00970F3C"/>
    <w:pPr>
      <w:ind w:left="720"/>
    </w:pPr>
  </w:style>
  <w:style w:type="paragraph" w:styleId="TOC5">
    <w:name w:val="toc 5"/>
    <w:basedOn w:val="Normal"/>
    <w:next w:val="Normal"/>
    <w:autoRedefine/>
    <w:semiHidden/>
    <w:rsid w:val="00970F3C"/>
    <w:pPr>
      <w:ind w:left="960"/>
    </w:pPr>
  </w:style>
  <w:style w:type="paragraph" w:styleId="TOC6">
    <w:name w:val="toc 6"/>
    <w:basedOn w:val="Normal"/>
    <w:next w:val="Normal"/>
    <w:autoRedefine/>
    <w:semiHidden/>
    <w:rsid w:val="00970F3C"/>
    <w:pPr>
      <w:ind w:left="1200"/>
    </w:pPr>
  </w:style>
  <w:style w:type="paragraph" w:styleId="TOC7">
    <w:name w:val="toc 7"/>
    <w:basedOn w:val="Normal"/>
    <w:next w:val="Normal"/>
    <w:autoRedefine/>
    <w:semiHidden/>
    <w:rsid w:val="00970F3C"/>
    <w:pPr>
      <w:ind w:left="1440"/>
    </w:pPr>
  </w:style>
  <w:style w:type="paragraph" w:styleId="TOC8">
    <w:name w:val="toc 8"/>
    <w:basedOn w:val="Normal"/>
    <w:next w:val="Normal"/>
    <w:autoRedefine/>
    <w:semiHidden/>
    <w:rsid w:val="00970F3C"/>
    <w:pPr>
      <w:ind w:left="1680"/>
    </w:pPr>
  </w:style>
  <w:style w:type="paragraph" w:styleId="TOC9">
    <w:name w:val="toc 9"/>
    <w:basedOn w:val="Normal"/>
    <w:next w:val="Normal"/>
    <w:autoRedefine/>
    <w:semiHidden/>
    <w:rsid w:val="00970F3C"/>
    <w:pPr>
      <w:ind w:left="1920"/>
    </w:pPr>
  </w:style>
  <w:style w:type="table" w:styleId="TableGrid">
    <w:name w:val="Table Grid"/>
    <w:basedOn w:val="TableNormal"/>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6F6574"/>
    <w:rPr>
      <w:rFonts w:ascii="Angsana New" w:hAnsi="Angsana New"/>
      <w:sz w:val="24"/>
      <w:szCs w:val="24"/>
      <w:lang w:bidi="ar-SA"/>
    </w:rPr>
  </w:style>
  <w:style w:type="paragraph" w:styleId="BalloonText">
    <w:name w:val="Balloon Text"/>
    <w:basedOn w:val="Normal"/>
    <w:link w:val="BalloonTextChar"/>
    <w:uiPriority w:val="99"/>
    <w:semiHidden/>
    <w:unhideWhenUsed/>
    <w:rsid w:val="006F6574"/>
    <w:rPr>
      <w:rFonts w:ascii="Tahoma" w:hAnsi="Tahoma" w:cs="Tahoma"/>
      <w:sz w:val="16"/>
      <w:szCs w:val="16"/>
      <w:lang w:val="x-none" w:eastAsia="x-none"/>
    </w:rPr>
  </w:style>
  <w:style w:type="character" w:customStyle="1" w:styleId="BalloonTextChar">
    <w:name w:val="Balloon Text Char"/>
    <w:link w:val="BalloonText"/>
    <w:uiPriority w:val="99"/>
    <w:semiHidden/>
    <w:rsid w:val="006F6574"/>
    <w:rPr>
      <w:rFonts w:ascii="Tahoma" w:hAnsi="Tahoma" w:cs="Tahoma"/>
      <w:sz w:val="16"/>
      <w:szCs w:val="16"/>
      <w:lang w:bidi="ar-SA"/>
    </w:rPr>
  </w:style>
  <w:style w:type="character" w:customStyle="1" w:styleId="FooterChar">
    <w:name w:val="Footer Char"/>
    <w:basedOn w:val="DefaultParagraphFont"/>
    <w:link w:val="Footer"/>
    <w:uiPriority w:val="99"/>
    <w:rsid w:val="00AF28A3"/>
    <w:rPr>
      <w:rFonts w:ascii="Angsana New" w:hAnsi="Angsana New"/>
      <w:sz w:val="24"/>
      <w:szCs w:val="24"/>
      <w:lang w:bidi="ar-SA"/>
    </w:rPr>
  </w:style>
  <w:style w:type="paragraph" w:customStyle="1" w:styleId="sponsors">
    <w:name w:val="sponsors"/>
    <w:rsid w:val="007652C5"/>
    <w:pPr>
      <w:framePr w:wrap="auto" w:hAnchor="text" w:x="615" w:y="2239"/>
      <w:pBdr>
        <w:top w:val="single" w:sz="4" w:space="2" w:color="auto"/>
      </w:pBdr>
      <w:ind w:firstLine="288"/>
    </w:pPr>
    <w:rPr>
      <w:rFonts w:eastAsia="SimSun" w:cs="Times New Roman"/>
      <w:sz w:val="16"/>
      <w:szCs w:val="16"/>
      <w:lang w:bidi="ar-SA"/>
    </w:rPr>
  </w:style>
  <w:style w:type="paragraph" w:styleId="ListParagraph">
    <w:name w:val="List Paragraph"/>
    <w:basedOn w:val="Normal"/>
    <w:uiPriority w:val="34"/>
    <w:qFormat/>
    <w:rsid w:val="001B65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147724">
      <w:bodyDiv w:val="1"/>
      <w:marLeft w:val="0"/>
      <w:marRight w:val="0"/>
      <w:marTop w:val="0"/>
      <w:marBottom w:val="0"/>
      <w:divBdr>
        <w:top w:val="none" w:sz="0" w:space="0" w:color="auto"/>
        <w:left w:val="none" w:sz="0" w:space="0" w:color="auto"/>
        <w:bottom w:val="none" w:sz="0" w:space="0" w:color="auto"/>
        <w:right w:val="none" w:sz="0" w:space="0" w:color="auto"/>
      </w:divBdr>
    </w:div>
    <w:div w:id="133510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BFB0C1-2E00-4DFB-98D2-10DFB0DF6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961</Words>
  <Characters>5481</Characters>
  <Application>Microsoft Office Word</Application>
  <DocSecurity>0</DocSecurity>
  <Lines>45</Lines>
  <Paragraphs>12</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8</dc:title>
  <dc:creator>foobar</dc:creator>
  <cp:lastModifiedBy>phet imtongkhum</cp:lastModifiedBy>
  <cp:revision>2</cp:revision>
  <cp:lastPrinted>2020-08-13T01:10:00Z</cp:lastPrinted>
  <dcterms:created xsi:type="dcterms:W3CDTF">2026-07-22T03:15:00Z</dcterms:created>
  <dcterms:modified xsi:type="dcterms:W3CDTF">2026-07-22T03:15:00Z</dcterms:modified>
</cp:coreProperties>
</file>