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20"/>
        </w:rPr>
        <w:t>TECHNICAL DECISION MEMO</w:t>
      </w:r>
    </w:p>
    <w:p>
      <w:pPr>
        <w:spacing w:after="80"/>
      </w:pPr>
      <w:r>
        <w:rPr>
          <w:rFonts w:ascii="Calibri" w:hAnsi="Calibri"/>
          <w:b/>
          <w:color w:val="0B2545"/>
          <w:sz w:val="46"/>
        </w:rPr>
        <w:t>Context-Epoch Recovery and Tool-Loop Resilience Plan</w:t>
      </w:r>
    </w:p>
    <w:p>
      <w:pPr>
        <w:spacing w:after="280"/>
      </w:pPr>
      <w:r>
        <w:rPr>
          <w:rFonts w:ascii="Calibri" w:hAnsi="Calibri"/>
          <w:color w:val="5F6875"/>
          <w:sz w:val="24"/>
        </w:rPr>
        <w:t>A safe way for Anodex to reset a long-running local model task before context exhaustion.</w:t>
      </w:r>
    </w:p>
    <w:p>
      <w:pPr>
        <w:spacing w:after="40"/>
      </w:pPr>
      <w:r>
        <w:rPr>
          <w:rFonts w:ascii="Calibri" w:hAnsi="Calibri"/>
          <w:b/>
          <w:color w:val="0B2545"/>
          <w:sz w:val="21"/>
        </w:rPr>
        <w:t xml:space="preserve">To: </w:t>
      </w:r>
      <w:r>
        <w:rPr>
          <w:rFonts w:ascii="Calibri" w:hAnsi="Calibri"/>
          <w:color w:val="20242A"/>
          <w:sz w:val="21"/>
        </w:rPr>
        <w:t>Anodex engineering review</w:t>
      </w:r>
    </w:p>
    <w:p>
      <w:pPr>
        <w:spacing w:after="40"/>
      </w:pPr>
      <w:r>
        <w:rPr>
          <w:rFonts w:ascii="Calibri" w:hAnsi="Calibri"/>
          <w:b/>
          <w:color w:val="0B2545"/>
          <w:sz w:val="21"/>
        </w:rPr>
        <w:t xml:space="preserve">From: </w:t>
      </w:r>
      <w:r>
        <w:rPr>
          <w:rFonts w:ascii="Calibri" w:hAnsi="Calibri"/>
          <w:color w:val="20242A"/>
          <w:sz w:val="21"/>
        </w:rPr>
        <w:t>Context reliability investigation</w:t>
      </w:r>
    </w:p>
    <w:p>
      <w:pPr>
        <w:spacing w:after="40"/>
      </w:pPr>
      <w:r>
        <w:rPr>
          <w:rFonts w:ascii="Calibri" w:hAnsi="Calibri"/>
          <w:b/>
          <w:color w:val="0B2545"/>
          <w:sz w:val="21"/>
        </w:rPr>
        <w:t xml:space="preserve">Date: </w:t>
      </w:r>
      <w:r>
        <w:rPr>
          <w:rFonts w:ascii="Calibri" w:hAnsi="Calibri"/>
          <w:color w:val="20242A"/>
          <w:sz w:val="21"/>
        </w:rPr>
        <w:t>August 13, 2026</w:t>
      </w:r>
    </w:p>
    <w:p>
      <w:pPr>
        <w:spacing w:after="40"/>
      </w:pPr>
      <w:r>
        <w:rPr>
          <w:rFonts w:ascii="Calibri" w:hAnsi="Calibri"/>
          <w:b/>
          <w:color w:val="0B2545"/>
          <w:sz w:val="21"/>
        </w:rPr>
        <w:t xml:space="preserve">Status: </w:t>
      </w:r>
      <w:r>
        <w:rPr>
          <w:rFonts w:ascii="Calibri" w:hAnsi="Calibri"/>
          <w:color w:val="20242A"/>
          <w:sz w:val="21"/>
        </w:rPr>
        <w:t>Draft for technical review</w:t>
      </w:r>
    </w:p>
    <w:p>
      <w:pPr>
        <w:spacing w:after="40"/>
      </w:pPr>
      <w:r>
        <w:rPr>
          <w:rFonts w:ascii="Calibri" w:hAnsi="Calibri"/>
          <w:b/>
          <w:color w:val="0B2545"/>
          <w:sz w:val="21"/>
        </w:rPr>
        <w:t xml:space="preserve">Decision requested: </w:t>
      </w:r>
      <w:r>
        <w:rPr>
          <w:rFonts w:ascii="Calibri" w:hAnsi="Calibri"/>
          <w:color w:val="20242A"/>
          <w:sz w:val="21"/>
        </w:rPr>
        <w:t>Approve a phased implementation of proactive context epochs and structured handoff.</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Pr>
          <w:p>
            <w:pPr>
              <w:spacing w:after="40"/>
            </w:pPr>
            <w:r>
              <w:rPr>
                <w:rFonts w:ascii="Calibri" w:hAnsi="Calibri"/>
                <w:b/>
                <w:color w:val="0B2545"/>
                <w:sz w:val="19"/>
              </w:rPr>
              <w:t>RECOMMENDATION</w:t>
            </w:r>
          </w:p>
          <w:p>
            <w:pPr>
              <w:spacing w:after="0" w:line="264" w:lineRule="auto"/>
            </w:pPr>
            <w:r>
              <w:rPr>
                <w:rFonts w:ascii="Calibri" w:hAnsi="Calibri"/>
                <w:color w:val="20242A"/>
                <w:sz w:val="21"/>
              </w:rPr>
              <w:t>Do not treat context exhaustion as a normal stopping condition for a goal run. At a safe tool boundary, persist a compact task handoff and begin a fresh context epoch using the same loaded model runtime. This preserves work, reduces repeated prompt cost, and prevents long tool loops from consuming the final reply reserve.</w:t>
            </w:r>
          </w:p>
        </w:tc>
      </w:tr>
    </w:tbl>
    <w:p>
      <w:pPr>
        <w:spacing w:after="0"/>
      </w:pPr>
    </w:p>
    <w:p>
      <w:pPr>
        <w:pStyle w:val="Heading1"/>
        <w:keepNext/>
      </w:pPr>
      <w:r>
        <w:t>1. What happened and why it matters</w:t>
      </w:r>
    </w:p>
    <w:p>
      <w:pPr/>
      <w:r>
        <w:rPr>
          <w:rFonts w:ascii="Calibri" w:hAnsi="Calibri"/>
        </w:rPr>
        <w:t>The incident was not a RAM or CPU failure. The local vision runtime stayed alive and its memory use remained in a stable operating range. The failure was context exhaustion inside one unusually long, tool-heavy goal run.</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E8EEF5" w:val="clear"/>
            <w:tcMar>
              <w:top w:w="80" w:type="dxa"/>
              <w:start w:w="120" w:type="dxa"/>
              <w:bottom w:w="80" w:type="dxa"/>
              <w:end w:w="120" w:type="dxa"/>
            </w:tcMar>
            <w:vAlign w:val="center"/>
          </w:tcPr>
          <w:p>
            <w:pPr>
              <w:spacing w:after="0"/>
            </w:pPr>
            <w:r>
              <w:rPr>
                <w:rFonts w:ascii="Calibri" w:hAnsi="Calibri"/>
                <w:b/>
                <w:color w:val="0B2545"/>
                <w:sz w:val="19"/>
              </w:rPr>
              <w:t>Observed signal</w:t>
            </w:r>
          </w:p>
        </w:tc>
        <w:tc>
          <w:tcPr>
            <w:tcW w:type="dxa" w:w="3500"/>
            <w:shd w:fill="E8EEF5" w:val="clear"/>
            <w:tcMar>
              <w:top w:w="80" w:type="dxa"/>
              <w:start w:w="120" w:type="dxa"/>
              <w:bottom w:w="80" w:type="dxa"/>
              <w:end w:w="120" w:type="dxa"/>
            </w:tcMar>
            <w:vAlign w:val="center"/>
          </w:tcPr>
          <w:p>
            <w:pPr>
              <w:spacing w:after="0"/>
            </w:pPr>
            <w:r>
              <w:rPr>
                <w:rFonts w:ascii="Calibri" w:hAnsi="Calibri"/>
                <w:b/>
                <w:color w:val="0B2545"/>
                <w:sz w:val="19"/>
              </w:rPr>
              <w:t>Evidence</w:t>
            </w:r>
          </w:p>
        </w:tc>
        <w:tc>
          <w:tcPr>
            <w:tcW w:type="dxa" w:w="3960"/>
            <w:shd w:fill="E8EEF5" w:val="clear"/>
            <w:tcMar>
              <w:top w:w="80" w:type="dxa"/>
              <w:start w:w="120" w:type="dxa"/>
              <w:bottom w:w="80" w:type="dxa"/>
              <w:end w:w="120" w:type="dxa"/>
            </w:tcMar>
            <w:vAlign w:val="center"/>
          </w:tcPr>
          <w:p>
            <w:pPr>
              <w:spacing w:after="0"/>
            </w:pPr>
            <w:r>
              <w:rPr>
                <w:rFonts w:ascii="Calibri" w:hAnsi="Calibri"/>
                <w:b/>
                <w:color w:val="0B2545"/>
                <w:sz w:val="19"/>
              </w:rPr>
              <w:t>Why it matters</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20242A"/>
                <w:sz w:val="19"/>
              </w:rPr>
              <w:t>Tool activity</w:t>
            </w:r>
          </w:p>
        </w:tc>
        <w:tc>
          <w:tcPr>
            <w:tcW w:type="dxa" w:w="3500"/>
            <w:tcMar>
              <w:top w:w="80" w:type="dxa"/>
              <w:start w:w="120" w:type="dxa"/>
              <w:bottom w:w="80" w:type="dxa"/>
              <w:end w:w="120" w:type="dxa"/>
            </w:tcMar>
            <w:vAlign w:val="center"/>
          </w:tcPr>
          <w:p>
            <w:pPr>
              <w:spacing w:after="0" w:line="259" w:lineRule="auto"/>
            </w:pPr>
            <w:r>
              <w:rPr>
                <w:rFonts w:ascii="Calibri" w:hAnsi="Calibri"/>
                <w:color w:val="20242A"/>
                <w:sz w:val="19"/>
              </w:rPr>
              <w:t>The active reply accumulated 86 tool calls.</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Every call adds protocol structure, arguments, and results that must be represented safely while the task continues.</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20242A"/>
                <w:sz w:val="19"/>
              </w:rPr>
              <w:t>16K active context</w:t>
            </w:r>
          </w:p>
        </w:tc>
        <w:tc>
          <w:tcPr>
            <w:tcW w:type="dxa" w:w="3500"/>
            <w:tcMar>
              <w:top w:w="80" w:type="dxa"/>
              <w:start w:w="120" w:type="dxa"/>
              <w:bottom w:w="80" w:type="dxa"/>
              <w:end w:w="120" w:type="dxa"/>
            </w:tcMar>
            <w:vAlign w:val="center"/>
          </w:tcPr>
          <w:p>
            <w:pPr>
              <w:spacing w:after="0" w:line="259" w:lineRule="auto"/>
            </w:pPr>
            <w:r>
              <w:rPr>
                <w:rFonts w:ascii="Calibri" w:hAnsi="Calibri"/>
                <w:color w:val="20242A"/>
                <w:sz w:val="19"/>
              </w:rPr>
              <w:t>15,872 input tokens were usable; 11,480 were already fixed overhead before the latest reply.</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Only about 4,392 input tokens remained before the reply reserve. A long chain of inspections and reads can consume that quickly.</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20242A"/>
                <w:sz w:val="19"/>
              </w:rPr>
              <w:t>Tool routing</w:t>
            </w:r>
          </w:p>
        </w:tc>
        <w:tc>
          <w:tcPr>
            <w:tcW w:type="dxa" w:w="3500"/>
            <w:tcMar>
              <w:top w:w="80" w:type="dxa"/>
              <w:start w:w="120" w:type="dxa"/>
              <w:bottom w:w="80" w:type="dxa"/>
              <w:end w:w="120" w:type="dxa"/>
            </w:tcMar>
            <w:vAlign w:val="center"/>
          </w:tcPr>
          <w:p>
            <w:pPr>
              <w:spacing w:after="0" w:line="259" w:lineRule="auto"/>
            </w:pPr>
            <w:r>
              <w:rPr>
                <w:rFonts w:ascii="Calibri" w:hAnsi="Calibri"/>
                <w:color w:val="20242A"/>
                <w:sz w:val="19"/>
              </w:rPr>
              <w:t>23 direct tools and 37 deferred tools were active.</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Routing reduces schema cost, but fixed instructions and direct schemas still occupy a material portion of a 16K window.</w:t>
            </w:r>
          </w:p>
        </w:tc>
      </w:tr>
      <w:tr>
        <w:tc>
          <w:tcPr>
            <w:tcW w:type="dxa" w:w="1900"/>
            <w:tcMar>
              <w:top w:w="80" w:type="dxa"/>
              <w:start w:w="120" w:type="dxa"/>
              <w:bottom w:w="80" w:type="dxa"/>
              <w:end w:w="120" w:type="dxa"/>
            </w:tcMar>
            <w:vAlign w:val="center"/>
          </w:tcPr>
          <w:p>
            <w:pPr>
              <w:spacing w:after="0" w:line="259" w:lineRule="auto"/>
            </w:pPr>
            <w:r>
              <w:rPr>
                <w:rFonts w:ascii="Calibri" w:hAnsi="Calibri"/>
                <w:color w:val="20242A"/>
                <w:sz w:val="19"/>
              </w:rPr>
              <w:t>Recovery behavior</w:t>
            </w:r>
          </w:p>
        </w:tc>
        <w:tc>
          <w:tcPr>
            <w:tcW w:type="dxa" w:w="3500"/>
            <w:tcMar>
              <w:top w:w="80" w:type="dxa"/>
              <w:start w:w="120" w:type="dxa"/>
              <w:bottom w:w="80" w:type="dxa"/>
              <w:end w:w="120" w:type="dxa"/>
            </w:tcMar>
            <w:vAlign w:val="center"/>
          </w:tcPr>
          <w:p>
            <w:pPr>
              <w:spacing w:after="0" w:line="259" w:lineRule="auto"/>
            </w:pPr>
            <w:r>
              <w:rPr>
                <w:rFonts w:ascii="Calibri" w:hAnsi="Calibri"/>
                <w:color w:val="20242A"/>
                <w:sz w:val="19"/>
              </w:rPr>
              <w:t>The runtime reclaimed earlier tool-result content, then logged "no room left for a usable reply."</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Result reclamation is helpful but cannot remove every active tool-call envelope, argument, system instruction, or image reference.</w:t>
            </w:r>
          </w:p>
        </w:tc>
      </w:tr>
    </w:tbl>
    <w:p>
      <w:pPr>
        <w:spacing w:after="0"/>
      </w:pPr>
    </w:p>
    <w:p>
      <w:pPr/>
      <w:r>
        <w:rPr>
          <w:rFonts w:ascii="Calibri" w:hAnsi="Calibri"/>
        </w:rPr>
        <w:t>The key product problem is continuity. A user can reasonably ask Anodex to continue until a task is verified. The system should preserve the task state without holding every intermediate request in the active model context until the model cannot form another valid reply.</w:t>
      </w:r>
    </w:p>
    <w:p>
      <w:pPr>
        <w:pStyle w:val="Heading1"/>
        <w:keepNext/>
      </w:pPr>
      <w:r>
        <w:t>2. Design goal and non-negotiable invariants</w:t>
      </w:r>
    </w:p>
    <w:p>
      <w:pPr>
        <w:spacing w:after="80"/>
      </w:pPr>
      <w:r>
        <w:rPr>
          <w:rFonts w:ascii="Calibri" w:hAnsi="Calibri"/>
          <w:b/>
          <w:color w:val="0B2545"/>
        </w:rPr>
        <w:t xml:space="preserve">Primary goal: </w:t>
      </w:r>
      <w:r>
        <w:rPr>
          <w:rFonts w:ascii="Calibri" w:hAnsi="Calibri"/>
        </w:rPr>
        <w:t>Keep a long-running task productive by resetting the active model context before it becomes unsafe, while preserving the facts needed to continue correctly.</w:t>
      </w:r>
    </w:p>
    <w:p>
      <w:pPr>
        <w:spacing w:after="80"/>
      </w:pPr>
      <w:r>
        <w:rPr>
          <w:rFonts w:ascii="Calibri" w:hAnsi="Calibri"/>
          <w:b/>
          <w:color w:val="0B2545"/>
        </w:rPr>
        <w:t xml:space="preserve">No new model load: </w:t>
      </w:r>
      <w:r>
        <w:rPr>
          <w:rFonts w:ascii="Calibri" w:hAnsi="Calibri"/>
        </w:rPr>
        <w:t>A context epoch reset must reuse the already loaded text or vision runtime. It resets the model request history, not model weights, GPU layer placement, or the server process.</w:t>
      </w:r>
    </w:p>
    <w:p>
      <w:pPr>
        <w:spacing w:after="80"/>
      </w:pPr>
      <w:r>
        <w:rPr>
          <w:rFonts w:ascii="Calibri" w:hAnsi="Calibri"/>
          <w:b/>
          <w:color w:val="0B2545"/>
        </w:rPr>
        <w:t xml:space="preserve">Safe boundary only: </w:t>
      </w:r>
      <w:r>
        <w:rPr>
          <w:rFonts w:ascii="Calibri" w:hAnsi="Calibri"/>
        </w:rPr>
        <w:t>Never compact while a tool call is running or while an approval is unresolved. Compact only after a successful or terminal tool settlement, when the next model request has not started.</w:t>
      </w:r>
    </w:p>
    <w:p>
      <w:pPr>
        <w:spacing w:after="80"/>
      </w:pPr>
      <w:r>
        <w:rPr>
          <w:rFonts w:ascii="Calibri" w:hAnsi="Calibri"/>
          <w:b/>
          <w:color w:val="0B2545"/>
        </w:rPr>
        <w:t xml:space="preserve">Protected handoff over transcript: </w:t>
      </w:r>
      <w:r>
        <w:rPr>
          <w:rFonts w:ascii="Calibri" w:hAnsi="Calibri"/>
        </w:rPr>
        <w:t>Workspace files, checkpoints, tool records, and a structured handoff are the source of truth. The handoff is an exact, protected provider-context block, not an ordinary history turn subject to rolling summarization. It has a token cap derived from the selected context size.</w:t>
      </w:r>
    </w:p>
    <w:p>
      <w:pPr>
        <w:spacing w:after="80"/>
      </w:pPr>
      <w:r>
        <w:rPr>
          <w:rFonts w:ascii="Calibri" w:hAnsi="Calibri"/>
          <w:b/>
          <w:color w:val="0B2545"/>
        </w:rPr>
        <w:t xml:space="preserve">No background monitoring feature: </w:t>
      </w:r>
      <w:r>
        <w:rPr>
          <w:rFonts w:ascii="Calibri" w:hAnsi="Calibri"/>
        </w:rPr>
        <w:t>This plan improves structured crash/context logs but does not add a live resource dashboard, polling loop, or continuous usage meter.</w:t>
      </w:r>
    </w:p>
    <w:p>
      <w:pPr>
        <w:pStyle w:val="Heading1"/>
        <w:keepNext/>
      </w:pPr>
      <w:r>
        <w:t>3. Target behavior: a clean context epoch</w:t>
      </w:r>
    </w:p>
    <w:p>
      <w:pPr/>
      <w:r>
        <w:rPr>
          <w:rFonts w:ascii="Calibri" w:hAnsi="Calibri"/>
        </w:rPr>
        <w:t>The proposed approach mirrors the useful part of OpenCode V2 compaction: replace older active model context with a generated or structured checkpoint plus a bounded recent tail. The durable transcript remains intact, but the next provider request uses only the handoff and the minimum recent state necessary to continue.</w:t>
      </w:r>
    </w:p>
    <w:tbl>
      <w:tblPr>
        <w:tblStyle w:val="TableGrid"/>
        <w:tblW w:type="dxa" w:w="9360"/>
        <w:jc w:val="left"/>
        <w:tblLayout w:type="fixed"/>
        <w:tblLook w:firstColumn="1" w:firstRow="1" w:lastColumn="0" w:lastRow="0" w:noHBand="0" w:noVBand="1" w:val="04A0"/>
        <w:tblInd w:w="120" w:type="dxa"/>
      </w:tblPr>
      <w:tblGrid>
        <w:gridCol w:w="1150"/>
        <w:gridCol w:w="4200"/>
        <w:gridCol w:w="4010"/>
      </w:tblGrid>
      <w:tr>
        <w:trPr>
          <w:tblHeader w:val="true"/>
        </w:trPr>
        <w:tc>
          <w:tcPr>
            <w:tcW w:type="dxa" w:w="1150"/>
            <w:shd w:fill="E8EEF5" w:val="clear"/>
            <w:tcMar>
              <w:top w:w="80" w:type="dxa"/>
              <w:start w:w="120" w:type="dxa"/>
              <w:bottom w:w="80" w:type="dxa"/>
              <w:end w:w="120" w:type="dxa"/>
            </w:tcMar>
            <w:vAlign w:val="center"/>
          </w:tcPr>
          <w:p>
            <w:pPr>
              <w:spacing w:after="0"/>
            </w:pPr>
            <w:r>
              <w:rPr>
                <w:rFonts w:ascii="Calibri" w:hAnsi="Calibri"/>
                <w:b/>
                <w:color w:val="0B2545"/>
                <w:sz w:val="19"/>
              </w:rPr>
              <w:t>Stage</w:t>
            </w:r>
          </w:p>
        </w:tc>
        <w:tc>
          <w:tcPr>
            <w:tcW w:type="dxa" w:w="4200"/>
            <w:shd w:fill="E8EEF5" w:val="clear"/>
            <w:tcMar>
              <w:top w:w="80" w:type="dxa"/>
              <w:start w:w="120" w:type="dxa"/>
              <w:bottom w:w="80" w:type="dxa"/>
              <w:end w:w="120" w:type="dxa"/>
            </w:tcMar>
            <w:vAlign w:val="center"/>
          </w:tcPr>
          <w:p>
            <w:pPr>
              <w:spacing w:after="0"/>
            </w:pPr>
            <w:r>
              <w:rPr>
                <w:rFonts w:ascii="Calibri" w:hAnsi="Calibri"/>
                <w:b/>
                <w:color w:val="0B2545"/>
                <w:sz w:val="19"/>
              </w:rPr>
              <w:t>Anodex action</w:t>
            </w:r>
          </w:p>
        </w:tc>
        <w:tc>
          <w:tcPr>
            <w:tcW w:type="dxa" w:w="4010"/>
            <w:shd w:fill="E8EEF5" w:val="clear"/>
            <w:tcMar>
              <w:top w:w="80" w:type="dxa"/>
              <w:start w:w="120" w:type="dxa"/>
              <w:bottom w:w="80" w:type="dxa"/>
              <w:end w:w="120" w:type="dxa"/>
            </w:tcMar>
            <w:vAlign w:val="center"/>
          </w:tcPr>
          <w:p>
            <w:pPr>
              <w:spacing w:after="0"/>
            </w:pPr>
            <w:r>
              <w:rPr>
                <w:rFonts w:ascii="Calibri" w:hAnsi="Calibri"/>
                <w:b/>
                <w:color w:val="0B2545"/>
                <w:sz w:val="19"/>
              </w:rPr>
              <w:t>Reasoning</w:t>
            </w:r>
          </w:p>
        </w:tc>
      </w:tr>
      <w:tr>
        <w:tc>
          <w:tcPr>
            <w:tcW w:type="dxa" w:w="1150"/>
            <w:tcMar>
              <w:top w:w="80" w:type="dxa"/>
              <w:start w:w="120" w:type="dxa"/>
              <w:bottom w:w="80" w:type="dxa"/>
              <w:end w:w="120" w:type="dxa"/>
            </w:tcMar>
            <w:vAlign w:val="center"/>
          </w:tcPr>
          <w:p>
            <w:pPr>
              <w:spacing w:after="0" w:line="259" w:lineRule="auto"/>
            </w:pPr>
            <w:r>
              <w:rPr>
                <w:rFonts w:ascii="Calibri" w:hAnsi="Calibri"/>
                <w:color w:val="20242A"/>
                <w:sz w:val="19"/>
              </w:rPr>
              <w:t>Measure</w:t>
            </w:r>
          </w:p>
        </w:tc>
        <w:tc>
          <w:tcPr>
            <w:tcW w:type="dxa" w:w="4200"/>
            <w:tcMar>
              <w:top w:w="80" w:type="dxa"/>
              <w:start w:w="120" w:type="dxa"/>
              <w:bottom w:w="80" w:type="dxa"/>
              <w:end w:w="120" w:type="dxa"/>
            </w:tcMar>
            <w:vAlign w:val="center"/>
          </w:tcPr>
          <w:p>
            <w:pPr>
              <w:spacing w:after="0" w:line="259" w:lineRule="auto"/>
            </w:pPr>
            <w:r>
              <w:rPr>
                <w:rFonts w:ascii="Calibri" w:hAnsi="Calibri"/>
                <w:color w:val="20242A"/>
                <w:sz w:val="19"/>
              </w:rPr>
              <w:t>Before each new provider round, measure the real rendered prompt cost, including active schemas, tool-call arguments, compacted history, and image token estimates.</w:t>
            </w:r>
          </w:p>
        </w:tc>
        <w:tc>
          <w:tcPr>
            <w:tcW w:type="dxa" w:w="4010"/>
            <w:tcMar>
              <w:top w:w="80" w:type="dxa"/>
              <w:start w:w="120" w:type="dxa"/>
              <w:bottom w:w="80" w:type="dxa"/>
              <w:end w:w="120" w:type="dxa"/>
            </w:tcMar>
            <w:vAlign w:val="center"/>
          </w:tcPr>
          <w:p>
            <w:pPr>
              <w:spacing w:after="0" w:line="259" w:lineRule="auto"/>
            </w:pPr>
            <w:r>
              <w:rPr>
                <w:rFonts w:ascii="Calibri" w:hAnsi="Calibri"/>
                <w:color w:val="20242A"/>
                <w:sz w:val="19"/>
              </w:rPr>
              <w:t>Character estimates alone miss expensive JSON tool arguments and image parts. The decision must be based on the actual provider-facing request.</w:t>
            </w:r>
          </w:p>
        </w:tc>
      </w:tr>
      <w:tr>
        <w:tc>
          <w:tcPr>
            <w:tcW w:type="dxa" w:w="1150"/>
            <w:tcMar>
              <w:top w:w="80" w:type="dxa"/>
              <w:start w:w="120" w:type="dxa"/>
              <w:bottom w:w="80" w:type="dxa"/>
              <w:end w:w="120" w:type="dxa"/>
            </w:tcMar>
            <w:vAlign w:val="center"/>
          </w:tcPr>
          <w:p>
            <w:pPr>
              <w:spacing w:after="0" w:line="259" w:lineRule="auto"/>
            </w:pPr>
            <w:r>
              <w:rPr>
                <w:rFonts w:ascii="Calibri" w:hAnsi="Calibri"/>
                <w:color w:val="20242A"/>
                <w:sz w:val="19"/>
              </w:rPr>
              <w:t>Decide</w:t>
            </w:r>
          </w:p>
        </w:tc>
        <w:tc>
          <w:tcPr>
            <w:tcW w:type="dxa" w:w="4200"/>
            <w:tcMar>
              <w:top w:w="80" w:type="dxa"/>
              <w:start w:w="120" w:type="dxa"/>
              <w:bottom w:w="80" w:type="dxa"/>
              <w:end w:w="120" w:type="dxa"/>
            </w:tcMar>
            <w:vAlign w:val="center"/>
          </w:tcPr>
          <w:p>
            <w:pPr>
              <w:spacing w:after="0" w:line="259" w:lineRule="auto"/>
            </w:pPr>
            <w:r>
              <w:rPr>
                <w:rFonts w:ascii="Calibri" w:hAnsi="Calibri"/>
                <w:color w:val="20242A"/>
                <w:sz w:val="19"/>
              </w:rPr>
              <w:t>When the next round would threaten the reply reserve, exhaust safe reclaim tiers, or exceed an epoch tool-call budget, request a context epoch at the next safe boundary.</w:t>
            </w:r>
          </w:p>
        </w:tc>
        <w:tc>
          <w:tcPr>
            <w:tcW w:type="dxa" w:w="4010"/>
            <w:tcMar>
              <w:top w:w="80" w:type="dxa"/>
              <w:start w:w="120" w:type="dxa"/>
              <w:bottom w:w="80" w:type="dxa"/>
              <w:end w:w="120" w:type="dxa"/>
            </w:tcMar>
            <w:vAlign w:val="center"/>
          </w:tcPr>
          <w:p>
            <w:pPr>
              <w:spacing w:after="0" w:line="259" w:lineRule="auto"/>
            </w:pPr>
            <w:r>
              <w:rPr>
                <w:rFonts w:ascii="Calibri" w:hAnsi="Calibri"/>
                <w:color w:val="20242A"/>
                <w:sz w:val="19"/>
              </w:rPr>
              <w:t>The threshold is derived from the reply reserve plus headroom for a permitted tool result, rather than a context-size percentage that can become unusable at 16K.</w:t>
            </w:r>
          </w:p>
        </w:tc>
      </w:tr>
      <w:tr>
        <w:tc>
          <w:tcPr>
            <w:tcW w:type="dxa" w:w="1150"/>
            <w:tcMar>
              <w:top w:w="80" w:type="dxa"/>
              <w:start w:w="120" w:type="dxa"/>
              <w:bottom w:w="80" w:type="dxa"/>
              <w:end w:w="120" w:type="dxa"/>
            </w:tcMar>
            <w:vAlign w:val="center"/>
          </w:tcPr>
          <w:p>
            <w:pPr>
              <w:spacing w:after="0" w:line="259" w:lineRule="auto"/>
            </w:pPr>
            <w:r>
              <w:rPr>
                <w:rFonts w:ascii="Calibri" w:hAnsi="Calibri"/>
                <w:color w:val="20242A"/>
                <w:sz w:val="19"/>
              </w:rPr>
              <w:t>Handoff</w:t>
            </w:r>
          </w:p>
        </w:tc>
        <w:tc>
          <w:tcPr>
            <w:tcW w:type="dxa" w:w="4200"/>
            <w:tcMar>
              <w:top w:w="80" w:type="dxa"/>
              <w:start w:w="120" w:type="dxa"/>
              <w:bottom w:w="80" w:type="dxa"/>
              <w:end w:w="120" w:type="dxa"/>
            </w:tcMar>
            <w:vAlign w:val="center"/>
          </w:tcPr>
          <w:p>
            <w:pPr>
              <w:spacing w:after="0" w:line="259" w:lineRule="auto"/>
            </w:pPr>
            <w:r>
              <w:rPr>
                <w:rFonts w:ascii="Calibri" w:hAnsi="Calibri"/>
                <w:color w:val="20242A"/>
                <w:sz w:val="19"/>
              </w:rPr>
              <w:t>Persist a compact structured record in a protected, separately budgeted provider-context block; use a bounded tools-disabled summary only as a supplement.</w:t>
            </w:r>
          </w:p>
        </w:tc>
        <w:tc>
          <w:tcPr>
            <w:tcW w:type="dxa" w:w="4010"/>
            <w:tcMar>
              <w:top w:w="80" w:type="dxa"/>
              <w:start w:w="120" w:type="dxa"/>
              <w:bottom w:w="80" w:type="dxa"/>
              <w:end w:w="120" w:type="dxa"/>
            </w:tcMar>
            <w:vAlign w:val="center"/>
          </w:tcPr>
          <w:p>
            <w:pPr>
              <w:spacing w:after="0" w:line="259" w:lineRule="auto"/>
            </w:pPr>
            <w:r>
              <w:rPr>
                <w:rFonts w:ascii="Calibri" w:hAnsi="Calibri"/>
                <w:color w:val="20242A"/>
                <w:sz w:val="19"/>
              </w:rPr>
              <w:t>A deterministic record prevents loss of file paths, task state, and verification requirements because rolling history compaction cannot rewrite it.</w:t>
            </w:r>
          </w:p>
        </w:tc>
      </w:tr>
      <w:tr>
        <w:tc>
          <w:tcPr>
            <w:tcW w:type="dxa" w:w="1150"/>
            <w:tcMar>
              <w:top w:w="80" w:type="dxa"/>
              <w:start w:w="120" w:type="dxa"/>
              <w:bottom w:w="80" w:type="dxa"/>
              <w:end w:w="120" w:type="dxa"/>
            </w:tcMar>
            <w:vAlign w:val="center"/>
          </w:tcPr>
          <w:p>
            <w:pPr>
              <w:spacing w:after="0" w:line="259" w:lineRule="auto"/>
            </w:pPr>
            <w:r>
              <w:rPr>
                <w:rFonts w:ascii="Calibri" w:hAnsi="Calibri"/>
                <w:color w:val="20242A"/>
                <w:sz w:val="19"/>
              </w:rPr>
              <w:t>Rebuild</w:t>
            </w:r>
          </w:p>
        </w:tc>
        <w:tc>
          <w:tcPr>
            <w:tcW w:type="dxa" w:w="4200"/>
            <w:tcMar>
              <w:top w:w="80" w:type="dxa"/>
              <w:start w:w="120" w:type="dxa"/>
              <w:bottom w:w="80" w:type="dxa"/>
              <w:end w:w="120" w:type="dxa"/>
            </w:tcMar>
            <w:vAlign w:val="center"/>
          </w:tcPr>
          <w:p>
            <w:pPr>
              <w:spacing w:after="0" w:line="259" w:lineRule="auto"/>
            </w:pPr>
            <w:r>
              <w:rPr>
                <w:rFonts w:ascii="Calibri" w:hAnsi="Calibri"/>
                <w:color w:val="20242A"/>
                <w:sz w:val="19"/>
              </w:rPr>
              <w:t>Use the existing bounded-history and rolling-summary seam for ordinary history, then render the protected handoff, current instructions, and bounded recent tail. Measure it before accepting the epoch.</w:t>
            </w:r>
          </w:p>
        </w:tc>
        <w:tc>
          <w:tcPr>
            <w:tcW w:type="dxa" w:w="4010"/>
            <w:tcMar>
              <w:top w:w="80" w:type="dxa"/>
              <w:start w:w="120" w:type="dxa"/>
              <w:bottom w:w="80" w:type="dxa"/>
              <w:end w:w="120" w:type="dxa"/>
            </w:tcMar>
            <w:vAlign w:val="center"/>
          </w:tcPr>
          <w:p>
            <w:pPr>
              <w:spacing w:after="0" w:line="259" w:lineRule="auto"/>
            </w:pPr>
            <w:r>
              <w:rPr>
                <w:rFonts w:ascii="Calibri" w:hAnsi="Calibri"/>
                <w:color w:val="20242A"/>
                <w:sz w:val="19"/>
              </w:rPr>
              <w:t>History compaction retains one owner. The protected handoff has a separate owner and cannot be evicted or re-summarized.</w:t>
            </w:r>
          </w:p>
        </w:tc>
      </w:tr>
      <w:tr>
        <w:tc>
          <w:tcPr>
            <w:tcW w:type="dxa" w:w="1150"/>
            <w:tcMar>
              <w:top w:w="80" w:type="dxa"/>
              <w:start w:w="120" w:type="dxa"/>
              <w:bottom w:w="80" w:type="dxa"/>
              <w:end w:w="120" w:type="dxa"/>
            </w:tcMar>
            <w:vAlign w:val="center"/>
          </w:tcPr>
          <w:p>
            <w:pPr>
              <w:spacing w:after="0" w:line="259" w:lineRule="auto"/>
            </w:pPr>
            <w:r>
              <w:rPr>
                <w:rFonts w:ascii="Calibri" w:hAnsi="Calibri"/>
                <w:color w:val="20242A"/>
                <w:sz w:val="19"/>
              </w:rPr>
              <w:t>Resume</w:t>
            </w:r>
          </w:p>
        </w:tc>
        <w:tc>
          <w:tcPr>
            <w:tcW w:type="dxa" w:w="4200"/>
            <w:tcMar>
              <w:top w:w="80" w:type="dxa"/>
              <w:start w:w="120" w:type="dxa"/>
              <w:bottom w:w="80" w:type="dxa"/>
              <w:end w:w="120" w:type="dxa"/>
            </w:tcMar>
            <w:vAlign w:val="center"/>
          </w:tcPr>
          <w:p>
            <w:pPr>
              <w:spacing w:after="0" w:line="259" w:lineRule="auto"/>
            </w:pPr>
            <w:r>
              <w:rPr>
                <w:rFonts w:ascii="Calibri" w:hAnsi="Calibri"/>
                <w:color w:val="20242A"/>
                <w:sz w:val="19"/>
              </w:rPr>
              <w:t>Continue the goal run from the next concrete action. Reopen exact workspace files or re-inspect the target only when required.</w:t>
            </w:r>
          </w:p>
        </w:tc>
        <w:tc>
          <w:tcPr>
            <w:tcW w:type="dxa" w:w="4010"/>
            <w:tcMar>
              <w:top w:w="80" w:type="dxa"/>
              <w:start w:w="120" w:type="dxa"/>
              <w:bottom w:w="80" w:type="dxa"/>
              <w:end w:w="120" w:type="dxa"/>
            </w:tcMar>
            <w:vAlign w:val="center"/>
          </w:tcPr>
          <w:p>
            <w:pPr>
              <w:spacing w:after="0" w:line="259" w:lineRule="auto"/>
            </w:pPr>
            <w:r>
              <w:rPr>
                <w:rFonts w:ascii="Calibri" w:hAnsi="Calibri"/>
                <w:color w:val="20242A"/>
                <w:sz w:val="19"/>
              </w:rPr>
              <w:t>This minimizes repeated prompt payloads and avoids pretending that discarded detail is still known.</w:t>
            </w:r>
          </w:p>
        </w:tc>
      </w:tr>
    </w:tbl>
    <w:p>
      <w:pPr>
        <w:spacing w:after="0"/>
      </w:pPr>
    </w:p>
    <w:p>
      <w:pPr>
        <w:pStyle w:val="Heading1"/>
        <w:keepNext/>
      </w:pPr>
      <w:r>
        <w:t>4. The structured handoff contract</w:t>
      </w:r>
    </w:p>
    <w:p>
      <w:pPr/>
      <w:r>
        <w:rPr>
          <w:rFonts w:ascii="Calibri" w:hAnsi="Calibri"/>
        </w:rPr>
        <w:t>The handoff should be typed, persisted with the conversation, and cheap to render. It should not contain raw screenshots, full command output, or every tool result. Those remain available through the durable transcript, workspace, preview assets, and checkpoints.</w:t>
      </w:r>
    </w:p>
    <w:tbl>
      <w:tblPr>
        <w:tblStyle w:val="TableGrid"/>
        <w:tblW w:type="dxa" w:w="9360"/>
        <w:jc w:val="left"/>
        <w:tblLayout w:type="fixed"/>
        <w:tblLook w:firstColumn="1" w:firstRow="1" w:lastColumn="0" w:lastRow="0" w:noHBand="0" w:noVBand="1" w:val="04A0"/>
        <w:tblInd w:w="120" w:type="dxa"/>
      </w:tblPr>
      <w:tblGrid>
        <w:gridCol w:w="1550"/>
        <w:gridCol w:w="4250"/>
        <w:gridCol w:w="3560"/>
      </w:tblGrid>
      <w:tr>
        <w:trPr>
          <w:tblHeader w:val="true"/>
        </w:trPr>
        <w:tc>
          <w:tcPr>
            <w:tcW w:type="dxa" w:w="1550"/>
            <w:shd w:fill="E8EEF5" w:val="clear"/>
            <w:tcMar>
              <w:top w:w="80" w:type="dxa"/>
              <w:start w:w="120" w:type="dxa"/>
              <w:bottom w:w="80" w:type="dxa"/>
              <w:end w:w="120" w:type="dxa"/>
            </w:tcMar>
            <w:vAlign w:val="center"/>
          </w:tcPr>
          <w:p>
            <w:pPr>
              <w:spacing w:after="0"/>
            </w:pPr>
            <w:r>
              <w:rPr>
                <w:rFonts w:ascii="Calibri" w:hAnsi="Calibri"/>
                <w:b/>
                <w:color w:val="0B2545"/>
                <w:sz w:val="19"/>
              </w:rPr>
              <w:t>Field</w:t>
            </w:r>
          </w:p>
        </w:tc>
        <w:tc>
          <w:tcPr>
            <w:tcW w:type="dxa" w:w="4250"/>
            <w:shd w:fill="E8EEF5" w:val="clear"/>
            <w:tcMar>
              <w:top w:w="80" w:type="dxa"/>
              <w:start w:w="120" w:type="dxa"/>
              <w:bottom w:w="80" w:type="dxa"/>
              <w:end w:w="120" w:type="dxa"/>
            </w:tcMar>
            <w:vAlign w:val="center"/>
          </w:tcPr>
          <w:p>
            <w:pPr>
              <w:spacing w:after="0"/>
            </w:pPr>
            <w:r>
              <w:rPr>
                <w:rFonts w:ascii="Calibri" w:hAnsi="Calibri"/>
                <w:b/>
                <w:color w:val="0B2545"/>
                <w:sz w:val="19"/>
              </w:rPr>
              <w:t>Contents</w:t>
            </w:r>
          </w:p>
        </w:tc>
        <w:tc>
          <w:tcPr>
            <w:tcW w:type="dxa" w:w="3560"/>
            <w:shd w:fill="E8EEF5" w:val="clear"/>
            <w:tcMar>
              <w:top w:w="80" w:type="dxa"/>
              <w:start w:w="120" w:type="dxa"/>
              <w:bottom w:w="80" w:type="dxa"/>
              <w:end w:w="120" w:type="dxa"/>
            </w:tcMar>
            <w:vAlign w:val="center"/>
          </w:tcPr>
          <w:p>
            <w:pPr>
              <w:spacing w:after="0"/>
            </w:pPr>
            <w:r>
              <w:rPr>
                <w:rFonts w:ascii="Calibri" w:hAnsi="Calibri"/>
                <w:b/>
                <w:color w:val="0B2545"/>
                <w:sz w:val="19"/>
              </w:rPr>
              <w:t>Why it is retained</w:t>
            </w:r>
          </w:p>
        </w:tc>
      </w:tr>
      <w:tr>
        <w:tc>
          <w:tcPr>
            <w:tcW w:type="dxa" w:w="1550"/>
            <w:tcMar>
              <w:top w:w="80" w:type="dxa"/>
              <w:start w:w="120" w:type="dxa"/>
              <w:bottom w:w="80" w:type="dxa"/>
              <w:end w:w="120" w:type="dxa"/>
            </w:tcMar>
            <w:vAlign w:val="center"/>
          </w:tcPr>
          <w:p>
            <w:pPr>
              <w:spacing w:after="0" w:line="259" w:lineRule="auto"/>
            </w:pPr>
            <w:r>
              <w:rPr>
                <w:rFonts w:ascii="Calibri" w:hAnsi="Calibri"/>
                <w:color w:val="20242A"/>
                <w:sz w:val="19"/>
              </w:rPr>
              <w:t>Objective</w:t>
            </w:r>
          </w:p>
        </w:tc>
        <w:tc>
          <w:tcPr>
            <w:tcW w:type="dxa" w:w="4250"/>
            <w:tcMar>
              <w:top w:w="80" w:type="dxa"/>
              <w:start w:w="120" w:type="dxa"/>
              <w:bottom w:w="80" w:type="dxa"/>
              <w:end w:w="120" w:type="dxa"/>
            </w:tcMar>
            <w:vAlign w:val="center"/>
          </w:tcPr>
          <w:p>
            <w:pPr>
              <w:spacing w:after="0" w:line="259" w:lineRule="auto"/>
            </w:pPr>
            <w:r>
              <w:rPr>
                <w:rFonts w:ascii="Calibri" w:hAnsi="Calibri"/>
                <w:color w:val="20242A"/>
                <w:sz w:val="19"/>
              </w:rPr>
              <w:t>Current goal and user constraints, including approval or verification requirements.</w:t>
            </w:r>
          </w:p>
        </w:tc>
        <w:tc>
          <w:tcPr>
            <w:tcW w:type="dxa" w:w="3560"/>
            <w:tcMar>
              <w:top w:w="80" w:type="dxa"/>
              <w:start w:w="120" w:type="dxa"/>
              <w:bottom w:w="80" w:type="dxa"/>
              <w:end w:w="120" w:type="dxa"/>
            </w:tcMar>
            <w:vAlign w:val="center"/>
          </w:tcPr>
          <w:p>
            <w:pPr>
              <w:spacing w:after="0" w:line="259" w:lineRule="auto"/>
            </w:pPr>
            <w:r>
              <w:rPr>
                <w:rFonts w:ascii="Calibri" w:hAnsi="Calibri"/>
                <w:color w:val="20242A"/>
                <w:sz w:val="19"/>
              </w:rPr>
              <w:t>Prevents the next epoch from changing scope or declaring success too early.</w:t>
            </w:r>
          </w:p>
        </w:tc>
      </w:tr>
      <w:tr>
        <w:tc>
          <w:tcPr>
            <w:tcW w:type="dxa" w:w="1550"/>
            <w:tcMar>
              <w:top w:w="80" w:type="dxa"/>
              <w:start w:w="120" w:type="dxa"/>
              <w:bottom w:w="80" w:type="dxa"/>
              <w:end w:w="120" w:type="dxa"/>
            </w:tcMar>
            <w:vAlign w:val="center"/>
          </w:tcPr>
          <w:p>
            <w:pPr>
              <w:spacing w:after="0" w:line="259" w:lineRule="auto"/>
            </w:pPr>
            <w:r>
              <w:rPr>
                <w:rFonts w:ascii="Calibri" w:hAnsi="Calibri"/>
                <w:color w:val="20242A"/>
                <w:sz w:val="19"/>
              </w:rPr>
              <w:t>Plan state</w:t>
            </w:r>
          </w:p>
        </w:tc>
        <w:tc>
          <w:tcPr>
            <w:tcW w:type="dxa" w:w="4250"/>
            <w:tcMar>
              <w:top w:w="80" w:type="dxa"/>
              <w:start w:w="120" w:type="dxa"/>
              <w:bottom w:w="80" w:type="dxa"/>
              <w:end w:w="120" w:type="dxa"/>
            </w:tcMar>
            <w:vAlign w:val="center"/>
          </w:tcPr>
          <w:p>
            <w:pPr>
              <w:spacing w:after="0" w:line="259" w:lineRule="auto"/>
            </w:pPr>
            <w:r>
              <w:rPr>
                <w:rFonts w:ascii="Calibri" w:hAnsi="Calibri"/>
                <w:color w:val="20242A"/>
                <w:sz w:val="19"/>
              </w:rPr>
              <w:t>Visible plan rows, completed steps, current step, and reason for any blocked step.</w:t>
            </w:r>
          </w:p>
        </w:tc>
        <w:tc>
          <w:tcPr>
            <w:tcW w:type="dxa" w:w="3560"/>
            <w:tcMar>
              <w:top w:w="80" w:type="dxa"/>
              <w:start w:w="120" w:type="dxa"/>
              <w:bottom w:w="80" w:type="dxa"/>
              <w:end w:w="120" w:type="dxa"/>
            </w:tcMar>
            <w:vAlign w:val="center"/>
          </w:tcPr>
          <w:p>
            <w:pPr>
              <w:spacing w:after="0" w:line="259" w:lineRule="auto"/>
            </w:pPr>
            <w:r>
              <w:rPr>
                <w:rFonts w:ascii="Calibri" w:hAnsi="Calibri"/>
                <w:color w:val="20242A"/>
                <w:sz w:val="19"/>
              </w:rPr>
              <w:t>Lets the UI and model agree about what is actually complete.</w:t>
            </w:r>
          </w:p>
        </w:tc>
      </w:tr>
      <w:tr>
        <w:tc>
          <w:tcPr>
            <w:tcW w:type="dxa" w:w="1550"/>
            <w:tcMar>
              <w:top w:w="80" w:type="dxa"/>
              <w:start w:w="120" w:type="dxa"/>
              <w:bottom w:w="80" w:type="dxa"/>
              <w:end w:w="120" w:type="dxa"/>
            </w:tcMar>
            <w:vAlign w:val="center"/>
          </w:tcPr>
          <w:p>
            <w:pPr>
              <w:spacing w:after="0" w:line="259" w:lineRule="auto"/>
            </w:pPr>
            <w:r>
              <w:rPr>
                <w:rFonts w:ascii="Calibri" w:hAnsi="Calibri"/>
                <w:color w:val="20242A"/>
                <w:sz w:val="19"/>
              </w:rPr>
              <w:t>Completed work</w:t>
            </w:r>
          </w:p>
        </w:tc>
        <w:tc>
          <w:tcPr>
            <w:tcW w:type="dxa" w:w="4250"/>
            <w:tcMar>
              <w:top w:w="80" w:type="dxa"/>
              <w:start w:w="120" w:type="dxa"/>
              <w:bottom w:w="80" w:type="dxa"/>
              <w:end w:w="120" w:type="dxa"/>
            </w:tcMar>
            <w:vAlign w:val="center"/>
          </w:tcPr>
          <w:p>
            <w:pPr>
              <w:spacing w:after="0" w:line="259" w:lineRule="auto"/>
            </w:pPr>
            <w:r>
              <w:rPr>
                <w:rFonts w:ascii="Calibri" w:hAnsi="Calibri"/>
                <w:color w:val="20242A"/>
                <w:sz w:val="19"/>
              </w:rPr>
              <w:t>Successful mutations, changed paths and content hashes, commands/checks that passed, verified observations, and terminal approvals or denials.</w:t>
            </w:r>
          </w:p>
        </w:tc>
        <w:tc>
          <w:tcPr>
            <w:tcW w:type="dxa" w:w="3560"/>
            <w:tcMar>
              <w:top w:w="80" w:type="dxa"/>
              <w:start w:w="120" w:type="dxa"/>
              <w:bottom w:w="80" w:type="dxa"/>
              <w:end w:w="120" w:type="dxa"/>
            </w:tcMar>
            <w:vAlign w:val="center"/>
          </w:tcPr>
          <w:p>
            <w:pPr>
              <w:spacing w:after="0" w:line="259" w:lineRule="auto"/>
            </w:pPr>
            <w:r>
              <w:rPr>
                <w:rFonts w:ascii="Calibri" w:hAnsi="Calibri"/>
                <w:color w:val="20242A"/>
                <w:sz w:val="19"/>
              </w:rPr>
              <w:t>Allows continuation without redoing successful work or asking the same approval twice.</w:t>
            </w:r>
          </w:p>
        </w:tc>
      </w:tr>
      <w:tr>
        <w:tc>
          <w:tcPr>
            <w:tcW w:type="dxa" w:w="1550"/>
            <w:tcMar>
              <w:top w:w="80" w:type="dxa"/>
              <w:start w:w="120" w:type="dxa"/>
              <w:bottom w:w="80" w:type="dxa"/>
              <w:end w:w="120" w:type="dxa"/>
            </w:tcMar>
            <w:vAlign w:val="center"/>
          </w:tcPr>
          <w:p>
            <w:pPr>
              <w:spacing w:after="0" w:line="259" w:lineRule="auto"/>
            </w:pPr>
            <w:r>
              <w:rPr>
                <w:rFonts w:ascii="Calibri" w:hAnsi="Calibri"/>
                <w:color w:val="20242A"/>
                <w:sz w:val="19"/>
              </w:rPr>
              <w:t>Open questions</w:t>
            </w:r>
          </w:p>
        </w:tc>
        <w:tc>
          <w:tcPr>
            <w:tcW w:type="dxa" w:w="4250"/>
            <w:tcMar>
              <w:top w:w="80" w:type="dxa"/>
              <w:start w:w="120" w:type="dxa"/>
              <w:bottom w:w="80" w:type="dxa"/>
              <w:end w:w="120" w:type="dxa"/>
            </w:tcMar>
            <w:vAlign w:val="center"/>
          </w:tcPr>
          <w:p>
            <w:pPr>
              <w:spacing w:after="0" w:line="259" w:lineRule="auto"/>
            </w:pPr>
            <w:r>
              <w:rPr>
                <w:rFonts w:ascii="Calibri" w:hAnsi="Calibri"/>
                <w:color w:val="20242A"/>
                <w:sz w:val="19"/>
              </w:rPr>
              <w:t>Runtime errors, ambiguous findings, pending approvals, and what evidence is still required.</w:t>
            </w:r>
          </w:p>
        </w:tc>
        <w:tc>
          <w:tcPr>
            <w:tcW w:type="dxa" w:w="3560"/>
            <w:tcMar>
              <w:top w:w="80" w:type="dxa"/>
              <w:start w:w="120" w:type="dxa"/>
              <w:bottom w:w="80" w:type="dxa"/>
              <w:end w:w="120" w:type="dxa"/>
            </w:tcMar>
            <w:vAlign w:val="center"/>
          </w:tcPr>
          <w:p>
            <w:pPr>
              <w:spacing w:after="0" w:line="259" w:lineRule="auto"/>
            </w:pPr>
            <w:r>
              <w:rPr>
                <w:rFonts w:ascii="Calibri" w:hAnsi="Calibri"/>
                <w:color w:val="20242A"/>
                <w:sz w:val="19"/>
              </w:rPr>
              <w:t>Directs the next concrete action and protects against fabricated completion.</w:t>
            </w:r>
          </w:p>
        </w:tc>
      </w:tr>
      <w:tr>
        <w:tc>
          <w:tcPr>
            <w:tcW w:type="dxa" w:w="1550"/>
            <w:tcMar>
              <w:top w:w="80" w:type="dxa"/>
              <w:start w:w="120" w:type="dxa"/>
              <w:bottom w:w="80" w:type="dxa"/>
              <w:end w:w="120" w:type="dxa"/>
            </w:tcMar>
            <w:vAlign w:val="center"/>
          </w:tcPr>
          <w:p>
            <w:pPr>
              <w:spacing w:after="0" w:line="259" w:lineRule="auto"/>
            </w:pPr>
            <w:r>
              <w:rPr>
                <w:rFonts w:ascii="Calibri" w:hAnsi="Calibri"/>
                <w:color w:val="20242A"/>
                <w:sz w:val="19"/>
              </w:rPr>
              <w:t>Evidence pointers</w:t>
            </w:r>
          </w:p>
        </w:tc>
        <w:tc>
          <w:tcPr>
            <w:tcW w:type="dxa" w:w="4250"/>
            <w:tcMar>
              <w:top w:w="80" w:type="dxa"/>
              <w:start w:w="120" w:type="dxa"/>
              <w:bottom w:w="80" w:type="dxa"/>
              <w:end w:w="120" w:type="dxa"/>
            </w:tcMar>
            <w:vAlign w:val="center"/>
          </w:tcPr>
          <w:p>
            <w:pPr>
              <w:spacing w:after="0" w:line="259" w:lineRule="auto"/>
            </w:pPr>
            <w:r>
              <w:rPr>
                <w:rFonts w:ascii="Calibri" w:hAnsi="Calibri"/>
                <w:color w:val="20242A"/>
                <w:sz w:val="19"/>
              </w:rPr>
              <w:t>Relative paths, line ranges, checkpoint ids, tool ids, visual asset references, and named HTML section ids.</w:t>
            </w:r>
          </w:p>
        </w:tc>
        <w:tc>
          <w:tcPr>
            <w:tcW w:type="dxa" w:w="3560"/>
            <w:tcMar>
              <w:top w:w="80" w:type="dxa"/>
              <w:start w:w="120" w:type="dxa"/>
              <w:bottom w:w="80" w:type="dxa"/>
              <w:end w:w="120" w:type="dxa"/>
            </w:tcMar>
            <w:vAlign w:val="center"/>
          </w:tcPr>
          <w:p>
            <w:pPr>
              <w:spacing w:after="0" w:line="259" w:lineRule="auto"/>
            </w:pPr>
            <w:r>
              <w:rPr>
                <w:rFonts w:ascii="Calibri" w:hAnsi="Calibri"/>
                <w:color w:val="20242A"/>
                <w:sz w:val="19"/>
              </w:rPr>
              <w:t>Detailed content can be reopened on demand without being copied into every provider request.</w:t>
            </w:r>
          </w:p>
        </w:tc>
      </w:tr>
      <w:tr>
        <w:tc>
          <w:tcPr>
            <w:tcW w:type="dxa" w:w="1550"/>
            <w:tcMar>
              <w:top w:w="80" w:type="dxa"/>
              <w:start w:w="120" w:type="dxa"/>
              <w:bottom w:w="80" w:type="dxa"/>
              <w:end w:w="120" w:type="dxa"/>
            </w:tcMar>
            <w:vAlign w:val="center"/>
          </w:tcPr>
          <w:p>
            <w:pPr>
              <w:spacing w:after="0" w:line="259" w:lineRule="auto"/>
            </w:pPr>
            <w:r>
              <w:rPr>
                <w:rFonts w:ascii="Calibri" w:hAnsi="Calibri"/>
                <w:color w:val="20242A"/>
                <w:sz w:val="19"/>
              </w:rPr>
              <w:t>Epoch metadata</w:t>
            </w:r>
          </w:p>
        </w:tc>
        <w:tc>
          <w:tcPr>
            <w:tcW w:type="dxa" w:w="4250"/>
            <w:tcMar>
              <w:top w:w="80" w:type="dxa"/>
              <w:start w:w="120" w:type="dxa"/>
              <w:bottom w:w="80" w:type="dxa"/>
              <w:end w:w="120" w:type="dxa"/>
            </w:tcMar>
            <w:vAlign w:val="center"/>
          </w:tcPr>
          <w:p>
            <w:pPr>
              <w:spacing w:after="0" w:line="259" w:lineRule="auto"/>
            </w:pPr>
            <w:r>
              <w:rPr>
                <w:rFonts w:ascii="Calibri" w:hAnsi="Calibri"/>
                <w:color w:val="20242A"/>
                <w:sz w:val="19"/>
              </w:rPr>
              <w:t>Epoch number, compaction cause, measured per-round token accounting, image-part count, tool calls collapsed, an epoch-scoped recovery-read budget, and the estimator correction used.</w:t>
            </w:r>
          </w:p>
        </w:tc>
        <w:tc>
          <w:tcPr>
            <w:tcW w:type="dxa" w:w="3560"/>
            <w:tcMar>
              <w:top w:w="80" w:type="dxa"/>
              <w:start w:w="120" w:type="dxa"/>
              <w:bottom w:w="80" w:type="dxa"/>
              <w:end w:w="120" w:type="dxa"/>
            </w:tcMar>
            <w:vAlign w:val="center"/>
          </w:tcPr>
          <w:p>
            <w:pPr>
              <w:spacing w:after="0" w:line="259" w:lineRule="auto"/>
            </w:pPr>
            <w:r>
              <w:rPr>
                <w:rFonts w:ascii="Calibri" w:hAnsi="Calibri"/>
                <w:color w:val="20242A"/>
                <w:sz w:val="19"/>
              </w:rPr>
              <w:t>Supports debugging, makes the transition auditable, and prevents old-context facts from blocking a small number of necessary recovery reads.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Pr>
          <w:p>
            <w:pPr>
              <w:spacing w:after="40"/>
            </w:pPr>
            <w:r>
              <w:rPr>
                <w:rFonts w:ascii="Calibri" w:hAnsi="Calibri"/>
                <w:b/>
                <w:color w:val="7A5A00"/>
                <w:sz w:val="19"/>
              </w:rPr>
              <w:t>IMPORTANT BOUNDARY</w:t>
            </w:r>
          </w:p>
          <w:p>
            <w:pPr>
              <w:spacing w:after="0" w:line="264" w:lineRule="auto"/>
            </w:pPr>
            <w:r>
              <w:rPr>
                <w:rFonts w:ascii="Calibri" w:hAnsi="Calibri"/>
                <w:color w:val="20242A"/>
                <w:sz w:val="21"/>
              </w:rPr>
              <w:t>Do not summarize a tool request without its settled result. A tool-call message and its result are a protocol pair. The new epoch begins only after the pair is complete, so the old exchange can be represented as a handoff rather than malformed partial history.</w:t>
            </w:r>
          </w:p>
        </w:tc>
      </w:tr>
    </w:tbl>
    <w:p>
      <w:pPr>
        <w:spacing w:after="0"/>
      </w:pPr>
    </w:p>
    <w:p>
      <w:pPr>
        <w:pStyle w:val="Heading1"/>
        <w:keepNext/>
      </w:pPr>
      <w:r>
        <w:t>5. Detailed implementation plan</w:t>
      </w:r>
    </w:p>
    <w:tbl>
      <w:tblPr>
        <w:tblStyle w:val="TableGrid"/>
        <w:tblW w:type="dxa" w:w="9360"/>
        <w:jc w:val="left"/>
        <w:tblLayout w:type="fixed"/>
        <w:tblLook w:firstColumn="1" w:firstRow="1" w:lastColumn="0" w:lastRow="0" w:noHBand="0" w:noVBand="1" w:val="04A0"/>
        <w:tblInd w:w="120" w:type="dxa"/>
      </w:tblPr>
      <w:tblGrid>
        <w:gridCol w:w="1250"/>
        <w:gridCol w:w="4850"/>
        <w:gridCol w:w="3260"/>
      </w:tblGrid>
      <w:tr>
        <w:trPr>
          <w:tblHeader w:val="true"/>
        </w:trPr>
        <w:tc>
          <w:tcPr>
            <w:tcW w:type="dxa" w:w="1250"/>
            <w:shd w:fill="E8EEF5" w:val="clear"/>
            <w:tcMar>
              <w:top w:w="80" w:type="dxa"/>
              <w:start w:w="120" w:type="dxa"/>
              <w:bottom w:w="80" w:type="dxa"/>
              <w:end w:w="120" w:type="dxa"/>
            </w:tcMar>
            <w:vAlign w:val="center"/>
          </w:tcPr>
          <w:p>
            <w:pPr>
              <w:spacing w:after="0"/>
            </w:pPr>
            <w:r>
              <w:rPr>
                <w:rFonts w:ascii="Calibri" w:hAnsi="Calibri"/>
                <w:b/>
                <w:color w:val="0B2545"/>
                <w:sz w:val="19"/>
              </w:rPr>
              <w:t>Phase</w:t>
            </w:r>
          </w:p>
        </w:tc>
        <w:tc>
          <w:tcPr>
            <w:tcW w:type="dxa" w:w="4850"/>
            <w:shd w:fill="E8EEF5" w:val="clear"/>
            <w:tcMar>
              <w:top w:w="80" w:type="dxa"/>
              <w:start w:w="120" w:type="dxa"/>
              <w:bottom w:w="80" w:type="dxa"/>
              <w:end w:w="120" w:type="dxa"/>
            </w:tcMar>
            <w:vAlign w:val="center"/>
          </w:tcPr>
          <w:p>
            <w:pPr>
              <w:spacing w:after="0"/>
            </w:pPr>
            <w:r>
              <w:rPr>
                <w:rFonts w:ascii="Calibri" w:hAnsi="Calibri"/>
                <w:b/>
                <w:color w:val="0B2545"/>
                <w:sz w:val="19"/>
              </w:rPr>
              <w:t>Deliverable</w:t>
            </w:r>
          </w:p>
        </w:tc>
        <w:tc>
          <w:tcPr>
            <w:tcW w:type="dxa" w:w="3260"/>
            <w:shd w:fill="E8EEF5" w:val="clear"/>
            <w:tcMar>
              <w:top w:w="80" w:type="dxa"/>
              <w:start w:w="120" w:type="dxa"/>
              <w:bottom w:w="80" w:type="dxa"/>
              <w:end w:w="120" w:type="dxa"/>
            </w:tcMar>
            <w:vAlign w:val="center"/>
          </w:tcPr>
          <w:p>
            <w:pPr>
              <w:spacing w:after="0"/>
            </w:pPr>
            <w:r>
              <w:rPr>
                <w:rFonts w:ascii="Calibri" w:hAnsi="Calibri"/>
                <w:b/>
                <w:color w:val="0B2545"/>
                <w:sz w:val="19"/>
              </w:rPr>
              <w:t>Exit criteria</w:t>
            </w:r>
          </w:p>
        </w:tc>
      </w:tr>
      <w:tr>
        <w:tc>
          <w:tcPr>
            <w:tcW w:type="dxa" w:w="1250"/>
            <w:tcMar>
              <w:top w:w="80" w:type="dxa"/>
              <w:start w:w="120" w:type="dxa"/>
              <w:bottom w:w="80" w:type="dxa"/>
              <w:end w:w="120" w:type="dxa"/>
            </w:tcMar>
            <w:vAlign w:val="center"/>
          </w:tcPr>
          <w:p>
            <w:pPr>
              <w:spacing w:after="0" w:line="259" w:lineRule="auto"/>
            </w:pPr>
            <w:r>
              <w:rPr>
                <w:rFonts w:ascii="Calibri" w:hAnsi="Calibri"/>
                <w:color w:val="20242A"/>
                <w:sz w:val="19"/>
              </w:rPr>
              <w:t>0. Evidence and logs</w:t>
            </w:r>
          </w:p>
        </w:tc>
        <w:tc>
          <w:tcPr>
            <w:tcW w:type="dxa" w:w="4850"/>
            <w:tcMar>
              <w:top w:w="80" w:type="dxa"/>
              <w:start w:w="120" w:type="dxa"/>
              <w:bottom w:w="80" w:type="dxa"/>
              <w:end w:w="120" w:type="dxa"/>
            </w:tcMar>
            <w:vAlign w:val="center"/>
          </w:tcPr>
          <w:p>
            <w:pPr>
              <w:spacing w:after="0" w:line="259" w:lineRule="auto"/>
            </w:pPr>
            <w:r>
              <w:rPr>
                <w:rFonts w:ascii="Calibri" w:hAnsi="Calibri"/>
                <w:color w:val="20242A"/>
                <w:sz w:val="19"/>
              </w:rPr>
              <w:t>Structured context-exhaustion and runtime-stop records, with no prompt or screenshot payloads.</w:t>
            </w:r>
          </w:p>
        </w:tc>
        <w:tc>
          <w:tcPr>
            <w:tcW w:type="dxa" w:w="3260"/>
            <w:tcMar>
              <w:top w:w="80" w:type="dxa"/>
              <w:start w:w="120" w:type="dxa"/>
              <w:bottom w:w="80" w:type="dxa"/>
              <w:end w:w="120" w:type="dxa"/>
            </w:tcMar>
            <w:vAlign w:val="center"/>
          </w:tcPr>
          <w:p>
            <w:pPr>
              <w:spacing w:after="0" w:line="259" w:lineRule="auto"/>
            </w:pPr>
            <w:r>
              <w:rPr>
                <w:rFonts w:ascii="Calibri" w:hAnsi="Calibri"/>
                <w:color w:val="20242A"/>
                <w:sz w:val="19"/>
              </w:rPr>
              <w:t>A failure report identifies the triggering budget, call count, active/deferred tool counts, image count, and runtime exit details when present.</w:t>
            </w:r>
          </w:p>
        </w:tc>
      </w:tr>
      <w:tr>
        <w:tc>
          <w:tcPr>
            <w:tcW w:type="dxa" w:w="1250"/>
            <w:tcMar>
              <w:top w:w="80" w:type="dxa"/>
              <w:start w:w="120" w:type="dxa"/>
              <w:bottom w:w="80" w:type="dxa"/>
              <w:end w:w="120" w:type="dxa"/>
            </w:tcMar>
            <w:vAlign w:val="center"/>
          </w:tcPr>
          <w:p>
            <w:pPr>
              <w:spacing w:after="0" w:line="259" w:lineRule="auto"/>
            </w:pPr>
            <w:r>
              <w:rPr>
                <w:rFonts w:ascii="Calibri" w:hAnsi="Calibri"/>
                <w:color w:val="20242A"/>
                <w:sz w:val="19"/>
              </w:rPr>
              <w:t>1. Epoch decision</w:t>
            </w:r>
          </w:p>
        </w:tc>
        <w:tc>
          <w:tcPr>
            <w:tcW w:type="dxa" w:w="4850"/>
            <w:tcMar>
              <w:top w:w="80" w:type="dxa"/>
              <w:start w:w="120" w:type="dxa"/>
              <w:bottom w:w="80" w:type="dxa"/>
              <w:end w:w="120" w:type="dxa"/>
            </w:tcMar>
            <w:vAlign w:val="center"/>
          </w:tcPr>
          <w:p>
            <w:pPr>
              <w:spacing w:after="0" w:line="259" w:lineRule="auto"/>
            </w:pPr>
            <w:r>
              <w:rPr>
                <w:rFonts w:ascii="Calibri" w:hAnsi="Calibri"/>
                <w:color w:val="20242A"/>
                <w:sz w:val="19"/>
              </w:rPr>
              <w:t>A provider-neutral decision point that requests compaction at a safe tool boundary.</w:t>
            </w:r>
          </w:p>
        </w:tc>
        <w:tc>
          <w:tcPr>
            <w:tcW w:type="dxa" w:w="3260"/>
            <w:tcMar>
              <w:top w:w="80" w:type="dxa"/>
              <w:start w:w="120" w:type="dxa"/>
              <w:bottom w:w="80" w:type="dxa"/>
              <w:end w:w="120" w:type="dxa"/>
            </w:tcMar>
            <w:vAlign w:val="center"/>
          </w:tcPr>
          <w:p>
            <w:pPr>
              <w:spacing w:after="0" w:line="259" w:lineRule="auto"/>
            </w:pPr>
            <w:r>
              <w:rPr>
                <w:rFonts w:ascii="Calibri" w:hAnsi="Calibri"/>
                <w:color w:val="20242A"/>
                <w:sz w:val="19"/>
              </w:rPr>
              <w:t>The decision uses measured request cost and reply reserve, not only a post-failure provider error.</w:t>
            </w:r>
          </w:p>
        </w:tc>
      </w:tr>
      <w:tr>
        <w:tc>
          <w:tcPr>
            <w:tcW w:type="dxa" w:w="1250"/>
            <w:tcMar>
              <w:top w:w="80" w:type="dxa"/>
              <w:start w:w="120" w:type="dxa"/>
              <w:bottom w:w="80" w:type="dxa"/>
              <w:end w:w="120" w:type="dxa"/>
            </w:tcMar>
            <w:vAlign w:val="center"/>
          </w:tcPr>
          <w:p>
            <w:pPr>
              <w:spacing w:after="0" w:line="259" w:lineRule="auto"/>
            </w:pPr>
            <w:r>
              <w:rPr>
                <w:rFonts w:ascii="Calibri" w:hAnsi="Calibri"/>
                <w:color w:val="20242A"/>
                <w:sz w:val="19"/>
              </w:rPr>
              <w:t>2. Handoff and rebuild</w:t>
            </w:r>
          </w:p>
        </w:tc>
        <w:tc>
          <w:tcPr>
            <w:tcW w:type="dxa" w:w="4850"/>
            <w:tcMar>
              <w:top w:w="80" w:type="dxa"/>
              <w:start w:w="120" w:type="dxa"/>
              <w:bottom w:w="80" w:type="dxa"/>
              <w:end w:w="120" w:type="dxa"/>
            </w:tcMar>
            <w:vAlign w:val="center"/>
          </w:tcPr>
          <w:p>
            <w:pPr>
              <w:spacing w:after="0" w:line="259" w:lineRule="auto"/>
            </w:pPr>
            <w:r>
              <w:rPr>
                <w:rFonts w:ascii="Calibri" w:hAnsi="Calibri"/>
                <w:color w:val="20242A"/>
                <w:sz w:val="19"/>
              </w:rPr>
              <w:t>Typed handoff persistence plus a clean request rebuild for text and vision paths.</w:t>
            </w:r>
          </w:p>
        </w:tc>
        <w:tc>
          <w:tcPr>
            <w:tcW w:type="dxa" w:w="3260"/>
            <w:tcMar>
              <w:top w:w="80" w:type="dxa"/>
              <w:start w:w="120" w:type="dxa"/>
              <w:bottom w:w="80" w:type="dxa"/>
              <w:end w:w="120" w:type="dxa"/>
            </w:tcMar>
            <w:vAlign w:val="center"/>
          </w:tcPr>
          <w:p>
            <w:pPr>
              <w:spacing w:after="0" w:line="259" w:lineRule="auto"/>
            </w:pPr>
            <w:r>
              <w:rPr>
                <w:rFonts w:ascii="Calibri" w:hAnsi="Calibri"/>
                <w:color w:val="20242A"/>
                <w:sz w:val="19"/>
              </w:rPr>
              <w:t>A long task can continue in a new epoch with the same model runtime and correct goal/plan state.</w:t>
            </w:r>
          </w:p>
        </w:tc>
      </w:tr>
      <w:tr>
        <w:tc>
          <w:tcPr>
            <w:tcW w:type="dxa" w:w="1250"/>
            <w:tcMar>
              <w:top w:w="80" w:type="dxa"/>
              <w:start w:w="120" w:type="dxa"/>
              <w:bottom w:w="80" w:type="dxa"/>
              <w:end w:w="120" w:type="dxa"/>
            </w:tcMar>
            <w:vAlign w:val="center"/>
          </w:tcPr>
          <w:p>
            <w:pPr>
              <w:spacing w:after="0" w:line="259" w:lineRule="auto"/>
            </w:pPr>
            <w:r>
              <w:rPr>
                <w:rFonts w:ascii="Calibri" w:hAnsi="Calibri"/>
                <w:color w:val="20242A"/>
                <w:sz w:val="19"/>
              </w:rPr>
              <w:t>3. Guardrails</w:t>
            </w:r>
          </w:p>
        </w:tc>
        <w:tc>
          <w:tcPr>
            <w:tcW w:type="dxa" w:w="4850"/>
            <w:tcMar>
              <w:top w:w="80" w:type="dxa"/>
              <w:start w:w="120" w:type="dxa"/>
              <w:bottom w:w="80" w:type="dxa"/>
              <w:end w:w="120" w:type="dxa"/>
            </w:tcMar>
            <w:vAlign w:val="center"/>
          </w:tcPr>
          <w:p>
            <w:pPr>
              <w:spacing w:after="0" w:line="259" w:lineRule="auto"/>
            </w:pPr>
            <w:r>
              <w:rPr>
                <w:rFonts w:ascii="Calibri" w:hAnsi="Calibri"/>
                <w:color w:val="20242A"/>
                <w:sz w:val="19"/>
              </w:rPr>
              <w:t>One recovery retry, loop prevention, idempotent transition handling, and explicit fallback behavior.</w:t>
            </w:r>
          </w:p>
        </w:tc>
        <w:tc>
          <w:tcPr>
            <w:tcW w:type="dxa" w:w="3260"/>
            <w:tcMar>
              <w:top w:w="80" w:type="dxa"/>
              <w:start w:w="120" w:type="dxa"/>
              <w:bottom w:w="80" w:type="dxa"/>
              <w:end w:w="120" w:type="dxa"/>
            </w:tcMar>
            <w:vAlign w:val="center"/>
          </w:tcPr>
          <w:p>
            <w:pPr>
              <w:spacing w:after="0" w:line="259" w:lineRule="auto"/>
            </w:pPr>
            <w:r>
              <w:rPr>
                <w:rFonts w:ascii="Calibri" w:hAnsi="Calibri"/>
                <w:color w:val="20242A"/>
                <w:sz w:val="19"/>
              </w:rPr>
              <w:t>No infinite compaction loop, duplicate mutation, or hidden loss of an unresolved approval.</w:t>
            </w:r>
          </w:p>
        </w:tc>
      </w:tr>
      <w:tr>
        <w:tc>
          <w:tcPr>
            <w:tcW w:type="dxa" w:w="1250"/>
            <w:tcMar>
              <w:top w:w="80" w:type="dxa"/>
              <w:start w:w="120" w:type="dxa"/>
              <w:bottom w:w="80" w:type="dxa"/>
              <w:end w:w="120" w:type="dxa"/>
            </w:tcMar>
            <w:vAlign w:val="center"/>
          </w:tcPr>
          <w:p>
            <w:pPr>
              <w:spacing w:after="0" w:line="259" w:lineRule="auto"/>
            </w:pPr>
            <w:r>
              <w:rPr>
                <w:rFonts w:ascii="Calibri" w:hAnsi="Calibri"/>
                <w:color w:val="20242A"/>
                <w:sz w:val="19"/>
              </w:rPr>
              <w:t>4. Validation and rollout</w:t>
            </w:r>
          </w:p>
        </w:tc>
        <w:tc>
          <w:tcPr>
            <w:tcW w:type="dxa" w:w="4850"/>
            <w:tcMar>
              <w:top w:w="80" w:type="dxa"/>
              <w:start w:w="120" w:type="dxa"/>
              <w:bottom w:w="80" w:type="dxa"/>
              <w:end w:w="120" w:type="dxa"/>
            </w:tcMar>
            <w:vAlign w:val="center"/>
          </w:tcPr>
          <w:p>
            <w:pPr>
              <w:spacing w:after="0" w:line="259" w:lineRule="auto"/>
            </w:pPr>
            <w:r>
              <w:rPr>
                <w:rFonts w:ascii="Calibri" w:hAnsi="Calibri"/>
                <w:color w:val="20242A"/>
                <w:sz w:val="19"/>
              </w:rPr>
              <w:t>Fixture tests, logs-only rollout, and review against real long tool runs.</w:t>
            </w:r>
          </w:p>
        </w:tc>
        <w:tc>
          <w:tcPr>
            <w:tcW w:type="dxa" w:w="3260"/>
            <w:tcMar>
              <w:top w:w="80" w:type="dxa"/>
              <w:start w:w="120" w:type="dxa"/>
              <w:bottom w:w="80" w:type="dxa"/>
              <w:end w:w="120" w:type="dxa"/>
            </w:tcMar>
            <w:vAlign w:val="center"/>
          </w:tcPr>
          <w:p>
            <w:pPr>
              <w:spacing w:after="0" w:line="259" w:lineRule="auto"/>
            </w:pPr>
            <w:r>
              <w:rPr>
                <w:rFonts w:ascii="Calibri" w:hAnsi="Calibri"/>
                <w:color w:val="20242A"/>
                <w:sz w:val="19"/>
              </w:rPr>
              <w:t>Context stops become successful handoffs or clear, actionable user-facing outcomes.</w:t>
            </w:r>
          </w:p>
        </w:tc>
      </w:tr>
    </w:tbl>
    <w:p>
      <w:pPr>
        <w:spacing w:after="0"/>
      </w:pPr>
    </w:p>
    <w:p>
      <w:pPr>
        <w:pStyle w:val="Heading2"/>
        <w:keepNext/>
      </w:pPr>
      <w:r>
        <w:t>Phase 0: Improve diagnostics first</w:t>
      </w:r>
    </w:p>
    <w:p>
      <w:pPr/>
      <w:r>
        <w:rPr>
          <w:rFonts w:ascii="Calibri" w:hAnsi="Calibri"/>
        </w:rPr>
        <w:t>Add a single structured diagnostic record whenever a generation approaches the reserve, triggers an epoch, receives a context-overflow response, or cannot recover. This is deliberately logs-only: no UI meter and no periodic hardware polling.</w:t>
      </w:r>
    </w:p>
    <w:p>
      <w:pPr>
        <w:spacing w:after="80"/>
      </w:pPr>
      <w:r>
        <w:rPr>
          <w:rFonts w:ascii="Calibri" w:hAnsi="Calibri"/>
          <w:b/>
          <w:color w:val="0B2545"/>
        </w:rPr>
        <w:t xml:space="preserve">Record: </w:t>
      </w:r>
      <w:r>
        <w:rPr>
          <w:rFonts w:ascii="Calibri" w:hAnsi="Calibri"/>
        </w:rPr>
        <w:t>One matched record per provider round: conversation id, model id, projector presence, context size, GPU layer setting, epoch number, round index, active/deferred tool count, settled tool-call count, image-part count, measured fixed tokens, input limit, requested/effective output allowance, cause, recovery attempt, runtime exit signal/code, and a bounded runtime output tail.</w:t>
      </w:r>
    </w:p>
    <w:p>
      <w:pPr>
        <w:spacing w:after="80"/>
      </w:pPr>
      <w:r>
        <w:rPr>
          <w:rFonts w:ascii="Calibri" w:hAnsi="Calibri"/>
          <w:b/>
          <w:color w:val="0B2545"/>
        </w:rPr>
        <w:t xml:space="preserve">Exclude: </w:t>
      </w:r>
      <w:r>
        <w:rPr>
          <w:rFonts w:ascii="Calibri" w:hAnsi="Calibri"/>
        </w:rPr>
        <w:t>Prompt text, user attachment pixels, screenshot data URLs, full tool output, API keys, workspace contents, and raw email data.</w:t>
      </w:r>
    </w:p>
    <w:p>
      <w:pPr>
        <w:spacing w:after="80"/>
      </w:pPr>
      <w:r>
        <w:rPr>
          <w:rFonts w:ascii="Calibri" w:hAnsi="Calibri"/>
          <w:b/>
          <w:color w:val="0B2545"/>
        </w:rPr>
        <w:t xml:space="preserve">Reasoning: </w:t>
      </w:r>
      <w:r>
        <w:rPr>
          <w:rFonts w:ascii="Calibri" w:hAnsi="Calibri"/>
        </w:rPr>
        <w:t>The incident was initially described as likely out-of-memory even though the final stop was context capacity. Matched per-round values prevent comparing a final fixed-token count with an earlier output budget. Exact diagnostics remove ambiguity without adding permanent resource-monitoring overhead.</w:t>
      </w:r>
    </w:p>
    <w:p>
      <w:pPr>
        <w:spacing w:after="80"/>
      </w:pPr>
      <w:r>
        <w:rPr>
          <w:rFonts w:ascii="Calibri" w:hAnsi="Calibri"/>
          <w:b/>
          <w:color w:val="0B2545"/>
        </w:rPr>
        <w:t xml:space="preserve">Estimator check: </w:t>
      </w:r>
      <w:r>
        <w:rPr>
          <w:rFonts w:ascii="Calibri" w:hAnsi="Calibri"/>
        </w:rPr>
        <w:t>Consume structured OpenAI-compatible usage.prompt_tokens when the streamed response supplies it. Log the bounded estimator difference and apply a capped per-conversation correction only to the next round; never parse arbitrary runtime text or use a later usage field to change the current request.</w:t>
      </w:r>
    </w:p>
    <w:p>
      <w:pPr>
        <w:pStyle w:val="Heading2"/>
        <w:keepNext/>
      </w:pPr>
      <w:r>
        <w:t>Phase 1: Add the early epoch decision</w:t>
      </w:r>
    </w:p>
    <w:p>
      <w:pPr/>
      <w:r>
        <w:rPr>
          <w:rFonts w:ascii="Calibri" w:hAnsi="Calibri"/>
        </w:rPr>
        <w:t>Introduce one shared policy used by both the text and vision transports. It should be evaluated before promoting another provider round, not only after the provider refuses a request.</w:t>
      </w:r>
    </w:p>
    <w:p>
      <w:pPr>
        <w:spacing w:after="80"/>
      </w:pPr>
      <w:r>
        <w:rPr>
          <w:rFonts w:ascii="Calibri" w:hAnsi="Calibri"/>
          <w:b/>
          <w:color w:val="0B2545"/>
        </w:rPr>
        <w:t xml:space="preserve">Trigger A - scaled reserve: </w:t>
      </w:r>
      <w:r>
        <w:rPr>
          <w:rFonts w:ascii="Calibri" w:hAnsi="Calibri"/>
        </w:rPr>
        <w:t>Compute a context-scaled useful reply reserve with a small absolute floor and a size-based fraction. Derive the early boundary as inputLimit minus that reserve minus reclaim headroom for the largest permitted next tool result. Test 4K, 8K, 16K, and 32K so a minimal tool-free request can receive non-zero output at 4K while a genuinely oversized fixed surface still fails clearly.</w:t>
      </w:r>
    </w:p>
    <w:p>
      <w:pPr>
        <w:spacing w:after="80"/>
      </w:pPr>
      <w:r>
        <w:rPr>
          <w:rFonts w:ascii="Calibri" w:hAnsi="Calibri"/>
          <w:b/>
          <w:color w:val="0B2545"/>
        </w:rPr>
        <w:t xml:space="preserve">Trigger B - tool-loop budget: </w:t>
      </w:r>
      <w:r>
        <w:rPr>
          <w:rFonts w:ascii="Calibri" w:hAnsi="Calibri"/>
        </w:rPr>
        <w:t>Transition when an epoch has completed more than a bounded number of tool settlements without a clean answer. Start with a conservative test-only threshold, measure real fixtures, then choose a production default.</w:t>
      </w:r>
    </w:p>
    <w:p>
      <w:pPr>
        <w:spacing w:after="80"/>
      </w:pPr>
      <w:r>
        <w:rPr>
          <w:rFonts w:ascii="Calibri" w:hAnsi="Calibri"/>
          <w:b/>
          <w:color w:val="0B2545"/>
        </w:rPr>
        <w:t xml:space="preserve">Trigger C - repeated reclamation: </w:t>
      </w:r>
      <w:r>
        <w:rPr>
          <w:rFonts w:ascii="Calibri" w:hAnsi="Calibri"/>
        </w:rPr>
        <w:t>Transition after repeated in-turn tool-result reclamation within the same epoch. Reclamation is a signal that the exchange is no longer a good working set. Before declaring failure, reclaim old injected visual-inspection images as well as old tool-result text, retaining only the newest needed image reference.</w:t>
      </w:r>
    </w:p>
    <w:p>
      <w:pPr>
        <w:spacing w:after="80"/>
      </w:pPr>
      <w:r>
        <w:rPr>
          <w:rFonts w:ascii="Calibri" w:hAnsi="Calibri"/>
          <w:b/>
          <w:color w:val="0B2545"/>
        </w:rPr>
        <w:t xml:space="preserve">Round-zero dominance: </w:t>
      </w:r>
      <w:r>
        <w:rPr>
          <w:rFonts w:ascii="Calibri" w:hAnsi="Calibri"/>
        </w:rPr>
        <w:t>Measure the rebuilt request before its first provider round. Return fixed-overhead dominance only when measured fixed components - current instructions, routed schemas, pinned images, and protected handoff - truly exceed the derived boundary. Do not misclassify a reserve larger than a small context window as a fixed-input failure.</w:t>
      </w:r>
    </w:p>
    <w:p>
      <w:pPr>
        <w:spacing w:after="80"/>
      </w:pPr>
      <w:r>
        <w:rPr>
          <w:rFonts w:ascii="Calibri" w:hAnsi="Calibri"/>
          <w:b/>
          <w:color w:val="0B2545"/>
        </w:rPr>
        <w:t xml:space="preserve">Non-trigger: </w:t>
      </w:r>
      <w:r>
        <w:rPr>
          <w:rFonts w:ascii="Calibri" w:hAnsi="Calibri"/>
        </w:rPr>
        <w:t>Do not compact just because total durable conversation history is long. Existing history assembly and rolling summaries should continue handling normal cross-turn history.</w:t>
      </w:r>
    </w:p>
    <w:p>
      <w:pPr>
        <w:pStyle w:val="Heading2"/>
        <w:keepNext/>
      </w:pPr>
      <w:r>
        <w:t>Phase 2: Build and persist the handoff</w:t>
      </w:r>
    </w:p>
    <w:p>
      <w:pPr/>
      <w:r>
        <w:rPr>
          <w:rFonts w:ascii="Calibri" w:hAnsi="Calibri"/>
        </w:rPr>
        <w:t>Create a small, versioned ContextEpochHandoff record. Render it through a dedicated protected context block outside ordinary history splitting, and cap it in tokens from the selected context size. Build its objective, plan state, changed files, verification requirements, and tool progress deterministically from existing state. Use an optional tools-disabled summary only to add concise reasoning or uncertainties that cannot be reconstructed mechanically.</w:t>
      </w:r>
    </w:p>
    <w:p>
      <w:pPr>
        <w:spacing w:after="80"/>
      </w:pPr>
      <w:r>
        <w:rPr>
          <w:rFonts w:ascii="Calibri" w:hAnsi="Calibri"/>
          <w:b/>
          <w:color w:val="0B2545"/>
        </w:rPr>
        <w:t xml:space="preserve">Why deterministic first: </w:t>
      </w:r>
      <w:r>
        <w:rPr>
          <w:rFonts w:ascii="Calibri" w:hAnsi="Calibri"/>
        </w:rPr>
        <w:t>A model-only summary can omit a path, approval, or constraint. Existing plan state, checkpoints, tool calls, and turn-progress data are more reliable for structured facts.</w:t>
      </w:r>
    </w:p>
    <w:p>
      <w:pPr>
        <w:spacing w:after="80"/>
      </w:pPr>
      <w:r>
        <w:rPr>
          <w:rFonts w:ascii="Calibri" w:hAnsi="Calibri"/>
          <w:b/>
          <w:color w:val="0B2545"/>
        </w:rPr>
        <w:t xml:space="preserve">Why an optional summary: </w:t>
      </w:r>
      <w:r>
        <w:rPr>
          <w:rFonts w:ascii="Calibri" w:hAnsi="Calibri"/>
        </w:rPr>
        <w:t>The model can still preserve relationships such as "the first visual inspection was invalid because imports were blocked" without replaying pages of tool output.</w:t>
      </w:r>
    </w:p>
    <w:p>
      <w:pPr>
        <w:spacing w:after="80"/>
      </w:pPr>
      <w:r>
        <w:rPr>
          <w:rFonts w:ascii="Calibri" w:hAnsi="Calibri"/>
          <w:b/>
          <w:color w:val="0B2545"/>
        </w:rPr>
        <w:t xml:space="preserve">Rebuild rule: </w:t>
      </w:r>
      <w:r>
        <w:rPr>
          <w:rFonts w:ascii="Calibri" w:hAnsi="Calibri"/>
        </w:rPr>
        <w:t>The fresh epoch uses existing bounded-history projection for ordinary history plus the current prompt, settings, and protected handoff. It must pass a preflight assertion that its measured initial request is smaller than the prior epoch. If char-based projection and tokenizer measurement disagree, re-bound once using a capped measured-to-estimated correction before any terminal verdict. It never receives raw image bytes from an older epoch unless the user explicitly pinned an image for continued visual context.</w:t>
      </w:r>
    </w:p>
    <w:p>
      <w:pPr>
        <w:pStyle w:val="Heading2"/>
        <w:keepNext/>
      </w:pPr>
      <w:r>
        <w:t>Phase 3: Resume safely and prevent loops</w:t>
      </w:r>
    </w:p>
    <w:p>
      <w:pPr/>
      <w:r>
        <w:rPr>
          <w:rFonts w:ascii="Calibri" w:hAnsi="Calibri"/>
        </w:rPr>
        <w:t>Resume the goal from one generated continuation prompt that tells the model to use the handoff, take the next concrete action, and reopen source material only when it needs exact details.</w:t>
      </w:r>
    </w:p>
    <w:p>
      <w:pPr>
        <w:spacing w:after="80"/>
      </w:pPr>
      <w:r>
        <w:rPr>
          <w:rFonts w:ascii="Calibri" w:hAnsi="Calibri"/>
          <w:b/>
          <w:color w:val="0B2545"/>
        </w:rPr>
        <w:t xml:space="preserve">One-retry limit: </w:t>
      </w:r>
      <w:r>
        <w:rPr>
          <w:rFonts w:ascii="Calibri" w:hAnsi="Calibri"/>
        </w:rPr>
        <w:t>If compaction or the first resumed request overflows, do not loop. Return a specific error that distinguishes fixed-overhead dominance from a failed summary or provider/runtime failure.</w:t>
      </w:r>
    </w:p>
    <w:p>
      <w:pPr>
        <w:spacing w:after="80"/>
      </w:pPr>
      <w:r>
        <w:rPr>
          <w:rFonts w:ascii="Calibri" w:hAnsi="Calibri"/>
          <w:b/>
          <w:color w:val="0B2545"/>
        </w:rPr>
        <w:t xml:space="preserve">Mutation safety: </w:t>
      </w:r>
      <w:r>
        <w:rPr>
          <w:rFonts w:ascii="Calibri" w:hAnsi="Calibri"/>
        </w:rPr>
        <w:t>Carry normalized mutation evidence: path, operation kind, content hash/checkpoint, and outcome. Treat matching commands as evidence to inspect before retrying, not as an automatic skip, because commands can be time-sensitive or intentionally repeatable.</w:t>
      </w:r>
    </w:p>
    <w:p>
      <w:pPr>
        <w:spacing w:after="80"/>
      </w:pPr>
      <w:r>
        <w:rPr>
          <w:rFonts w:ascii="Calibri" w:hAnsi="Calibri"/>
          <w:b/>
          <w:color w:val="0B2545"/>
        </w:rPr>
        <w:t xml:space="preserve">Verification safety: </w:t>
      </w:r>
      <w:r>
        <w:rPr>
          <w:rFonts w:ascii="Calibri" w:hAnsi="Calibri"/>
        </w:rPr>
        <w:t>Seed epoch progress with a monotonic completed-call counter and carried last-mutation/last-visual-verification sequence values. A new epoch must still require post-change evidence before it can declare a rendered feature fixed.</w:t>
      </w:r>
    </w:p>
    <w:p>
      <w:pPr>
        <w:spacing w:after="80"/>
      </w:pPr>
      <w:r>
        <w:rPr>
          <w:rFonts w:ascii="Calibri" w:hAnsi="Calibri"/>
          <w:b/>
          <w:color w:val="0B2545"/>
        </w:rPr>
        <w:t xml:space="preserve">Recovery-read safety: </w:t>
      </w:r>
      <w:r>
        <w:rPr>
          <w:rFonts w:ascii="Calibri" w:hAnsi="Calibri"/>
        </w:rPr>
        <w:t>Keep ordinary read deduplication inside an epoch, but allow a small capped number of precise recovery reads for any evidence region dropped from active context. Treat those authorized reads as valid progress in both the coverage and bounded-run activity ledgers; do not reset the general loop guard.</w:t>
      </w:r>
    </w:p>
    <w:p>
      <w:pPr>
        <w:spacing w:after="80"/>
      </w:pPr>
      <w:r>
        <w:rPr>
          <w:rFonts w:ascii="Calibri" w:hAnsi="Calibri"/>
          <w:b/>
          <w:color w:val="0B2545"/>
        </w:rPr>
        <w:t xml:space="preserve">Settlement safety: </w:t>
      </w:r>
      <w:r>
        <w:rPr>
          <w:rFonts w:ascii="Calibri" w:hAnsi="Calibri"/>
        </w:rPr>
        <w:t>Capture normalized command identity, write hashes, and outcomes at terminal tool settlement, before any in-turn argument reclamation. Handoff creation refuses any non-terminal tool call. Cancellation records its real reason and never rewrites it as an Anodex-close interruption.</w:t>
      </w:r>
    </w:p>
    <w:p>
      <w:pPr>
        <w:spacing w:after="80"/>
      </w:pPr>
      <w:r>
        <w:rPr>
          <w:rFonts w:ascii="Calibri" w:hAnsi="Calibri"/>
          <w:b/>
          <w:color w:val="0B2545"/>
        </w:rPr>
        <w:t xml:space="preserve">Plan safety: </w:t>
      </w:r>
      <w:r>
        <w:rPr>
          <w:rFonts w:ascii="Calibri" w:hAnsi="Calibri"/>
        </w:rPr>
        <w:t>Carry the visible plan snapshot as structured state. A reset must not reopen completed steps or convert plan activity into evidence of work.</w:t>
      </w:r>
    </w:p>
    <w:p>
      <w:pPr>
        <w:pStyle w:val="Heading2"/>
        <w:keepNext/>
      </w:pPr>
      <w:r>
        <w:t>Phase 4: Test, measure, and roll out</w:t>
      </w:r>
    </w:p>
    <w:tbl>
      <w:tblPr>
        <w:tblStyle w:val="TableGrid"/>
        <w:tblW w:type="dxa" w:w="9360"/>
        <w:jc w:val="left"/>
        <w:tblLayout w:type="fixed"/>
        <w:tblLook w:firstColumn="1" w:firstRow="1" w:lastColumn="0" w:lastRow="0" w:noHBand="0" w:noVBand="1" w:val="04A0"/>
        <w:tblInd w:w="120" w:type="dxa"/>
      </w:tblPr>
      <w:tblGrid>
        <w:gridCol w:w="1450"/>
        <w:gridCol w:w="4500"/>
        <w:gridCol w:w="3410"/>
      </w:tblGrid>
      <w:tr>
        <w:trPr>
          <w:tblHeader w:val="true"/>
        </w:trPr>
        <w:tc>
          <w:tcPr>
            <w:tcW w:type="dxa" w:w="1450"/>
            <w:shd w:fill="E8EEF5" w:val="clear"/>
            <w:tcMar>
              <w:top w:w="80" w:type="dxa"/>
              <w:start w:w="120" w:type="dxa"/>
              <w:bottom w:w="80" w:type="dxa"/>
              <w:end w:w="120" w:type="dxa"/>
            </w:tcMar>
            <w:vAlign w:val="center"/>
          </w:tcPr>
          <w:p>
            <w:pPr>
              <w:spacing w:after="0"/>
            </w:pPr>
            <w:r>
              <w:rPr>
                <w:rFonts w:ascii="Calibri" w:hAnsi="Calibri"/>
                <w:b/>
                <w:color w:val="0B2545"/>
                <w:sz w:val="19"/>
              </w:rPr>
              <w:t>Test class</w:t>
            </w:r>
          </w:p>
        </w:tc>
        <w:tc>
          <w:tcPr>
            <w:tcW w:type="dxa" w:w="4500"/>
            <w:shd w:fill="E8EEF5" w:val="clear"/>
            <w:tcMar>
              <w:top w:w="80" w:type="dxa"/>
              <w:start w:w="120" w:type="dxa"/>
              <w:bottom w:w="80" w:type="dxa"/>
              <w:end w:w="120" w:type="dxa"/>
            </w:tcMar>
            <w:vAlign w:val="center"/>
          </w:tcPr>
          <w:p>
            <w:pPr>
              <w:spacing w:after="0"/>
            </w:pPr>
            <w:r>
              <w:rPr>
                <w:rFonts w:ascii="Calibri" w:hAnsi="Calibri"/>
                <w:b/>
                <w:color w:val="0B2545"/>
                <w:sz w:val="19"/>
              </w:rPr>
              <w:t>Scenario</w:t>
            </w:r>
          </w:p>
        </w:tc>
        <w:tc>
          <w:tcPr>
            <w:tcW w:type="dxa" w:w="3410"/>
            <w:shd w:fill="E8EEF5" w:val="clear"/>
            <w:tcMar>
              <w:top w:w="80" w:type="dxa"/>
              <w:start w:w="120" w:type="dxa"/>
              <w:bottom w:w="80" w:type="dxa"/>
              <w:end w:w="120" w:type="dxa"/>
            </w:tcMar>
            <w:vAlign w:val="center"/>
          </w:tcPr>
          <w:p>
            <w:pPr>
              <w:spacing w:after="0"/>
            </w:pPr>
            <w:r>
              <w:rPr>
                <w:rFonts w:ascii="Calibri" w:hAnsi="Calibri"/>
                <w:b/>
                <w:color w:val="0B2545"/>
                <w:sz w:val="19"/>
              </w:rPr>
              <w:t>Expected result</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Scaled reserve at 4K, 8K, 16K, and 32K.</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A minimal 4K tool-free request receives non-zero output; the early boundary precedes hard stop by permitted tool-result headroom at supported tool surfaces.</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An 8K epoch whose ordinary history exceeds budget.</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The protected handoff objective, changed paths, hashes, and verification requirement survive byte-identically while older history is summarized.</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A rebuilt epoch with a large handoff or pinned image.</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Round-zero preflight either proves a smaller request with useful reply room, re-bounds once for estimator skew, or returns true fixed-overhead dominance exactly once.</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JSON-heavy history whose tokenizer count exceeds character estimate by 30 percent.</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One correction-aware re-bound produces a smaller request and continues; it is not misreported as fixed-overhead dominance.</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Streamed structured usage.prompt_tokens above the estimate.</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A bounded correction is applied to the next round only; omitted usage preserves current behavior.</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A completed write followed by a context epoch and visual verification.</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The resumed epoch knows the write occurred, preserves monotonic progress ordering, and still demands a later screenshot.</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Three evidence regions dropped from active context.</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A capped number of recovery reads for any dropped region returns content and registers progress; repeats and excess reads remain blocked.</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A pending approval at the threshold.</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No epoch is created until the approval settles; no action is duplicated.</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Unit</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A diagnostic fixture containing known prompt and tool-output text.</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The structured log record contains no user content, attachment data, or tool payload substrings.</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Integration</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Long read/search/inspect fixture with more than 80 tool calls and four visual inspections.</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At least one clean handoff occurs; old visual images are reclaimed before hard stop; the model completes or reports a real blocker without "no room left" as the first terminal event.</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Regression</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Compaction summary fails, does not shrink enough, or its own constrained summarizer request overflows.</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Exactly one bounded recovery/re-bound path runs, then an actionable stop. No repeated compaction loop.</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Regression</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Abort during a running tool call; two long commands share a prefix and are later reclaimed.</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No false "Interrupted when Anodex closed" record enters history or handoff; distinct command keys/hashes were captured at settlement.</w:t>
            </w:r>
          </w:p>
        </w:tc>
      </w:tr>
      <w:tr>
        <w:tc>
          <w:tcPr>
            <w:tcW w:type="dxa" w:w="1450"/>
            <w:tcMar>
              <w:top w:w="80" w:type="dxa"/>
              <w:start w:w="120" w:type="dxa"/>
              <w:bottom w:w="80" w:type="dxa"/>
              <w:end w:w="120" w:type="dxa"/>
            </w:tcMar>
            <w:vAlign w:val="center"/>
          </w:tcPr>
          <w:p>
            <w:pPr>
              <w:spacing w:after="0" w:line="259" w:lineRule="auto"/>
            </w:pPr>
            <w:r>
              <w:rPr>
                <w:rFonts w:ascii="Calibri" w:hAnsi="Calibri"/>
                <w:color w:val="20242A"/>
                <w:sz w:val="19"/>
              </w:rPr>
              <w:t>Manual</w:t>
            </w:r>
          </w:p>
        </w:tc>
        <w:tc>
          <w:tcPr>
            <w:tcW w:type="dxa" w:w="4500"/>
            <w:tcMar>
              <w:top w:w="80" w:type="dxa"/>
              <w:start w:w="120" w:type="dxa"/>
              <w:bottom w:w="80" w:type="dxa"/>
              <w:end w:w="120" w:type="dxa"/>
            </w:tcMar>
            <w:vAlign w:val="center"/>
          </w:tcPr>
          <w:p>
            <w:pPr>
              <w:spacing w:after="0" w:line="259" w:lineRule="auto"/>
            </w:pPr>
            <w:r>
              <w:rPr>
                <w:rFonts w:ascii="Calibri" w:hAnsi="Calibri"/>
                <w:color w:val="20242A"/>
                <w:sz w:val="19"/>
              </w:rPr>
              <w:t>A live 16K vision task.</w:t>
            </w:r>
          </w:p>
        </w:tc>
        <w:tc>
          <w:tcPr>
            <w:tcW w:type="dxa" w:w="3410"/>
            <w:tcMar>
              <w:top w:w="80" w:type="dxa"/>
              <w:start w:w="120" w:type="dxa"/>
              <w:bottom w:w="80" w:type="dxa"/>
              <w:end w:w="120" w:type="dxa"/>
            </w:tcMar>
            <w:vAlign w:val="center"/>
          </w:tcPr>
          <w:p>
            <w:pPr>
              <w:spacing w:after="0" w:line="259" w:lineRule="auto"/>
            </w:pPr>
            <w:r>
              <w:rPr>
                <w:rFonts w:ascii="Calibri" w:hAnsi="Calibri"/>
                <w:color w:val="20242A"/>
                <w:sz w:val="19"/>
              </w:rPr>
              <w:t>Logs show the epoch cause and before/after budgets; model runtime remains loaded; no sustained memory growth caused by the transition.</w:t>
            </w:r>
          </w:p>
        </w:tc>
      </w:tr>
    </w:tbl>
    <w:p>
      <w:pPr>
        <w:spacing w:after="0"/>
      </w:pPr>
    </w:p>
    <w:p>
      <w:pPr>
        <w:pStyle w:val="Heading1"/>
        <w:keepNext/>
      </w:pPr>
      <w:r>
        <w:t>6. Review-driven refinements and why</w:t>
      </w:r>
    </w:p>
    <w:p>
      <w:pPr/>
      <w:r>
        <w:rPr>
          <w:rFonts w:ascii="Calibri" w:hAnsi="Calibri"/>
        </w:rPr>
        <w:t>The independent Claude review correctly identified several implementation-level risks. The following decisions incorporate its useful findings while preserving existing Anodex mechanisms that already provide part of the solution.</w:t>
      </w:r>
    </w:p>
    <w:tbl>
      <w:tblPr>
        <w:tblStyle w:val="TableGrid"/>
        <w:tblW w:type="dxa" w:w="9760"/>
        <w:jc w:val="left"/>
        <w:tblLayout w:type="fixed"/>
        <w:tblLook w:firstColumn="1" w:firstRow="1" w:lastColumn="0" w:lastRow="0" w:noHBand="0" w:noVBand="1" w:val="04A0"/>
        <w:tblInd w:w="120" w:type="dxa"/>
      </w:tblPr>
      <w:tblGrid>
        <w:gridCol w:w="2000"/>
        <w:gridCol w:w="3600"/>
        <w:gridCol w:w="4160"/>
      </w:tblGrid>
      <w:tr>
        <w:trPr>
          <w:tblHeader w:val="true"/>
        </w:trPr>
        <w:tc>
          <w:tcPr>
            <w:tcW w:type="dxa" w:w="2000"/>
            <w:shd w:fill="E8EEF5" w:val="clear"/>
            <w:tcMar>
              <w:top w:w="80" w:type="dxa"/>
              <w:start w:w="120" w:type="dxa"/>
              <w:bottom w:w="80" w:type="dxa"/>
              <w:end w:w="120" w:type="dxa"/>
            </w:tcMar>
            <w:vAlign w:val="center"/>
          </w:tcPr>
          <w:p>
            <w:pPr>
              <w:spacing w:after="0"/>
            </w:pPr>
            <w:r>
              <w:rPr>
                <w:rFonts w:ascii="Calibri" w:hAnsi="Calibri"/>
                <w:b/>
                <w:color w:val="0B2545"/>
                <w:sz w:val="19"/>
              </w:rPr>
              <w:t>Review finding</w:t>
            </w:r>
          </w:p>
        </w:tc>
        <w:tc>
          <w:tcPr>
            <w:tcW w:type="dxa" w:w="3600"/>
            <w:shd w:fill="E8EEF5" w:val="clear"/>
            <w:tcMar>
              <w:top w:w="80" w:type="dxa"/>
              <w:start w:w="120" w:type="dxa"/>
              <w:bottom w:w="80" w:type="dxa"/>
              <w:end w:w="120" w:type="dxa"/>
            </w:tcMar>
            <w:vAlign w:val="center"/>
          </w:tcPr>
          <w:p>
            <w:pPr>
              <w:spacing w:after="0"/>
            </w:pPr>
            <w:r>
              <w:rPr>
                <w:rFonts w:ascii="Calibri" w:hAnsi="Calibri"/>
                <w:b/>
                <w:color w:val="0B2545"/>
                <w:sz w:val="19"/>
              </w:rPr>
              <w:t>Plan decision</w:t>
            </w:r>
          </w:p>
        </w:tc>
        <w:tc>
          <w:tcPr>
            <w:tcW w:type="dxa" w:w="4160"/>
            <w:shd w:fill="E8EEF5" w:val="clear"/>
            <w:tcMar>
              <w:top w:w="80" w:type="dxa"/>
              <w:start w:w="120" w:type="dxa"/>
              <w:bottom w:w="80" w:type="dxa"/>
              <w:end w:w="120" w:type="dxa"/>
            </w:tcMar>
            <w:vAlign w:val="center"/>
          </w:tcPr>
          <w:p>
            <w:pPr>
              <w:spacing w:after="0"/>
            </w:pPr>
            <w:r>
              <w:rPr>
                <w:rFonts w:ascii="Calibri" w:hAnsi="Calibri"/>
                <w:b/>
                <w:color w:val="0B2545"/>
                <w:sz w:val="19"/>
              </w:rPr>
              <w:t>Why this changed</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20242A"/>
                <w:sz w:val="19"/>
              </w:rPr>
              <w:t>Very narrow 16K proactive window</w:t>
            </w:r>
          </w:p>
        </w:tc>
        <w:tc>
          <w:tcPr>
            <w:tcW w:type="dxa" w:w="3600"/>
            <w:tcMar>
              <w:top w:w="80" w:type="dxa"/>
              <w:start w:w="120" w:type="dxa"/>
              <w:bottom w:w="80" w:type="dxa"/>
              <w:end w:w="120" w:type="dxa"/>
            </w:tcMar>
            <w:vAlign w:val="center"/>
          </w:tcPr>
          <w:p>
            <w:pPr>
              <w:spacing w:after="0" w:line="259" w:lineRule="auto"/>
            </w:pPr>
            <w:r>
              <w:rPr>
                <w:rFonts w:ascii="Calibri" w:hAnsi="Calibri"/>
                <w:color w:val="20242A"/>
                <w:sz w:val="19"/>
              </w:rPr>
              <w:t>Accepted: replace the fixed 72 percent threshold with a derived reserve-plus-headroom boundary.</w:t>
            </w:r>
          </w:p>
        </w:tc>
        <w:tc>
          <w:tcPr>
            <w:tcW w:type="dxa" w:w="4160"/>
            <w:tcMar>
              <w:top w:w="80" w:type="dxa"/>
              <w:start w:w="120" w:type="dxa"/>
              <w:bottom w:w="80" w:type="dxa"/>
              <w:end w:w="120" w:type="dxa"/>
            </w:tcMar>
            <w:vAlign w:val="center"/>
          </w:tcPr>
          <w:p>
            <w:pPr>
              <w:spacing w:after="0" w:line="259" w:lineRule="auto"/>
            </w:pPr>
            <w:r>
              <w:rPr>
                <w:rFonts w:ascii="Calibri" w:hAnsi="Calibri"/>
                <w:color w:val="20242A"/>
                <w:sz w:val="19"/>
              </w:rPr>
              <w:t>At 16K the prior early and hard limits are separated by too little room for a normal tool result.</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20242A"/>
                <w:sz w:val="19"/>
              </w:rPr>
              <w:t>Read coverage and progress survive outer cycles</w:t>
            </w:r>
          </w:p>
        </w:tc>
        <w:tc>
          <w:tcPr>
            <w:tcW w:type="dxa" w:w="3600"/>
            <w:tcMar>
              <w:top w:w="80" w:type="dxa"/>
              <w:start w:w="120" w:type="dxa"/>
              <w:bottom w:w="80" w:type="dxa"/>
              <w:end w:w="120" w:type="dxa"/>
            </w:tcMar>
            <w:vAlign w:val="center"/>
          </w:tcPr>
          <w:p>
            <w:pPr>
              <w:spacing w:after="0" w:line="259" w:lineRule="auto"/>
            </w:pPr>
            <w:r>
              <w:rPr>
                <w:rFonts w:ascii="Calibri" w:hAnsi="Calibri"/>
                <w:color w:val="20242A"/>
                <w:sz w:val="19"/>
              </w:rPr>
              <w:t>Accepted and extended: use a capped recovery-read budget for any dropped evidence region; update coverage and activity ledgers, and seed monotonic counters.</w:t>
            </w:r>
          </w:p>
        </w:tc>
        <w:tc>
          <w:tcPr>
            <w:tcW w:type="dxa" w:w="4160"/>
            <w:tcMar>
              <w:top w:w="80" w:type="dxa"/>
              <w:start w:w="120" w:type="dxa"/>
              <w:bottom w:w="80" w:type="dxa"/>
              <w:end w:w="120" w:type="dxa"/>
            </w:tcMar>
            <w:vAlign w:val="center"/>
          </w:tcPr>
          <w:p>
            <w:pPr>
              <w:spacing w:after="0" w:line="259" w:lineRule="auto"/>
            </w:pPr>
            <w:r>
              <w:rPr>
                <w:rFonts w:ascii="Calibri" w:hAnsi="Calibri"/>
                <w:color w:val="20242A"/>
                <w:sz w:val="19"/>
              </w:rPr>
              <w:t>A single preselected path cannot predict the next need; broad reset of loop defenses would revive repeated-read churn.</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20242A"/>
                <w:sz w:val="19"/>
              </w:rPr>
              <w:t>Proactive and emergency stops share a UI stop reason</w:t>
            </w:r>
          </w:p>
        </w:tc>
        <w:tc>
          <w:tcPr>
            <w:tcW w:type="dxa" w:w="3600"/>
            <w:tcMar>
              <w:top w:w="80" w:type="dxa"/>
              <w:start w:w="120" w:type="dxa"/>
              <w:bottom w:w="80" w:type="dxa"/>
              <w:end w:w="120" w:type="dxa"/>
            </w:tcMar>
            <w:vAlign w:val="center"/>
          </w:tcPr>
          <w:p>
            <w:pPr>
              <w:spacing w:after="0" w:line="259" w:lineRule="auto"/>
            </w:pPr>
            <w:r>
              <w:rPr>
                <w:rFonts w:ascii="Calibri" w:hAnsi="Calibri"/>
                <w:color w:val="20242A"/>
                <w:sz w:val="19"/>
              </w:rPr>
              <w:t>Accepted: carry a structured epoch cause for logs and recovery policy while retaining the existing UI reason.</w:t>
            </w:r>
          </w:p>
        </w:tc>
        <w:tc>
          <w:tcPr>
            <w:tcW w:type="dxa" w:w="4160"/>
            <w:tcMar>
              <w:top w:w="80" w:type="dxa"/>
              <w:start w:w="120" w:type="dxa"/>
              <w:bottom w:w="80" w:type="dxa"/>
              <w:end w:w="120" w:type="dxa"/>
            </w:tcMar>
            <w:vAlign w:val="center"/>
          </w:tcPr>
          <w:p>
            <w:pPr>
              <w:spacing w:after="0" w:line="259" w:lineRule="auto"/>
            </w:pPr>
            <w:r>
              <w:rPr>
                <w:rFonts w:ascii="Calibri" w:hAnsi="Calibri"/>
                <w:color w:val="20242A"/>
                <w:sz w:val="19"/>
              </w:rPr>
              <w:t>The runtime needs a precise control signal without expanding user-facing complexity.</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20242A"/>
                <w:sz w:val="19"/>
              </w:rPr>
              <w:t>Fresh epoch may not shrink or may evict its own handoff</w:t>
            </w:r>
          </w:p>
        </w:tc>
        <w:tc>
          <w:tcPr>
            <w:tcW w:type="dxa" w:w="3600"/>
            <w:tcMar>
              <w:top w:w="80" w:type="dxa"/>
              <w:start w:w="120" w:type="dxa"/>
              <w:bottom w:w="80" w:type="dxa"/>
              <w:end w:w="120" w:type="dxa"/>
            </w:tcMar>
            <w:vAlign w:val="center"/>
          </w:tcPr>
          <w:p>
            <w:pPr>
              <w:spacing w:after="0" w:line="259" w:lineRule="auto"/>
            </w:pPr>
            <w:r>
              <w:rPr>
                <w:rFonts w:ascii="Calibri" w:hAnsi="Calibri"/>
                <w:color w:val="20242A"/>
                <w:sz w:val="19"/>
              </w:rPr>
              <w:t>Refined and accepted: retain bounded history for ordinary turns, but render a token-capped protected handoff outside the evictable history split; assert measured shrink after rebuild.</w:t>
            </w:r>
          </w:p>
        </w:tc>
        <w:tc>
          <w:tcPr>
            <w:tcW w:type="dxa" w:w="4160"/>
            <w:tcMar>
              <w:top w:w="80" w:type="dxa"/>
              <w:start w:w="120" w:type="dxa"/>
              <w:bottom w:w="80" w:type="dxa"/>
              <w:end w:w="120" w:type="dxa"/>
            </w:tcMar>
            <w:vAlign w:val="center"/>
          </w:tcPr>
          <w:p>
            <w:pPr>
              <w:spacing w:after="0" w:line="259" w:lineRule="auto"/>
            </w:pPr>
            <w:r>
              <w:rPr>
                <w:rFonts w:ascii="Calibri" w:hAnsi="Calibri"/>
                <w:color w:val="20242A"/>
                <w:sz w:val="19"/>
              </w:rPr>
              <w:t>The runner does append durable history, but each new generation already projects it through bounded history. Replacing history directly would duplicate ownership; allowing the handoff to be summarized would lose deterministic facts.</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20242A"/>
                <w:sz w:val="19"/>
              </w:rPr>
              <w:t>Possible running tool calls at epoch boundary or cancellation</w:t>
            </w:r>
          </w:p>
        </w:tc>
        <w:tc>
          <w:tcPr>
            <w:tcW w:type="dxa" w:w="3600"/>
            <w:tcMar>
              <w:top w:w="80" w:type="dxa"/>
              <w:start w:w="120" w:type="dxa"/>
              <w:bottom w:w="80" w:type="dxa"/>
              <w:end w:w="120" w:type="dxa"/>
            </w:tcMar>
            <w:vAlign w:val="center"/>
          </w:tcPr>
          <w:p>
            <w:pPr>
              <w:spacing w:after="0" w:line="259" w:lineRule="auto"/>
            </w:pPr>
            <w:r>
              <w:rPr>
                <w:rFonts w:ascii="Calibri" w:hAnsi="Calibri"/>
                <w:color w:val="20242A"/>
                <w:sz w:val="19"/>
              </w:rPr>
              <w:t>Accepted with scope: preserve the settled-only vision boundary, add the vision regression, and make runner handoff construction reject non-terminal calls on cancellation.</w:t>
            </w:r>
          </w:p>
        </w:tc>
        <w:tc>
          <w:tcPr>
            <w:tcW w:type="dxa" w:w="4160"/>
            <w:tcMar>
              <w:top w:w="80" w:type="dxa"/>
              <w:start w:w="120" w:type="dxa"/>
              <w:bottom w:w="80" w:type="dxa"/>
              <w:end w:w="120" w:type="dxa"/>
            </w:tcMar>
            <w:vAlign w:val="center"/>
          </w:tcPr>
          <w:p>
            <w:pPr>
              <w:spacing w:after="0" w:line="259" w:lineRule="auto"/>
            </w:pPr>
            <w:r>
              <w:rPr>
                <w:rFonts w:ascii="Calibri" w:hAnsi="Calibri"/>
                <w:color w:val="20242A"/>
                <w:sz w:val="19"/>
              </w:rPr>
              <w:t>The proactive break is already reached after sequential tool settlement, but the outer runner can observe running activity during abort.</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20242A"/>
                <w:sz w:val="19"/>
              </w:rPr>
              <w:t>Blind duplicate command suppression</w:t>
            </w:r>
          </w:p>
        </w:tc>
        <w:tc>
          <w:tcPr>
            <w:tcW w:type="dxa" w:w="3600"/>
            <w:tcMar>
              <w:top w:w="80" w:type="dxa"/>
              <w:start w:w="120" w:type="dxa"/>
              <w:bottom w:w="80" w:type="dxa"/>
              <w:end w:w="120" w:type="dxa"/>
            </w:tcMar>
            <w:vAlign w:val="center"/>
          </w:tcPr>
          <w:p>
            <w:pPr>
              <w:spacing w:after="0" w:line="259" w:lineRule="auto"/>
            </w:pPr>
            <w:r>
              <w:rPr>
                <w:rFonts w:ascii="Calibri" w:hAnsi="Calibri"/>
                <w:color w:val="20242A"/>
                <w:sz w:val="19"/>
              </w:rPr>
              <w:t>Refined: retain normalized command outcomes as evidence, not an unconditional skip rule.</w:t>
            </w:r>
          </w:p>
        </w:tc>
        <w:tc>
          <w:tcPr>
            <w:tcW w:type="dxa" w:w="4160"/>
            <w:tcMar>
              <w:top w:w="80" w:type="dxa"/>
              <w:start w:w="120" w:type="dxa"/>
              <w:bottom w:w="80" w:type="dxa"/>
              <w:end w:w="120" w:type="dxa"/>
            </w:tcMar>
            <w:vAlign w:val="center"/>
          </w:tcPr>
          <w:p>
            <w:pPr>
              <w:spacing w:after="0" w:line="259" w:lineRule="auto"/>
            </w:pPr>
            <w:r>
              <w:rPr>
                <w:rFonts w:ascii="Calibri" w:hAnsi="Calibri"/>
                <w:color w:val="20242A"/>
                <w:sz w:val="19"/>
              </w:rPr>
              <w:t>A matching command can be safe to repeat, time-sensitive, or required for verification.</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20242A"/>
                <w:sz w:val="19"/>
              </w:rPr>
              <w:t>Fixed image-token estimate and framing estimate</w:t>
            </w:r>
          </w:p>
        </w:tc>
        <w:tc>
          <w:tcPr>
            <w:tcW w:type="dxa" w:w="3600"/>
            <w:tcMar>
              <w:top w:w="80" w:type="dxa"/>
              <w:start w:w="120" w:type="dxa"/>
              <w:bottom w:w="80" w:type="dxa"/>
              <w:end w:w="120" w:type="dxa"/>
            </w:tcMar>
            <w:vAlign w:val="center"/>
          </w:tcPr>
          <w:p>
            <w:pPr>
              <w:spacing w:after="0" w:line="259" w:lineRule="auto"/>
            </w:pPr>
            <w:r>
              <w:rPr>
                <w:rFonts w:ascii="Calibri" w:hAnsi="Calibri"/>
                <w:color w:val="20242A"/>
                <w:sz w:val="19"/>
              </w:rPr>
              <w:t>Accepted: use already-requested structured usage.prompt_tokens as next-round bounded correction; calibrate per projector only if fixtures still require it.</w:t>
            </w:r>
          </w:p>
        </w:tc>
        <w:tc>
          <w:tcPr>
            <w:tcW w:type="dxa" w:w="4160"/>
            <w:tcMar>
              <w:top w:w="80" w:type="dxa"/>
              <w:start w:w="120" w:type="dxa"/>
              <w:bottom w:w="80" w:type="dxa"/>
              <w:end w:w="120" w:type="dxa"/>
            </w:tcMar>
            <w:vAlign w:val="center"/>
          </w:tcPr>
          <w:p>
            <w:pPr>
              <w:spacing w:after="0" w:line="259" w:lineRule="auto"/>
            </w:pPr>
            <w:r>
              <w:rPr>
                <w:rFonts w:ascii="Calibri" w:hAnsi="Calibri"/>
                <w:color w:val="20242A"/>
                <w:sz w:val="19"/>
              </w:rPr>
              <w:t>A mandatory startup probe adds latency, while structured stream usage is a stable source when the runtime provides it.</w:t>
            </w:r>
          </w:p>
        </w:tc>
      </w:tr>
      <w:tr>
        <w:tc>
          <w:tcPr>
            <w:tcW w:type="dxa" w:w="2000"/>
            <w:tcMar>
              <w:top w:w="80" w:type="dxa"/>
              <w:start w:w="120" w:type="dxa"/>
              <w:bottom w:w="80" w:type="dxa"/>
              <w:end w:w="120" w:type="dxa"/>
            </w:tcMar>
            <w:vAlign w:val="center"/>
          </w:tcPr>
          <w:p>
            <w:pPr>
              <w:spacing w:after="0" w:line="259" w:lineRule="auto"/>
            </w:pPr>
            <w:r>
              <w:rPr>
                <w:rFonts w:ascii="Calibri" w:hAnsi="Calibri"/>
                <w:color w:val="20242A"/>
                <w:sz w:val="19"/>
              </w:rPr>
              <w:t>Character estimate can disagree with tokenizer</w:t>
            </w:r>
          </w:p>
        </w:tc>
        <w:tc>
          <w:tcPr>
            <w:tcW w:type="dxa" w:w="3600"/>
            <w:tcMar>
              <w:top w:w="80" w:type="dxa"/>
              <w:start w:w="120" w:type="dxa"/>
              <w:bottom w:w="80" w:type="dxa"/>
              <w:end w:w="120" w:type="dxa"/>
            </w:tcMar>
            <w:vAlign w:val="center"/>
          </w:tcPr>
          <w:p>
            <w:pPr>
              <w:spacing w:after="0" w:line="259" w:lineRule="auto"/>
            </w:pPr>
            <w:r>
              <w:rPr>
                <w:rFonts w:ascii="Calibri" w:hAnsi="Calibri"/>
                <w:color w:val="20242A"/>
                <w:sz w:val="19"/>
              </w:rPr>
              <w:t>Accepted: perform one correction-aware re-bound before terminal diagnosis.</w:t>
            </w:r>
          </w:p>
        </w:tc>
        <w:tc>
          <w:tcPr>
            <w:tcW w:type="dxa" w:w="4160"/>
            <w:tcMar>
              <w:top w:w="80" w:type="dxa"/>
              <w:start w:w="120" w:type="dxa"/>
              <w:bottom w:w="80" w:type="dxa"/>
              <w:end w:w="120" w:type="dxa"/>
            </w:tcMar>
            <w:vAlign w:val="center"/>
          </w:tcPr>
          <w:p>
            <w:pPr>
              <w:spacing w:after="0" w:line="259" w:lineRule="auto"/>
            </w:pPr>
            <w:r>
              <w:rPr>
                <w:rFonts w:ascii="Calibri" w:hAnsi="Calibri"/>
                <w:color w:val="20242A"/>
                <w:sz w:val="19"/>
              </w:rPr>
              <w:t>A deterministic char-based history projection can be too large for JSON-heavy requests; this is estimator skew, not fixed-overhead dominance.</w:t>
            </w:r>
          </w:p>
        </w:tc>
      </w:tr>
    </w:tbl>
    <w:p>
      <w:pPr>
        <w:spacing w:after="0"/>
      </w:pPr>
    </w:p>
    <w:p>
      <w:pPr>
        <w:pStyle w:val="Heading1"/>
        <w:keepNext/>
      </w:pPr>
      <w:r>
        <w:t>7. File-level implementation map</w:t>
      </w:r>
    </w:p>
    <w:p>
      <w:pPr/>
      <w:r>
        <w:rPr>
          <w:rFonts w:ascii="Calibri" w:hAnsi="Calibri"/>
        </w:rPr>
        <w:t>This is a planning map, not a mandate to edit every listed file. The implementation should stay provider-neutral where possible and should reuse existing bounded-chat, context-assembly, tool-progress, and vision accounting seams.</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blHeader w:val="true"/>
        </w:trPr>
        <w:tc>
          <w:tcPr>
            <w:tcW w:type="dxa" w:w="3150"/>
            <w:shd w:fill="E8EEF5" w:val="clear"/>
            <w:tcMar>
              <w:top w:w="80" w:type="dxa"/>
              <w:start w:w="120" w:type="dxa"/>
              <w:bottom w:w="80" w:type="dxa"/>
              <w:end w:w="120" w:type="dxa"/>
            </w:tcMar>
            <w:vAlign w:val="center"/>
          </w:tcPr>
          <w:p>
            <w:pPr>
              <w:spacing w:after="0"/>
            </w:pPr>
            <w:r>
              <w:rPr>
                <w:rFonts w:ascii="Calibri" w:hAnsi="Calibri"/>
                <w:b/>
                <w:color w:val="0B2545"/>
                <w:sz w:val="19"/>
              </w:rPr>
              <w:t>Area</w:t>
            </w:r>
          </w:p>
        </w:tc>
        <w:tc>
          <w:tcPr>
            <w:tcW w:type="dxa" w:w="6210"/>
            <w:shd w:fill="E8EEF5" w:val="clear"/>
            <w:tcMar>
              <w:top w:w="80" w:type="dxa"/>
              <w:start w:w="120" w:type="dxa"/>
              <w:bottom w:w="80" w:type="dxa"/>
              <w:end w:w="120" w:type="dxa"/>
            </w:tcMar>
            <w:vAlign w:val="center"/>
          </w:tcPr>
          <w:p>
            <w:pPr>
              <w:spacing w:after="0"/>
            </w:pPr>
            <w:r>
              <w:rPr>
                <w:rFonts w:ascii="Calibri" w:hAnsi="Calibri"/>
                <w:b/>
                <w:color w:val="0B2545"/>
                <w:sz w:val="19"/>
              </w:rPr>
              <w:t>Likely responsibility</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20242A"/>
                <w:sz w:val="19"/>
              </w:rPr>
              <w:t>src/main/chat/boundedChatRunner.ts</w:t>
            </w:r>
          </w:p>
        </w:tc>
        <w:tc>
          <w:tcPr>
            <w:tcW w:type="dxa" w:w="6210"/>
            <w:tcMar>
              <w:top w:w="80" w:type="dxa"/>
              <w:start w:w="120" w:type="dxa"/>
              <w:bottom w:w="80" w:type="dxa"/>
              <w:end w:w="120" w:type="dxa"/>
            </w:tcMar>
            <w:vAlign w:val="center"/>
          </w:tcPr>
          <w:p>
            <w:pPr>
              <w:spacing w:after="0" w:line="259" w:lineRule="auto"/>
            </w:pPr>
            <w:r>
              <w:rPr>
                <w:rFonts w:ascii="Calibri" w:hAnsi="Calibri"/>
                <w:color w:val="20242A"/>
                <w:sz w:val="19"/>
              </w:rPr>
              <w:t>Own outer continuation, epoch transitions, recovery-read activity accounting, and refusal to derive a handoff from non-terminal calls.</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20242A"/>
                <w:sz w:val="19"/>
              </w:rPr>
              <w:t>src/main/llama/LlamaVisionService.ts</w:t>
            </w:r>
          </w:p>
        </w:tc>
        <w:tc>
          <w:tcPr>
            <w:tcW w:type="dxa" w:w="6210"/>
            <w:tcMar>
              <w:top w:w="80" w:type="dxa"/>
              <w:start w:w="120" w:type="dxa"/>
              <w:bottom w:w="80" w:type="dxa"/>
              <w:end w:w="120" w:type="dxa"/>
            </w:tcMar>
            <w:vAlign w:val="center"/>
          </w:tcPr>
          <w:p>
            <w:pPr>
              <w:spacing w:after="0" w:line="259" w:lineRule="auto"/>
            </w:pPr>
            <w:r>
              <w:rPr>
                <w:rFonts w:ascii="Calibri" w:hAnsi="Calibri"/>
                <w:color w:val="20242A"/>
                <w:sz w:val="19"/>
              </w:rPr>
              <w:t>Expose measured provider-facing budget, consume structured prompt usage for next-round correction, include image/tool-call cost, request a safe boundary, and rebuild vision messages from the new epoch.</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20242A"/>
                <w:sz w:val="19"/>
              </w:rPr>
              <w:t>src/main/llama/LlamaService.ts</w:t>
            </w:r>
          </w:p>
        </w:tc>
        <w:tc>
          <w:tcPr>
            <w:tcW w:type="dxa" w:w="6210"/>
            <w:tcMar>
              <w:top w:w="80" w:type="dxa"/>
              <w:start w:w="120" w:type="dxa"/>
              <w:bottom w:w="80" w:type="dxa"/>
              <w:end w:w="120" w:type="dxa"/>
            </w:tcMar>
            <w:vAlign w:val="center"/>
          </w:tcPr>
          <w:p>
            <w:pPr>
              <w:spacing w:after="0" w:line="259" w:lineRule="auto"/>
            </w:pPr>
            <w:r>
              <w:rPr>
                <w:rFonts w:ascii="Calibri" w:hAnsi="Calibri"/>
                <w:color w:val="20242A"/>
                <w:sz w:val="19"/>
              </w:rPr>
              <w:t>Apply the same epoch contract to the text-model path and ensure session rebuilds do not replay the discarded active exchange.</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20242A"/>
                <w:sz w:val="19"/>
              </w:rPr>
              <w:t>src/main/llama/contextAssembler.ts and compaction.ts</w:t>
            </w:r>
          </w:p>
        </w:tc>
        <w:tc>
          <w:tcPr>
            <w:tcW w:type="dxa" w:w="6210"/>
            <w:tcMar>
              <w:top w:w="80" w:type="dxa"/>
              <w:start w:w="120" w:type="dxa"/>
              <w:bottom w:w="80" w:type="dxa"/>
              <w:end w:w="120" w:type="dxa"/>
            </w:tcMar>
            <w:vAlign w:val="center"/>
          </w:tcPr>
          <w:p>
            <w:pPr>
              <w:spacing w:after="0" w:line="259" w:lineRule="auto"/>
            </w:pPr>
            <w:r>
              <w:rPr>
                <w:rFonts w:ascii="Calibri" w:hAnsi="Calibri"/>
                <w:color w:val="20242A"/>
                <w:sz w:val="19"/>
              </w:rPr>
              <w:t>Create the bounded recent tail and fold ordinary durable history into a compact model-facing context; define a protected, token-capped handoff block outside evictable history.</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20242A"/>
                <w:sz w:val="19"/>
              </w:rPr>
              <w:t>src/main/llama/contextShiftStrategy.ts</w:t>
            </w:r>
          </w:p>
        </w:tc>
        <w:tc>
          <w:tcPr>
            <w:tcW w:type="dxa" w:w="6210"/>
            <w:tcMar>
              <w:top w:w="80" w:type="dxa"/>
              <w:start w:w="120" w:type="dxa"/>
              <w:bottom w:w="80" w:type="dxa"/>
              <w:end w:w="120" w:type="dxa"/>
            </w:tcMar>
            <w:vAlign w:val="center"/>
          </w:tcPr>
          <w:p>
            <w:pPr>
              <w:spacing w:after="0" w:line="259" w:lineRule="auto"/>
            </w:pPr>
            <w:r>
              <w:rPr>
                <w:rFonts w:ascii="Calibri" w:hAnsi="Calibri"/>
                <w:color w:val="20242A"/>
                <w:sz w:val="19"/>
              </w:rPr>
              <w:t>Reuse or adapt its exact token counting, shrink policy, and anti-unbounded-cache protections.</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20242A"/>
                <w:sz w:val="19"/>
              </w:rPr>
              <w:t>src/main/tools/readCoverage.ts, turnProgress.ts, and tool helpers</w:t>
            </w:r>
          </w:p>
        </w:tc>
        <w:tc>
          <w:tcPr>
            <w:tcW w:type="dxa" w:w="6210"/>
            <w:tcMar>
              <w:top w:w="80" w:type="dxa"/>
              <w:start w:w="120" w:type="dxa"/>
              <w:bottom w:w="80" w:type="dxa"/>
              <w:end w:w="120" w:type="dxa"/>
            </w:tcMar>
            <w:vAlign w:val="center"/>
          </w:tcPr>
          <w:p>
            <w:pPr>
              <w:spacing w:after="0" w:line="259" w:lineRule="auto"/>
            </w:pPr>
            <w:r>
              <w:rPr>
                <w:rFonts w:ascii="Calibri" w:hAnsi="Calibri"/>
                <w:color w:val="20242A"/>
                <w:sz w:val="19"/>
              </w:rPr>
              <w:t>Supply epoch-scoped recovery-read allowance, completed work, monotonic mutation/verification ordering, and settled tool records to the deterministic handoff.</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20242A"/>
                <w:sz w:val="19"/>
              </w:rPr>
              <w:t>src/shared/chat.types.ts or a focused shared type</w:t>
            </w:r>
          </w:p>
        </w:tc>
        <w:tc>
          <w:tcPr>
            <w:tcW w:type="dxa" w:w="6210"/>
            <w:tcMar>
              <w:top w:w="80" w:type="dxa"/>
              <w:start w:w="120" w:type="dxa"/>
              <w:bottom w:w="80" w:type="dxa"/>
              <w:end w:w="120" w:type="dxa"/>
            </w:tcMar>
            <w:vAlign w:val="center"/>
          </w:tcPr>
          <w:p>
            <w:pPr>
              <w:spacing w:after="0" w:line="259" w:lineRule="auto"/>
            </w:pPr>
            <w:r>
              <w:rPr>
                <w:rFonts w:ascii="Calibri" w:hAnsi="Calibri"/>
                <w:color w:val="20242A"/>
                <w:sz w:val="19"/>
              </w:rPr>
              <w:t>Define the versioned handoff record and persisted diagnostic shape with defensive defaults for older conversations.</w:t>
            </w:r>
          </w:p>
        </w:tc>
      </w:tr>
      <w:tr>
        <w:tc>
          <w:tcPr>
            <w:tcW w:type="dxa" w:w="3150"/>
            <w:tcMar>
              <w:top w:w="80" w:type="dxa"/>
              <w:start w:w="120" w:type="dxa"/>
              <w:bottom w:w="80" w:type="dxa"/>
              <w:end w:w="120" w:type="dxa"/>
            </w:tcMar>
            <w:vAlign w:val="center"/>
          </w:tcPr>
          <w:p>
            <w:pPr>
              <w:spacing w:after="0" w:line="259" w:lineRule="auto"/>
            </w:pPr>
            <w:r>
              <w:rPr>
                <w:rFonts w:ascii="Calibri" w:hAnsi="Calibri"/>
                <w:color w:val="20242A"/>
                <w:sz w:val="19"/>
              </w:rPr>
              <w:t>Tests under src/main/chat, src/main/llama, and src/main/tools</w:t>
            </w:r>
          </w:p>
        </w:tc>
        <w:tc>
          <w:tcPr>
            <w:tcW w:type="dxa" w:w="6210"/>
            <w:tcMar>
              <w:top w:w="80" w:type="dxa"/>
              <w:start w:w="120" w:type="dxa"/>
              <w:bottom w:w="80" w:type="dxa"/>
              <w:end w:w="120" w:type="dxa"/>
            </w:tcMar>
            <w:vAlign w:val="center"/>
          </w:tcPr>
          <w:p>
            <w:pPr>
              <w:spacing w:after="0" w:line="259" w:lineRule="auto"/>
            </w:pPr>
            <w:r>
              <w:rPr>
                <w:rFonts w:ascii="Calibri" w:hAnsi="Calibri"/>
                <w:color w:val="20242A"/>
                <w:sz w:val="19"/>
              </w:rPr>
              <w:t>Lock down budget triggers, handoff completeness, retry limits, and no-duplicate-mutation behavior.</w:t>
            </w:r>
          </w:p>
        </w:tc>
      </w:tr>
    </w:tbl>
    <w:p>
      <w:pPr>
        <w:spacing w:after="0"/>
      </w:pPr>
    </w:p>
    <w:p>
      <w:pPr>
        <w:pStyle w:val="Heading1"/>
        <w:keepNext/>
      </w:pPr>
      <w:r>
        <w:t>8. Risks and mitigations</w:t>
      </w:r>
    </w:p>
    <w:tbl>
      <w:tblPr>
        <w:tblStyle w:val="TableGrid"/>
        <w:tblW w:type="dxa" w:w="9860"/>
        <w:jc w:val="left"/>
        <w:tblLayout w:type="fixed"/>
        <w:tblLook w:firstColumn="1" w:firstRow="1" w:lastColumn="0" w:lastRow="0" w:noHBand="0" w:noVBand="1" w:val="04A0"/>
        <w:tblInd w:w="120" w:type="dxa"/>
      </w:tblPr>
      <w:tblGrid>
        <w:gridCol w:w="1800"/>
        <w:gridCol w:w="4100"/>
        <w:gridCol w:w="3960"/>
      </w:tblGrid>
      <w:tr>
        <w:trPr>
          <w:tblHeader w:val="true"/>
        </w:trPr>
        <w:tc>
          <w:tcPr>
            <w:tcW w:type="dxa" w:w="1800"/>
            <w:shd w:fill="E8EEF5" w:val="clear"/>
            <w:tcMar>
              <w:top w:w="80" w:type="dxa"/>
              <w:start w:w="120" w:type="dxa"/>
              <w:bottom w:w="80" w:type="dxa"/>
              <w:end w:w="120" w:type="dxa"/>
            </w:tcMar>
            <w:vAlign w:val="center"/>
          </w:tcPr>
          <w:p>
            <w:pPr>
              <w:spacing w:after="0"/>
            </w:pPr>
            <w:r>
              <w:rPr>
                <w:rFonts w:ascii="Calibri" w:hAnsi="Calibri"/>
                <w:b/>
                <w:color w:val="0B2545"/>
                <w:sz w:val="19"/>
              </w:rPr>
              <w:t>Risk</w:t>
            </w:r>
          </w:p>
        </w:tc>
        <w:tc>
          <w:tcPr>
            <w:tcW w:type="dxa" w:w="4100"/>
            <w:shd w:fill="E8EEF5" w:val="clear"/>
            <w:tcMar>
              <w:top w:w="80" w:type="dxa"/>
              <w:start w:w="120" w:type="dxa"/>
              <w:bottom w:w="80" w:type="dxa"/>
              <w:end w:w="120" w:type="dxa"/>
            </w:tcMar>
            <w:vAlign w:val="center"/>
          </w:tcPr>
          <w:p>
            <w:pPr>
              <w:spacing w:after="0"/>
            </w:pPr>
            <w:r>
              <w:rPr>
                <w:rFonts w:ascii="Calibri" w:hAnsi="Calibri"/>
                <w:b/>
                <w:color w:val="0B2545"/>
                <w:sz w:val="19"/>
              </w:rPr>
              <w:t>Mitigation</w:t>
            </w:r>
          </w:p>
        </w:tc>
        <w:tc>
          <w:tcPr>
            <w:tcW w:type="dxa" w:w="3960"/>
            <w:shd w:fill="E8EEF5" w:val="clear"/>
            <w:tcMar>
              <w:top w:w="80" w:type="dxa"/>
              <w:start w:w="120" w:type="dxa"/>
              <w:bottom w:w="80" w:type="dxa"/>
              <w:end w:w="120" w:type="dxa"/>
            </w:tcMar>
            <w:vAlign w:val="center"/>
          </w:tcPr>
          <w:p>
            <w:pPr>
              <w:spacing w:after="0"/>
            </w:pPr>
            <w:r>
              <w:rPr>
                <w:rFonts w:ascii="Calibri" w:hAnsi="Calibri"/>
                <w:b/>
                <w:color w:val="0B2545"/>
                <w:sz w:val="19"/>
              </w:rPr>
              <w:t>Why this is sufficient</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0242A"/>
                <w:sz w:val="19"/>
              </w:rPr>
              <w:t>Lossy summary drops an important detail.</w:t>
            </w:r>
          </w:p>
        </w:tc>
        <w:tc>
          <w:tcPr>
            <w:tcW w:type="dxa" w:w="4100"/>
            <w:tcMar>
              <w:top w:w="80" w:type="dxa"/>
              <w:start w:w="120" w:type="dxa"/>
              <w:bottom w:w="80" w:type="dxa"/>
              <w:end w:w="120" w:type="dxa"/>
            </w:tcMar>
            <w:vAlign w:val="center"/>
          </w:tcPr>
          <w:p>
            <w:pPr>
              <w:spacing w:after="0" w:line="259" w:lineRule="auto"/>
            </w:pPr>
            <w:r>
              <w:rPr>
                <w:rFonts w:ascii="Calibri" w:hAnsi="Calibri"/>
                <w:color w:val="20242A"/>
                <w:sz w:val="19"/>
              </w:rPr>
              <w:t>Render a token-capped protected deterministic handoff outside rolling history; use a model summary only as a supplement.</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The most safety-critical facts cannot be evicted or rewritten by history compaction.</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0242A"/>
                <w:sz w:val="19"/>
              </w:rPr>
              <w:t>Compaction loop wastes time or tokens.</w:t>
            </w:r>
          </w:p>
        </w:tc>
        <w:tc>
          <w:tcPr>
            <w:tcW w:type="dxa" w:w="4100"/>
            <w:tcMar>
              <w:top w:w="80" w:type="dxa"/>
              <w:start w:w="120" w:type="dxa"/>
              <w:bottom w:w="80" w:type="dxa"/>
              <w:end w:w="120" w:type="dxa"/>
            </w:tcMar>
            <w:vAlign w:val="center"/>
          </w:tcPr>
          <w:p>
            <w:pPr>
              <w:spacing w:after="0" w:line="259" w:lineRule="auto"/>
            </w:pPr>
            <w:r>
              <w:rPr>
                <w:rFonts w:ascii="Calibri" w:hAnsi="Calibri"/>
                <w:color w:val="20242A"/>
                <w:sz w:val="19"/>
              </w:rPr>
              <w:t>Allow one automatic recovery per provider step; record the cause; then stop with a clear message.</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This follows the same bounded-retry principle used for provider failures.</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0242A"/>
                <w:sz w:val="19"/>
              </w:rPr>
              <w:t>A resumed epoch repeats a write or command.</w:t>
            </w:r>
          </w:p>
        </w:tc>
        <w:tc>
          <w:tcPr>
            <w:tcW w:type="dxa" w:w="4100"/>
            <w:tcMar>
              <w:top w:w="80" w:type="dxa"/>
              <w:start w:w="120" w:type="dxa"/>
              <w:bottom w:w="80" w:type="dxa"/>
              <w:end w:w="120" w:type="dxa"/>
            </w:tcMar>
            <w:vAlign w:val="center"/>
          </w:tcPr>
          <w:p>
            <w:pPr>
              <w:spacing w:after="0" w:line="259" w:lineRule="auto"/>
            </w:pPr>
            <w:r>
              <w:rPr>
                <w:rFonts w:ascii="Calibri" w:hAnsi="Calibri"/>
                <w:color w:val="20242A"/>
                <w:sz w:val="19"/>
              </w:rPr>
              <w:t>Persist normalized mutation evidence, checkpoints, changed paths, hashes, and command outcomes; allow verification of a matching command before any retry.</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The next model sees reliable completed side effects without incorrectly suppressing valid repeatable commands.</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0242A"/>
                <w:sz w:val="19"/>
              </w:rPr>
              <w:t>Fixed schemas/instructions alone fill the request.</w:t>
            </w:r>
          </w:p>
        </w:tc>
        <w:tc>
          <w:tcPr>
            <w:tcW w:type="dxa" w:w="4100"/>
            <w:tcMar>
              <w:top w:w="80" w:type="dxa"/>
              <w:start w:w="120" w:type="dxa"/>
              <w:bottom w:w="80" w:type="dxa"/>
              <w:end w:w="120" w:type="dxa"/>
            </w:tcMar>
            <w:vAlign w:val="center"/>
          </w:tcPr>
          <w:p>
            <w:pPr>
              <w:spacing w:after="0" w:line="259" w:lineRule="auto"/>
            </w:pPr>
            <w:r>
              <w:rPr>
                <w:rFonts w:ascii="Calibri" w:hAnsi="Calibri"/>
                <w:color w:val="20242A"/>
                <w:sz w:val="19"/>
              </w:rPr>
              <w:t>Use a context-scaled reserve and diagnose only measured fixed-component dominance; re-bound once on known estimator skew first.</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No amount of history pruning can reclaim true fixed overhead, but estimator error is recoverable.</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0242A"/>
                <w:sz w:val="19"/>
              </w:rPr>
              <w:t>Transition itself adds latency.</w:t>
            </w:r>
          </w:p>
        </w:tc>
        <w:tc>
          <w:tcPr>
            <w:tcW w:type="dxa" w:w="4100"/>
            <w:tcMar>
              <w:top w:w="80" w:type="dxa"/>
              <w:start w:w="120" w:type="dxa"/>
              <w:bottom w:w="80" w:type="dxa"/>
              <w:end w:w="120" w:type="dxa"/>
            </w:tcMar>
            <w:vAlign w:val="center"/>
          </w:tcPr>
          <w:p>
            <w:pPr>
              <w:spacing w:after="0" w:line="259" w:lineRule="auto"/>
            </w:pPr>
            <w:r>
              <w:rPr>
                <w:rFonts w:ascii="Calibri" w:hAnsi="Calibri"/>
                <w:color w:val="20242A"/>
                <w:sz w:val="19"/>
              </w:rPr>
              <w:t>Use deterministic handoff first and only invoke a short tools-disabled summary when needed. Keep the same loaded model runtime.</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A small bounded transition is cheaper than replaying dozens of calls or crashing late.</w:t>
            </w:r>
          </w:p>
        </w:tc>
      </w:tr>
      <w:tr>
        <w:tc>
          <w:tcPr>
            <w:tcW w:type="dxa" w:w="1800"/>
            <w:tcMar>
              <w:top w:w="80" w:type="dxa"/>
              <w:start w:w="120" w:type="dxa"/>
              <w:bottom w:w="80" w:type="dxa"/>
              <w:end w:w="120" w:type="dxa"/>
            </w:tcMar>
            <w:vAlign w:val="center"/>
          </w:tcPr>
          <w:p>
            <w:pPr>
              <w:spacing w:after="0" w:line="259" w:lineRule="auto"/>
            </w:pPr>
            <w:r>
              <w:rPr>
                <w:rFonts w:ascii="Calibri" w:hAnsi="Calibri"/>
                <w:color w:val="20242A"/>
                <w:sz w:val="19"/>
              </w:rPr>
              <w:t>Older chat compatibility breaks.</w:t>
            </w:r>
          </w:p>
        </w:tc>
        <w:tc>
          <w:tcPr>
            <w:tcW w:type="dxa" w:w="4100"/>
            <w:tcMar>
              <w:top w:w="80" w:type="dxa"/>
              <w:start w:w="120" w:type="dxa"/>
              <w:bottom w:w="80" w:type="dxa"/>
              <w:end w:w="120" w:type="dxa"/>
            </w:tcMar>
            <w:vAlign w:val="center"/>
          </w:tcPr>
          <w:p>
            <w:pPr>
              <w:spacing w:after="0" w:line="259" w:lineRule="auto"/>
            </w:pPr>
            <w:r>
              <w:rPr>
                <w:rFonts w:ascii="Calibri" w:hAnsi="Calibri"/>
                <w:color w:val="20242A"/>
                <w:sz w:val="19"/>
              </w:rPr>
              <w:t>Version the persisted state and normalize missing fields defensively.</w:t>
            </w:r>
          </w:p>
        </w:tc>
        <w:tc>
          <w:tcPr>
            <w:tcW w:type="dxa" w:w="3960"/>
            <w:tcMar>
              <w:top w:w="80" w:type="dxa"/>
              <w:start w:w="120" w:type="dxa"/>
              <w:bottom w:w="80" w:type="dxa"/>
              <w:end w:w="120" w:type="dxa"/>
            </w:tcMar>
            <w:vAlign w:val="center"/>
          </w:tcPr>
          <w:p>
            <w:pPr>
              <w:spacing w:after="0" w:line="259" w:lineRule="auto"/>
            </w:pPr>
            <w:r>
              <w:rPr>
                <w:rFonts w:ascii="Calibri" w:hAnsi="Calibri"/>
                <w:color w:val="20242A"/>
                <w:sz w:val="19"/>
              </w:rPr>
              <w:t>Existing conversations can continue without destructive migration.</w:t>
            </w:r>
          </w:p>
        </w:tc>
      </w:tr>
    </w:tbl>
    <w:p>
      <w:pPr>
        <w:spacing w:after="0"/>
      </w:pPr>
    </w:p>
    <w:p>
      <w:pPr>
        <w:pStyle w:val="Heading1"/>
        <w:keepNext/>
      </w:pPr>
      <w:r>
        <w:t>9. Acceptance criteria</w:t>
      </w:r>
    </w:p>
    <w:p>
      <w:pPr>
        <w:spacing w:after="80"/>
      </w:pPr>
      <w:r>
        <w:rPr>
          <w:rFonts w:ascii="Calibri" w:hAnsi="Calibri"/>
          <w:b/>
          <w:color w:val="0B2545"/>
        </w:rPr>
        <w:t xml:space="preserve">Reliability: </w:t>
      </w:r>
      <w:r>
        <w:rPr>
          <w:rFonts w:ascii="Calibri" w:hAnsi="Calibri"/>
        </w:rPr>
        <w:t>A tool-heavy 16K goal run cannot end first with "no room left" if a safe checkpoint can be constructed. It either resumes in a fresh epoch or produces a precise, non-repeating blocker.</w:t>
      </w:r>
    </w:p>
    <w:p>
      <w:pPr>
        <w:spacing w:after="80"/>
      </w:pPr>
      <w:r>
        <w:rPr>
          <w:rFonts w:ascii="Calibri" w:hAnsi="Calibri"/>
          <w:b/>
          <w:color w:val="0B2545"/>
        </w:rPr>
        <w:t xml:space="preserve">Correctness: </w:t>
      </w:r>
      <w:r>
        <w:rPr>
          <w:rFonts w:ascii="Calibri" w:hAnsi="Calibri"/>
        </w:rPr>
        <w:t>The resumed task preserves its protected objective, plan state, completed mutations, approval state, source pointers, and post-change verification requirement; no handoff field is silently re-summarized.</w:t>
      </w:r>
    </w:p>
    <w:p>
      <w:pPr>
        <w:spacing w:after="80"/>
      </w:pPr>
      <w:r>
        <w:rPr>
          <w:rFonts w:ascii="Calibri" w:hAnsi="Calibri"/>
          <w:b/>
          <w:color w:val="0B2545"/>
        </w:rPr>
        <w:t xml:space="preserve">Efficiency: </w:t>
      </w:r>
      <w:r>
        <w:rPr>
          <w:rFonts w:ascii="Calibri" w:hAnsi="Calibri"/>
        </w:rPr>
        <w:t>No second model/server process is loaded. No continuous monitoring, screenshot retention, or telemetry polling is added. The active request demonstrably becomes smaller after each accepted epoch.</w:t>
      </w:r>
    </w:p>
    <w:p>
      <w:pPr>
        <w:spacing w:after="80"/>
      </w:pPr>
      <w:r>
        <w:rPr>
          <w:rFonts w:ascii="Calibri" w:hAnsi="Calibri"/>
          <w:b/>
          <w:color w:val="0B2545"/>
        </w:rPr>
        <w:t xml:space="preserve">Observability: </w:t>
      </w:r>
      <w:r>
        <w:rPr>
          <w:rFonts w:ascii="Calibri" w:hAnsi="Calibri"/>
        </w:rPr>
        <w:t>Logs distinguish proactive capacity, in-turn exhaustion, true fixed-overhead dominance, estimator correction/re-bound, summary failure, provider overflow, and runtime termination.</w:t>
      </w:r>
    </w:p>
    <w:p>
      <w:pPr>
        <w:spacing w:after="80"/>
      </w:pPr>
      <w:r>
        <w:rPr>
          <w:rFonts w:ascii="Calibri" w:hAnsi="Calibri"/>
          <w:b/>
          <w:color w:val="0B2545"/>
        </w:rPr>
        <w:t xml:space="preserve">Safety: </w:t>
      </w:r>
      <w:r>
        <w:rPr>
          <w:rFonts w:ascii="Calibri" w:hAnsi="Calibri"/>
        </w:rPr>
        <w:t>No duplicate mutation, no malformed tool-call history, no unbounded retry loop, and no completion claim without required evidence.</w:t>
      </w:r>
    </w:p>
    <w:p>
      <w:pPr>
        <w:pStyle w:val="Heading1"/>
        <w:keepNext/>
      </w:pPr>
      <w:r>
        <w:t>10. Recommended implementation order</w:t>
      </w:r>
    </w:p>
    <w:p>
      <w:pPr/>
      <w:r>
        <w:rPr>
          <w:rFonts w:ascii="Calibri" w:hAnsi="Calibri"/>
        </w:rPr>
        <w:t>Start with Phase 0 diagnostics and structured usage.prompt_tokens capture. Next ship scaled reserve math, correction-aware re-bounding, and image-aware accounting/reclaim, because these improve the existing vision path before introducing handoff state. Define the protected token-capped handoff block and its ownership boundary. Make read coverage, progress, activity, approval, mutation, and settlement ledgers epoch-aware before enabling resume. Then implement measured-shrink rebuild with settled-only, cancellation, and round-zero guardrails. Adopt the shared seam on the text transport only after vision is stable. Tune production thresholds from fixtures rather than intuition.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Pr>
          <w:p>
            <w:pPr>
              <w:spacing w:after="40"/>
            </w:pPr>
            <w:r>
              <w:rPr>
                <w:rFonts w:ascii="Calibri" w:hAnsi="Calibri"/>
                <w:b/>
                <w:color w:val="0B2545"/>
                <w:sz w:val="19"/>
              </w:rPr>
              <w:t>DECISION</w:t>
            </w:r>
          </w:p>
          <w:p>
            <w:pPr>
              <w:spacing w:after="0" w:line="264" w:lineRule="auto"/>
            </w:pPr>
            <w:r>
              <w:rPr>
                <w:rFonts w:ascii="Calibri" w:hAnsi="Calibri"/>
                <w:color w:val="20242A"/>
                <w:sz w:val="21"/>
              </w:rPr>
              <w:t>Approve a small, staged context-epoch recovery project. It addresses the actual failure mode without increasing the model size, adding an always-on resource monitor, or weakening Anodex safety checks.</w:t>
            </w:r>
          </w:p>
        </w:tc>
      </w:tr>
    </w:tbl>
    <w:p>
      <w:pPr>
        <w:spacing w:after="0"/>
      </w:pPr>
    </w:p>
    <w:p>
      <w:pPr>
        <w:pStyle w:val="Heading1"/>
        <w:keepNext/>
      </w:pPr>
      <w:r>
        <w:t>11. External review prompt for Claude</w:t>
      </w:r>
    </w:p>
    <w:p>
      <w:pPr/>
      <w:r>
        <w:rPr>
          <w:rFonts w:ascii="Calibri" w:hAnsi="Calibri"/>
        </w:rPr>
        <w:t>Copy the following prompt together with this document when requesting an independent technical review.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8FA" w:val="clear"/>
          </w:tcPr>
          <w:p>
            <w:pPr>
              <w:spacing w:after="0" w:line="252" w:lineRule="auto"/>
            </w:pPr>
            <w:r>
              <w:rPr>
                <w:rFonts w:ascii="Consolas" w:hAnsi="Consolas"/>
                <w:color w:val="20242A"/>
                <w:sz w:val="17"/>
              </w:rPr>
              <w:t>You have reviewed earlier versions of this Anodex context-management plan. This attached revision incorporates your second review. Please verify the revised decisions rather than re-listing earlier findings that are now addressed.</w:t>
              <w:br/>
              <w:br/>
              <w:t>Anodex is a local-first Electron + React + TypeScript desktop AI assistant. Local text models use node-llama-cpp; vision models use an Anodex-owned llama-server process. The relevant task is c_fa3b6587-d9f0-430b-9dde-0d8e5a0593ef. If available, inspect its Sandbox Universe task history only as read-only evidence: a 16K vision goal run made 86 tool calls and stopped because there was no room for a usable reply, while the runtime stayed alive.</w:t>
              <w:br/>
              <w:br/>
              <w:t>Important safety boundary: do not edit, create, delete, rename, format, run, or otherwise alter any Sandbox Universe project files, Anodex source files, settings, task state, conversation history, or test data. Sandbox Universe is an Anodex test fixture; changing it invalidates testing. Your role is review and diagnosis only.</w:t>
              <w:br/>
              <w:br/>
              <w:t>Why this revision changed after your second review:</w:t>
              <w:br/>
              <w:t>- We accepted that a handoff inside ordinary history is evictable. The revised plan gives it an exact protected provider-context block, separately token-capped from the selected context size, while ordinary history remains owned by existing bounded-history compaction.</w:t>
              <w:br/>
              <w:t>- We accepted that the absolute 4,096 reply reserve is incoherent below 16K. The plan now uses a scaled reserve and only diagnoses fixed-overhead dominance when measured fixed components truly exceed the derived boundary.</w:t>
              <w:br/>
              <w:t>- We accepted that char-based history projection can disagree with real tokenization. On measured mismatch, the plan performs one correction-aware re-bound before a terminal verdict.</w:t>
              <w:br/>
              <w:t>- We accepted that streamed structured usage.prompt_tokens is already available when supplied by llama-server. It becomes a bounded next-round correction only; it never changes an in-flight request or parses runtime text.</w:t>
              <w:br/>
              <w:t>- We accepted that recovery reads cannot be preselected. The plan permits a small capped number for any evidence evicted from active context and updates both coverage and activity ledgers so they count as controlled progress.</w:t>
              <w:br/>
              <w:t>- We accepted the runner cancellation and settlement-time capture findings: no handoff over a running call; retain real cancellation reasons; capture command/write identity before argument reclamation.</w:t>
              <w:br/>
              <w:t>- We added explicit tests for protected-handoff survival, 4K minimal output, estimator skew, streamed usage correction, recovery-read progress, summarizer failure, cancellation, and colliding long commands.</w:t>
              <w:br/>
              <w:br/>
              <w:t>Assess whether the revised design is now internally coherent. Focus on: (1) protection and token budgeting of the handoff; (2) scaled reserve and fixed-overhead classification; (3) one-rebound correction path and structured usage safety; (4) bounded recovery-read and anti-loop behavior; (5) cancellation, approvals, mutation, and visual-verification safety; and (6) test sufficiency.</w:t>
              <w:br/>
              <w:br/>
              <w:t>Return only new prioritized findings. Do not repeat an earlier finding unless this revision still fails to address it. For each disagreement, label it must-fix or optional, explain the concrete failure mode, name the component, and give an acceptance test. Preserve these constraints: local llama.cpp/llama-server, no always-on resource monitoring, no user content in logs, no normal-recovery model/server reload, and no changes to the Sandbox Universe fixture.</w:t>
            </w:r>
          </w:p>
        </w:tc>
      </w:tr>
    </w:tbl>
    <w:p>
      <w:pPr>
        <w:spacing w:after="0"/>
      </w:pPr>
    </w:p>
    <w:p>
      <w:pPr>
        <w:pStyle w:val="Heading1"/>
        <w:keepNext/>
      </w:pPr>
      <w:r>
        <w:t>Sources and evidence</w:t>
      </w:r>
    </w:p>
    <w:p>
      <w:pPr>
        <w:spacing w:after="80"/>
      </w:pPr>
      <w:r>
        <w:rPr>
          <w:rFonts w:ascii="Calibri" w:hAnsi="Calibri"/>
          <w:b/>
          <w:color w:val="0B2545"/>
        </w:rPr>
        <w:t xml:space="preserve">Anodex incident record: </w:t>
      </w:r>
      <w:r>
        <w:rPr>
          <w:rFonts w:ascii="Calibri" w:hAnsi="Calibri"/>
        </w:rPr>
        <w:t>Conversation c_fa3b6587-d9f0-430b-9dde-0d8e5a0593ef. Latest 16K task record: 86 tool calls, fixedTokens 11,480, inputLimitTokens 15,872, effectiveMaxOutputTokens 3,967, then a context-space stop.</w:t>
      </w:r>
    </w:p>
    <w:p>
      <w:pPr>
        <w:spacing w:after="80"/>
      </w:pPr>
      <w:r>
        <w:rPr>
          <w:rFonts w:ascii="Calibri" w:hAnsi="Calibri"/>
          <w:b/>
          <w:color w:val="0B2545"/>
        </w:rPr>
        <w:t xml:space="preserve">Anodex implementation seams reviewed: </w:t>
      </w:r>
      <w:r>
        <w:rPr>
          <w:rFonts w:ascii="Calibri" w:hAnsi="Calibri"/>
        </w:rPr>
        <w:t>src/main/chat/boundedChatRunner.ts; src/main/llama/LlamaVisionService.ts; src/main/llama/LlamaService.ts; src/main/llama/contextAssembler.ts; src/main/llama/contextShiftStrategy.ts; src/main/llama/toolSurface.ts; src/main/tools/helpers.ts; src/main/tools/modelResultBudget.ts; src/main/tools/readCoverage.ts; src/main/tools/turnProgress.ts; src/main/vision/imageInputs.ts.</w:t>
      </w:r>
    </w:p>
    <w:p>
      <w:pPr>
        <w:spacing w:after="80"/>
      </w:pPr>
      <w:r>
        <w:rPr>
          <w:rFonts w:ascii="Calibri" w:hAnsi="Calibri"/>
          <w:b/>
          <w:color w:val="0B2545"/>
        </w:rPr>
        <w:t xml:space="preserve">OpenCode comparison: </w:t>
      </w:r>
      <w:r>
        <w:rPr>
          <w:rFonts w:ascii="Calibri" w:hAnsi="Calibri"/>
        </w:rPr>
        <w:t>OpenCode V2 Compaction documentation: https://opencode.ai/v2/docs/compaction. It describes preflight compaction, a structured checkpoint plus bounded recent tail, one overflow recovery attempt, and limits where fixed instructions/tools dominate the request.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87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875"/>
        <w:sz w:val="17"/>
      </w:rPr>
      <w:t>ANODEX  /  TECHNICAL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Anodex Context-Epoch Recovery and Tool-Loop Resilience Plan</dc:title>
  <dc:subject>Technical plan for context exhaustion recovery</dc:subject>
  <dc:creator>Anodex engineering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