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jc w:val="center"/>
      </w:pPr>
      <w:r>
        <w:rPr>
          <w:rFonts w:ascii="Calibri" w:hAnsi="Calibri"/>
          <w:b/>
          <w:color w:val="1B365D"/>
          <w:sz w:val="48"/>
        </w:rPr>
        <w:t>DOKUMEN PERANCANGAN SISTEM: STOXAREA</w:t>
      </w:r>
    </w:p>
    <w:p>
      <w:pPr>
        <w:spacing w:after="720"/>
        <w:jc w:val="center"/>
      </w:pPr>
      <w:r>
        <w:rPr>
          <w:rFonts w:ascii="Calibri" w:hAnsi="Calibri"/>
          <w:i/>
          <w:color w:val="4A5568"/>
          <w:sz w:val="24"/>
        </w:rPr>
        <w:t>Sistem Pendukung Keputusan Rekomendasi Saham berbasis Machine Learning (XGBoost, SHAP, dan SAW)</w:t>
      </w:r>
    </w:p>
    <w:p>
      <w:pPr>
        <w:spacing w:after="480"/>
        <w:jc w:val="center"/>
      </w:pPr>
      <w:r>
        <w:rPr>
          <w:color w:val="4A5568"/>
        </w:rPr>
        <w:t>――――――――――――――――――――――――――――――――――――――――</w:t>
      </w:r>
    </w:p>
    <w:p>
      <w:pPr>
        <w:keepNext/>
        <w:spacing w:before="360" w:after="120"/>
      </w:pPr>
      <w:r>
        <w:rPr>
          <w:rFonts w:ascii="Calibri" w:hAnsi="Calibri"/>
          <w:b/>
          <w:color w:val="1B365D"/>
          <w:sz w:val="32"/>
        </w:rPr>
        <w:t>1. PROSES BISNIS (BUSINESS PROCESS &amp; SYSTEM WORKFLOW)</w:t>
      </w:r>
    </w:p>
    <w:p>
      <w:r>
        <w:t>Ekosistem sistem STOXAREA bekerja dalam alur kerja terintegrasi yang menjembatani data pasar saham dinamis (real-time market data), kecerdasan buatan (Machine Learning), sistem pendukung keputusan (SPK) berjenjang tiga lapis (Three-Tier SPK), dan simulasi transaksi (Virtual Trading). Alur proses bisnis sistem dijabarkan secara detail sebagai berikut:</w:t>
      </w:r>
    </w:p>
    <w:p>
      <w:pPr>
        <w:keepNext/>
        <w:spacing w:before="240" w:after="80"/>
      </w:pPr>
      <w:r>
        <w:rPr>
          <w:rFonts w:ascii="Calibri" w:hAnsi="Calibri"/>
          <w:b/>
          <w:color w:val="4A5568"/>
          <w:sz w:val="26"/>
        </w:rPr>
        <w:t>A. Pengumpulan Data &amp; Preprocessing (Ingestion Layer)</w:t>
      </w:r>
    </w:p>
    <w:p>
      <w:r>
        <w:t>Tahap Pengumpulan Data dalam sistem merupakan fondasi krusial yang memastikan model AI bekerja dengan data yang bersih, relevan, dan stabil. Alur kerja pada tahap ini dirancang sebagai berikut:</w:t>
      </w:r>
    </w:p>
    <w:p>
      <w:pPr>
        <w:pStyle w:val="ListBullet"/>
        <w:spacing w:after="60"/>
      </w:pPr>
      <w:r>
        <w:rPr>
          <w:b/>
        </w:rPr>
        <w:t xml:space="preserve">Arsitektur Automated Pipeline: </w:t>
      </w:r>
      <w:r>
        <w:t>Sistem menggunakan Automated Pipeline untuk meminimalkan intervensi manual dan memastikan keberlanjutan data. Komponen Ingestor Data bertugas melakukan request ke API Yahoo Finance untuk mengambil data mentah secara terjadwal. Komponen Scheduler mengatur waktu penarikan data secara berkala (setiap penutupan pasar pukul 17:00 WIB) agar data di dashboard selalu mutakhir.</w:t>
      </w:r>
    </w:p>
    <w:p>
      <w:pPr>
        <w:pStyle w:val="ListBullet"/>
        <w:spacing w:after="60"/>
      </w:pPr>
      <w:r>
        <w:rPr>
          <w:b/>
        </w:rPr>
        <w:t xml:space="preserve">Integrasi API Yahoo Finance &amp; Struktur Data: </w:t>
      </w:r>
      <w:r>
        <w:t>Sistem terhubung secara mendalam dengan API Yahoo Finance untuk menarik dua kategori data utama: (1) Data Riwayat Harga (OHLCV) mencakup harga Pembukaan (Open), Tertinggi (High), Terendah (Low), Penutupan (Close), dan Volume transaksi sebagai bahan baku utama model XGBoost untuk mencari pola teknikal. (2) Metrik Rasio Keuangan menarik data fundamental seperti ROE, DER, dan PBV (diimplementasikan menggantikan PER untuk stabilitas data emiten ber-laba negatif) secara otomatis untuk memberikan konteks kesehatan bisnis pada setiap emiten.</w:t>
      </w:r>
    </w:p>
    <w:p>
      <w:pPr>
        <w:pStyle w:val="ListBullet"/>
        <w:spacing w:after="60"/>
      </w:pPr>
      <w:r>
        <w:rPr>
          <w:b/>
        </w:rPr>
        <w:t xml:space="preserve">Strategi Pemisahan Arus Data (Server Stability): </w:t>
      </w:r>
      <w:r>
        <w:t>Untuk menjaga agar server dan perangkat keras tidak mengalami overhead akibat beban kerja komputasi, sistem menerapkan pemisahan jalur data: (1) Bulk Historical Ingestion menarik data riwayat dalam jumlah besar (5 tahun terakhir) secara terpisah saat beban server rendah (malam hari) karena mengonsumsi memori dan bandwidth besar. (2) Dynamic Ticker Update melakukan penarikan data harga terkini secara ringan dan dinamis untuk memperbarui nilai portofolio atau ticker di dasbor secara real-time demi responsivitas aplikasi.</w:t>
      </w:r>
    </w:p>
    <w:p>
      <w:pPr>
        <w:pStyle w:val="ListBullet"/>
        <w:spacing w:after="60"/>
      </w:pPr>
      <w:r>
        <w:rPr>
          <w:b/>
        </w:rPr>
        <w:t xml:space="preserve">Filtrasi Emiten Aktif (Filtering Stage): </w:t>
      </w:r>
      <w:r>
        <w:t>Dari total 900+ emiten di BEI, tidak semuanya layak untuk dianalisis oleh AI karena adanya saham 'tidur' atau tidak likuid. Sistem menyaring emiten berdasarkan volume transaksi harian rata-rata 30 hari &gt; 10.000 lot, hari aktif bursa setahun &gt;= 100 hari, dan harga penutupan terakhir &gt; Rp 50. Hasil akhirnya adalah sekitar 500 emiten saham teraktif di BEI yang siap dianalisis, menjamin XGBoost hanya belajar dari pergerakan harga wajar.</w:t>
      </w:r>
    </w:p>
    <w:p>
      <w:pPr>
        <w:pStyle w:val="ListBullet"/>
        <w:spacing w:after="60"/>
      </w:pPr>
      <w:r>
        <w:rPr>
          <w:b/>
        </w:rPr>
        <w:t xml:space="preserve">Penyimpanan Terpusat: </w:t>
      </w:r>
      <w:r>
        <w:t>Setelah data disaring dan dibersihkan, data fundamental dan teknikal disimpan secara terpusat ke database (PostgreSQL backend) dalam format terstruktur yang siap diproses oleh tahap Feature Engineering.</w:t>
      </w:r>
    </w:p>
    <w:p>
      <w:pPr>
        <w:keepNext/>
        <w:spacing w:before="240" w:after="80"/>
      </w:pPr>
      <w:r>
        <w:rPr>
          <w:rFonts w:ascii="Calibri" w:hAnsi="Calibri"/>
          <w:b/>
          <w:color w:val="4A5568"/>
          <w:sz w:val="26"/>
        </w:rPr>
        <w:t>B. Personalisasi Pengguna (SPK Lapis 1 - User Profiling)</w:t>
      </w:r>
    </w:p>
    <w:p>
      <w:r>
        <w:t>Proses bisnis yang berinteraksi langsung dengan pengguna dimulai dari tahap orientasi (onboarding) melalui pengisian kuesioner psikologis Likert 1-5 berjumlah 10 pertanyaan (masing-masing kriteria diukur oleh 2 pertanyaan) untuk mengategorikan tipe risiko investasi pengguna:</w:t>
      </w:r>
    </w:p>
    <w:p>
      <w:pPr>
        <w:pStyle w:val="ListBullet"/>
        <w:spacing w:after="60"/>
      </w:pPr>
      <w:r>
        <w:rPr>
          <w:b/>
        </w:rPr>
        <w:t xml:space="preserve">Kriteria Profiling: </w:t>
      </w:r>
      <w:r>
        <w:t>Kuesioner dirancang mengukur lima dimensi: K1 (Target Keuntungan - matched dengan AI Score XGBoost), K2 (Kualitas Perusahaan - matched dengan ROE), K3 (Toleransi Risiko - matched dengan DER), K4 (Sensitivitas Harga - matched dengan PBV), dan K5 (Kapasitas Finansial - matched dengan Logika Veto/Safety Net).</w:t>
      </w:r>
    </w:p>
    <w:p>
      <w:pPr>
        <w:pStyle w:val="ListBullet"/>
        <w:spacing w:after="60"/>
      </w:pPr>
      <w:r>
        <w:rPr>
          <w:b/>
        </w:rPr>
        <w:t xml:space="preserve">Skoring dan Klasifikasi Profil: </w:t>
      </w:r>
      <w:r>
        <w:t>Skor jawaban Likert bernilai 1 (Konservatif/Aman), 3 (Moderat/Seimbang), atau 5 (Agresif/Volatil). Total skor dari K1 hingga K5 akan menentukan kategori profil investasi pengguna: Skor &lt; 12 diklasifikasikan sebagai Konservatif (mengutamakan keamanan modal dan dividen stabil), skor 12 s.d. 18 sebagai Moderat (mencari keseimbangan pertumbuhan dan keamanan), dan skor &gt; 18 sebagai Agresif (fokus penuh pada capital gain dan momentum).</w:t>
      </w:r>
    </w:p>
    <w:p>
      <w:pPr>
        <w:pStyle w:val="ListBullet"/>
        <w:spacing w:after="60"/>
      </w:pPr>
      <w:r>
        <w:rPr>
          <w:b/>
        </w:rPr>
        <w:t xml:space="preserve">Matriks Bobot Preferensi: </w:t>
      </w:r>
      <w:r>
        <w:t>Setelah profil terbentuk, sistem menetapkan bobot preferensi (total wajib 1.0) untuk rumus SAW di SPK Lapis 3: (1) Profil Konservatif menetapkan bobot AI Score = 0.10, ROE = 0.45, DER = 0.35, PBV = 0.10. (2) Profil Moderat menetapkan bobot AI Score = 0.35, ROE = 0.30, DER = 0.15, PBV = 0.20. (3) Profil Agresif menetapkan bobot AI Score = 0.60, ROE = 0.10, DER = 0.10, PBV = 0.20.</w:t>
      </w:r>
    </w:p>
    <w:p>
      <w:pPr>
        <w:pStyle w:val="ListBullet"/>
        <w:spacing w:after="60"/>
      </w:pPr>
      <w:r>
        <w:rPr>
          <w:b/>
        </w:rPr>
        <w:t xml:space="preserve">Fitur Veto (K5 Safety Net): </w:t>
      </w:r>
      <w:r>
        <w:t>Kriteria ke-5 (Kapasitas Finansial) berfungsi sebagai Guardrail etis/sabuk pengaman melalui Override Logic. Jika pengguna menjawab dana investasi berasal dari 'Dana Darurat' atau 'Uang Pokok' (K5 = 1), atau K5 = 3 (dana sedang) tetapi K3 (toleransi risiko) = 1 (sangat takut rugi), sistem secara otomatis melakukan Veto dan menurunkan profil risiko ke tingkat paling aman (Konservatif) terlepas dari seberapa tinggi skor pada kriteria lainnya. Ini menghentikan anomali ambisi agresif di atas kerentanan finansial nyata.</w:t>
      </w:r>
    </w:p>
    <w:p>
      <w:pPr>
        <w:keepNext/>
        <w:spacing w:before="240" w:after="80"/>
      </w:pPr>
      <w:r>
        <w:rPr>
          <w:rFonts w:ascii="Calibri" w:hAnsi="Calibri"/>
          <w:b/>
          <w:color w:val="4A5568"/>
          <w:sz w:val="26"/>
        </w:rPr>
        <w:t>C. Penyaringan Data Saham (SPK Lapis 2 - Stock Scoring)</w:t>
      </w:r>
    </w:p>
    <w:p>
      <w:r>
        <w:t>Tahap ini bekerja secara sepenuhnya objektif untuk menilai performa emiten di bursa efek tanpa melibatkan emosi atau preferensi subjektif pengguna:</w:t>
      </w:r>
    </w:p>
    <w:p>
      <w:pPr>
        <w:pStyle w:val="ListBullet"/>
        <w:spacing w:after="60"/>
      </w:pPr>
      <w:r>
        <w:rPr>
          <w:b/>
        </w:rPr>
        <w:t xml:space="preserve">Pra-pemrosesan &amp; Klasifikasi Sektoral: </w:t>
      </w:r>
      <w:r>
        <w:t>Sistem menyaring saham sleeping stocks (saham gocap) dan mengklasifikasikan emiten qualified ke dalam 11 sektor resmi Bursa Efek Indonesia (BEI) ditambah 1 sektor pertanian untuk penyajian informasi yang rapi.</w:t>
      </w:r>
    </w:p>
    <w:p>
      <w:pPr>
        <w:pStyle w:val="ListBullet"/>
        <w:spacing w:after="60"/>
      </w:pPr>
      <w:r>
        <w:rPr>
          <w:b/>
        </w:rPr>
        <w:t xml:space="preserve">Pemrosesan AI (XGBoost): </w:t>
      </w:r>
      <w:r>
        <w:t>Sistem menggunakan algoritma Machine Learning XGBoost untuk membaca pola kompleks secara simultan dari perpaduan data fundamental dan 11 indikator teknikal (seperti RSI, MACD, MA). Hasilnya berupa probabilitas kenaikan harga saham dalam 5 hari ke depan yang disebut AI Score.</w:t>
      </w:r>
    </w:p>
    <w:p>
      <w:pPr>
        <w:pStyle w:val="ListBullet"/>
        <w:spacing w:after="60"/>
      </w:pPr>
      <w:r>
        <w:rPr>
          <w:b/>
        </w:rPr>
        <w:t xml:space="preserve">Dimensi Kriteria Penilaian Objektif: </w:t>
      </w:r>
      <w:r>
        <w:t>Emiten dievaluasi berdasarkan 4 kriteria utama: (1) K1: AI Score (Benefit - makin tinggi makin baik, mewakili momentum bursa), (2) K2: ROE (Benefit - makin tinggi makin baik, mewakili efisiensi manajemen mencetak laba), (3) K3: DER (Cost - makin rendah makin bagus, mewakili stabilitas keuangan dari utang), dan (4) K4: PBV (Cost - makin rendah makin bagus, mewakili kewajiban valuasi harga murah/undervalued).</w:t>
      </w:r>
    </w:p>
    <w:p>
      <w:pPr>
        <w:pStyle w:val="ListBullet"/>
        <w:spacing w:after="60"/>
      </w:pPr>
      <w:r>
        <w:rPr>
          <w:b/>
        </w:rPr>
        <w:t xml:space="preserve">Normalisasi dan Pembentukan Matriks Rating: </w:t>
      </w:r>
      <w:r>
        <w:t>Nilai mentah dikonversi menjadi skala desimal seragam antara 0 hingga 1 menggunakan rumus normalisasi Min-Max, menghasilkan Matriks Rating R berdimensi N x 4 (misalnya: [0.71, 0.73, 1.00, 0.33] untuk BBCA). Matriks data objektif inilah yang akan dikalikan dengan bobot kepentingan pengguna di SPK Lapis 3.</w:t>
      </w:r>
    </w:p>
    <w:p>
      <w:pPr>
        <w:pStyle w:val="ListBullet"/>
        <w:spacing w:after="60"/>
      </w:pPr>
      <w:r>
        <w:rPr>
          <w:b/>
        </w:rPr>
        <w:t xml:space="preserve">Seleksi Top-N (Slicing &amp; Kualitas): </w:t>
      </w:r>
      <w:r>
        <w:t>Sebagai finalisasi analisis objektif, sistem melakukan pemotongan data (slicing) untuk mengambil 10 hingga 15 saham teratas di setiap sektor. Saham dalam top-15 ini otomatis adalah emiten paling unggul secara teknis dibandingkan rekan se-sektornya dan siap disajikan di halaman Market bursa.</w:t>
      </w:r>
    </w:p>
    <w:p>
      <w:pPr>
        <w:keepNext/>
        <w:spacing w:before="240" w:after="80"/>
      </w:pPr>
      <w:r>
        <w:rPr>
          <w:rFonts w:ascii="Calibri" w:hAnsi="Calibri"/>
          <w:b/>
          <w:color w:val="4A5568"/>
          <w:sz w:val="26"/>
        </w:rPr>
        <w:t>D. Pemrosesan Machine Learning (XGBoost &amp; SHAP)</w:t>
      </w:r>
    </w:p>
    <w:p>
      <w:r>
        <w:t>XGBoost berperan sebagai mesin prediksi utama yang mengubah data pasar mentah menjadi sinyal probabilitas terukur di SPK Lapis 2 dengan akselerasi CUDA pada GPU Nvidia:</w:t>
      </w:r>
    </w:p>
    <w:p>
      <w:pPr>
        <w:pStyle w:val="ListBullet"/>
        <w:spacing w:after="60"/>
      </w:pPr>
      <w:r>
        <w:rPr>
          <w:b/>
        </w:rPr>
        <w:t xml:space="preserve">Sinergi Data Input (Bahan Baku): </w:t>
      </w:r>
      <w:r>
        <w:t>Sistem menyatukan data teknikal (RSI, MACD, Moving Average untuk mendeteksi momentum dan titik jenuh jenuh beli/jual) dan data fundamental (ROE, DER, PBV untuk mendeteksi jangkar keamanan bisnis) sebagai bahan baku training.</w:t>
      </w:r>
    </w:p>
    <w:p>
      <w:pPr>
        <w:pStyle w:val="ListBullet"/>
        <w:spacing w:after="60"/>
      </w:pPr>
      <w:r>
        <w:rPr>
          <w:b/>
        </w:rPr>
        <w:t xml:space="preserve">Alur Kerja XGBoost: </w:t>
      </w:r>
      <w:r>
        <w:t>Melalui Feature Engineering, data mentah ditransformasikan dengan teknik lagging data untuk menangkap pola tren jangka pendek. Pembelajaran berjenjang (Residual Learning) membangun serangkaian pohon keputusan secara berurutan guna meminimalkan kesalahan prediksi (residual error) secara bertahap dengan optimasi fungsi objektif terregularisasi.</w:t>
      </w:r>
    </w:p>
    <w:p>
      <w:pPr>
        <w:pStyle w:val="ListBullet"/>
        <w:spacing w:after="60"/>
      </w:pPr>
      <w:r>
        <w:rPr>
          <w:b/>
        </w:rPr>
        <w:t xml:space="preserve">Transparansi melalui SHAP (Explainable AI): </w:t>
      </w:r>
      <w:r>
        <w:t>Setelah prediksi probabilitas dihasilkan, model memanfaatkan algoritma SHAP (TreeExplainer) untuk membedah 'kotak hitam' keputusan AI. SHAP mengekstrak 3 kontributor utama dan menerjemahkannya ke dalam bahasa alami (misalnya: 'ROE tinggi mendorong naik probabilitas') di dasbor emiten untuk transparansi retail.</w:t>
      </w:r>
    </w:p>
    <w:p>
      <w:pPr>
        <w:pStyle w:val="ListBullet"/>
        <w:spacing w:after="60"/>
      </w:pPr>
      <w:r>
        <w:rPr>
          <w:b/>
        </w:rPr>
        <w:t xml:space="preserve">Output &amp; Kalibrasi: </w:t>
      </w:r>
      <w:r>
        <w:t>Probabilitas biner yang dihasilkan kemudian dikalibrasi menggunakan Isotonic Regression (CalibratedClassifierCV) untuk menghasilkan nilai riil probabilitas kenaikan harga [0.0, 1.0]. AI Score dan ROE diperlakukan sebagai benefit, sedangkan DER dan PBV sebagai cost.</w:t>
      </w:r>
    </w:p>
    <w:p>
      <w:pPr>
        <w:keepNext/>
        <w:spacing w:before="240" w:after="80"/>
      </w:pPr>
      <w:r>
        <w:rPr>
          <w:rFonts w:ascii="Calibri" w:hAnsi="Calibri"/>
          <w:b/>
          <w:color w:val="4A5568"/>
          <w:sz w:val="26"/>
        </w:rPr>
        <w:t>E. Agregasi &amp; Peringkat Berbasis SAW (SPK Lapis 3)</w:t>
      </w:r>
    </w:p>
    <w:p>
      <w:r>
        <w:t>SPK Lapis 3 bertindak sebagai otak pengambil keputusan final yang mempertemukan profil psikologis subjektif pengguna (SPK 1) dengan matriks rating objektif pasar (SPK 2):</w:t>
      </w:r>
    </w:p>
    <w:p>
      <w:pPr>
        <w:pStyle w:val="ListBullet"/>
        <w:spacing w:after="60"/>
      </w:pPr>
      <w:r>
        <w:rPr>
          <w:b/>
        </w:rPr>
        <w:t xml:space="preserve">Matriks Jembatan Kriteria (Matching Table): </w:t>
      </w:r>
      <w:r>
        <w:t>Sistem mempertemukan kriteria psikologis dengan variabel pasar: Target Keuntungan dijodohkan dengan AI Score (Ambisi vs Probabilitas), Kualitas Perusahaan dijodohkan dengan ROE (Idealisme vs Efisiensi), Toleransi Risiko dijodohkan dengan DER (Ketahanan Mental vs Solvabilitas), dan Sensitivitas Harga dijodohkan dengan PBV (Gaya Belanja vs Kewajaran Harga).</w:t>
      </w:r>
    </w:p>
    <w:p>
      <w:pPr>
        <w:pStyle w:val="ListBullet"/>
        <w:spacing w:after="60"/>
      </w:pPr>
      <w:r>
        <w:rPr>
          <w:b/>
        </w:rPr>
        <w:t xml:space="preserve">Logika Agregasi &amp; Filter Blacklist: </w:t>
      </w:r>
      <w:r>
        <w:t>Melalui agregasi SAW, skor kecocokan akhir Vi dihitung: V_i = sum(w_j * r_ij). Nilai dinyatakan dalam persentase (0-100%). Sebelum pemeringkatan final, filter rule-based blacklist dijalankan untuk mengeliminasi saham berbahaya sesuai profil (contoh: DER &gt; 150% langsung dibuang bagi tipe Konservatif). Hal ini menjamin rekomendasi aman dari risiko fatal.</w:t>
      </w:r>
    </w:p>
    <w:p>
      <w:pPr>
        <w:pStyle w:val="ListBullet"/>
        <w:spacing w:after="60"/>
      </w:pPr>
      <w:r>
        <w:rPr>
          <w:b/>
        </w:rPr>
        <w:t xml:space="preserve">Ekosistem Komputasi &amp; Penyajian Bersih: </w:t>
      </w:r>
      <w:r>
        <w:t>Seluruh komputasi SPK 3 dioptimalkan berjalan di atas infrastruktur tangguh dengan sistem Double-Checked Locking Cache per profil (Konservatif, Moderat, Agresif) guna mencegah lag komputasi massal (thundering herd). Hasil akhir matching tertinggi diekstrak menjadi Top Picks berisi 3 hingga 5 saham rekomendasi terbaik untuk keseluruhan bursa dan 1-2 saham per sektor tampilan sektoral.</w:t>
      </w:r>
    </w:p>
    <w:p>
      <w:pPr>
        <w:keepNext/>
        <w:spacing w:before="240" w:after="80"/>
      </w:pPr>
      <w:r>
        <w:rPr>
          <w:rFonts w:ascii="Calibri" w:hAnsi="Calibri"/>
          <w:b/>
          <w:color w:val="4A5568"/>
          <w:sz w:val="26"/>
        </w:rPr>
        <w:t>F. Fitur Market &amp; Dasbor Publik (Market Analysis Page)</w:t>
      </w:r>
    </w:p>
    <w:p>
      <w:r>
        <w:t>Menyediakan halaman analisis pasar objektif untuk memantau saham potensial secara umum tanpa terpengaruh profil pengguna:</w:t>
      </w:r>
    </w:p>
    <w:p>
      <w:pPr>
        <w:pStyle w:val="ListBullet"/>
        <w:spacing w:after="60"/>
      </w:pPr>
      <w:r>
        <w:rPr>
          <w:b/>
        </w:rPr>
        <w:t xml:space="preserve">Top AI Momentum &amp; Optimasi Cache: </w:t>
      </w:r>
      <w:r>
        <w:t>Menampilkan daftar 30 s.d. 150 saham bursa teraktif yang diurutkan murni berdasarkan momentum AI Score tertinggi, dilengkapi sparkline historis 7 hari dan tag sentimen harian otomatis (Bullish/Bearish/Netral). Halaman dilindungi sistem cache dinamis TTL 5 menit untuk mencegah throttling API Yahoo Finance.</w:t>
      </w:r>
    </w:p>
    <w:p>
      <w:pPr>
        <w:keepNext/>
        <w:spacing w:before="240" w:after="80"/>
      </w:pPr>
      <w:r>
        <w:rPr>
          <w:rFonts w:ascii="Calibri" w:hAnsi="Calibri"/>
          <w:b/>
          <w:color w:val="4A5568"/>
          <w:sz w:val="26"/>
        </w:rPr>
        <w:t>G. Virtual Trading (Simulator Transaksi Realistis)</w:t>
      </w:r>
    </w:p>
    <w:p>
      <w:r>
        <w:t>Simulator transaksi dirancang semirip mungkin dengan mekanisme perdagangan riil di Bursa Efek Indonesia (BEI):</w:t>
      </w:r>
    </w:p>
    <w:p>
      <w:pPr>
        <w:pStyle w:val="ListBullet"/>
        <w:spacing w:after="60"/>
      </w:pPr>
      <w:r>
        <w:rPr>
          <w:b/>
        </w:rPr>
        <w:t xml:space="preserve">Transaksi &amp; Resolusi Aksi Korporasi: </w:t>
      </w:r>
      <w:r>
        <w:t>Validasi pembelian menggunakan harga pasar terkini ditambah biaya transaksi riil broker Indonesia sebesar 0.15%. Portofolio diupdate dengan metode Average Cost untuk melacak modal beli secara akurat. Penjualan dikenakan biaya 0.25% (mencakup komisi broker, PPN, dan PPh Final 0.1% penjualan). Aksi korporasi seperti Stock Split BBCA 1:5 tervalidasi admin secara otomatis menyesuaikan kuantitas (Qty x 5) dan harga modal (Avg Price / 5).</w:t>
      </w:r>
    </w:p>
    <w:p>
      <w:pPr>
        <w:keepNext/>
        <w:spacing w:before="360" w:after="120"/>
      </w:pPr>
      <w:r>
        <w:rPr>
          <w:rFonts w:ascii="Calibri" w:hAnsi="Calibri"/>
          <w:b/>
          <w:color w:val="1B365D"/>
          <w:sz w:val="32"/>
        </w:rPr>
        <w:t>2. RANCANGAN DATASET (DATASET DESIGN)</w:t>
      </w:r>
    </w:p>
    <w:p>
      <w:r>
        <w:t>Rancangan struktur dataset yang digunakan dalam sistem STOXAREA terbagi menjadi tiga jenis representasi data: Data Mentah (Raw), Data Terproses (Processed Features), dan Skema Basis Data Relasional Operasional.</w:t>
      </w:r>
    </w:p>
    <w:p>
      <w:pPr>
        <w:keepNext/>
        <w:spacing w:before="240" w:after="80"/>
      </w:pPr>
      <w:r>
        <w:rPr>
          <w:rFonts w:ascii="Calibri" w:hAnsi="Calibri"/>
          <w:b/>
          <w:color w:val="4A5568"/>
          <w:sz w:val="26"/>
        </w:rPr>
        <w:t>A. Dataset OHLCV Saham Historis (Format CSV per Emiten)</w:t>
      </w:r>
    </w:p>
    <w:p>
      <w:r>
        <w:t>Sumber Data: Yahoo Finance API (yfinance). Lokasi: data/raw/ohlcv/{TICKER}.csv (Contoh: BBCA.JK.csv).</w:t>
      </w:r>
    </w:p>
    <w:tbl>
      <w:tblPr>
        <w:tblW w:type="auto" w:w="0"/>
        <w:jc w:val="center"/>
        <w:tblLook w:firstColumn="1" w:firstRow="1" w:lastColumn="0" w:lastRow="0" w:noHBand="0" w:noVBand="1" w:val="04A0"/>
        <w:tblBorders>
          <w:top w:val="single" w:sz="4" w:space="0" w:color="CCCCCC"/>
          <w:bottom w:val="single" w:sz="6" w:space="0" w:color="1B365D"/>
          <w:left w:val="none"/>
          <w:right w:val="none"/>
          <w:insideH w:val="single" w:sz="4" w:space="0" w:color="E5E5E5"/>
          <w:insideV w:val="none"/>
        </w:tblBorders>
      </w:tblPr>
      <w:tblGrid>
        <w:gridCol w:w="2340"/>
        <w:gridCol w:w="2340"/>
        <w:gridCol w:w="2340"/>
        <w:gridCol w:w="2340"/>
      </w:tblGrid>
      <w:tr>
        <w:trPr>
          <w:tblHeader/>
        </w:trPr>
        <w:tc>
          <w:tcPr>
            <w:tcW w:type="dxa" w:w="1728"/>
            <w:shd w:fill="1B365D"/>
            <w:tcMar>
              <w:top w:w="120" w:type="dxa"/>
              <w:bottom w:w="120" w:type="dxa"/>
              <w:left w:w="150" w:type="dxa"/>
              <w:right w:w="150" w:type="dxa"/>
            </w:tcMar>
          </w:tcPr>
          <w:p>
            <w:pPr>
              <w:jc w:val="center"/>
            </w:pPr>
            <w:r>
              <w:rPr>
                <w:b/>
                <w:color w:val="FFFFFF"/>
                <w:sz w:val="20"/>
              </w:rPr>
              <w:t>Nama Atribut</w:t>
            </w:r>
          </w:p>
        </w:tc>
        <w:tc>
          <w:tcPr>
            <w:tcW w:type="dxa" w:w="1440"/>
            <w:shd w:fill="1B365D"/>
            <w:tcMar>
              <w:top w:w="120" w:type="dxa"/>
              <w:bottom w:w="120" w:type="dxa"/>
              <w:left w:w="150" w:type="dxa"/>
              <w:right w:w="150" w:type="dxa"/>
            </w:tcMar>
          </w:tcPr>
          <w:p>
            <w:pPr>
              <w:jc w:val="center"/>
            </w:pPr>
            <w:r>
              <w:rPr>
                <w:b/>
                <w:color w:val="FFFFFF"/>
                <w:sz w:val="20"/>
              </w:rPr>
              <w:t>Tipe Data</w:t>
            </w:r>
          </w:p>
        </w:tc>
        <w:tc>
          <w:tcPr>
            <w:tcW w:type="dxa" w:w="1152"/>
            <w:shd w:fill="1B365D"/>
            <w:tcMar>
              <w:top w:w="120" w:type="dxa"/>
              <w:bottom w:w="120" w:type="dxa"/>
              <w:left w:w="150" w:type="dxa"/>
              <w:right w:w="150" w:type="dxa"/>
            </w:tcMar>
          </w:tcPr>
          <w:p>
            <w:pPr>
              <w:jc w:val="center"/>
            </w:pPr>
            <w:r>
              <w:rPr>
                <w:b/>
                <w:color w:val="FFFFFF"/>
                <w:sz w:val="20"/>
              </w:rPr>
              <w:t>Kunci</w:t>
            </w:r>
          </w:p>
        </w:tc>
        <w:tc>
          <w:tcPr>
            <w:tcW w:type="dxa" w:w="5040"/>
            <w:shd w:fill="1B365D"/>
            <w:tcMar>
              <w:top w:w="120" w:type="dxa"/>
              <w:bottom w:w="120" w:type="dxa"/>
              <w:left w:w="150" w:type="dxa"/>
              <w:right w:w="150" w:type="dxa"/>
            </w:tcMar>
          </w:tcPr>
          <w:p>
            <w:pPr>
              <w:jc w:val="center"/>
            </w:pPr>
            <w:r>
              <w:rPr>
                <w:b/>
                <w:color w:val="FFFFFF"/>
                <w:sz w:val="20"/>
              </w:rPr>
              <w:t>Keterangan / Deskripsi Fitur</w:t>
            </w:r>
          </w:p>
        </w:tc>
      </w:tr>
      <w:tr>
        <w:trPr>
          <w:cantSplit/>
        </w:trPr>
        <w:tc>
          <w:tcPr>
            <w:tcW w:type="dxa" w:w="1728"/>
            <w:tcMar>
              <w:top w:w="80" w:type="dxa"/>
              <w:bottom w:w="80" w:type="dxa"/>
              <w:left w:w="120" w:type="dxa"/>
              <w:right w:w="120" w:type="dxa"/>
            </w:tcMar>
          </w:tcPr>
          <w:p>
            <w:r>
              <w:rPr>
                <w:b/>
                <w:sz w:val="19"/>
              </w:rPr>
              <w:t>Date</w:t>
            </w:r>
          </w:p>
        </w:tc>
        <w:tc>
          <w:tcPr>
            <w:tcW w:type="dxa" w:w="1440"/>
            <w:tcMar>
              <w:top w:w="80" w:type="dxa"/>
              <w:bottom w:w="80" w:type="dxa"/>
              <w:left w:w="120" w:type="dxa"/>
              <w:right w:w="120" w:type="dxa"/>
            </w:tcMar>
          </w:tcPr>
          <w:p>
            <w:pPr>
              <w:jc w:val="center"/>
            </w:pPr>
            <w:r>
              <w:rPr>
                <w:sz w:val="19"/>
              </w:rPr>
              <w:t>Datetime</w:t>
            </w:r>
          </w:p>
        </w:tc>
        <w:tc>
          <w:tcPr>
            <w:tcW w:type="dxa" w:w="1152"/>
            <w:tcMar>
              <w:top w:w="80" w:type="dxa"/>
              <w:bottom w:w="80" w:type="dxa"/>
              <w:left w:w="120" w:type="dxa"/>
              <w:right w:w="120" w:type="dxa"/>
            </w:tcMar>
          </w:tcPr>
          <w:p>
            <w:pPr>
              <w:jc w:val="center"/>
            </w:pPr>
            <w:r>
              <w:rPr>
                <w:sz w:val="19"/>
              </w:rPr>
              <w:t>Foreign</w:t>
            </w:r>
          </w:p>
        </w:tc>
        <w:tc>
          <w:tcPr>
            <w:tcW w:type="dxa" w:w="5040"/>
            <w:tcMar>
              <w:top w:w="80" w:type="dxa"/>
              <w:bottom w:w="80" w:type="dxa"/>
              <w:left w:w="120" w:type="dxa"/>
              <w:right w:w="120" w:type="dxa"/>
            </w:tcMar>
          </w:tcPr>
          <w:p>
            <w:r>
              <w:rPr>
                <w:sz w:val="19"/>
              </w:rPr>
              <w:t>Tanggal transaksi bursa (Format: YYYY-MM-DD)</w:t>
            </w:r>
          </w:p>
        </w:tc>
      </w:tr>
      <w:tr>
        <w:trPr>
          <w:cantSplit/>
        </w:trPr>
        <w:tc>
          <w:tcPr>
            <w:tcW w:type="dxa" w:w="1728"/>
            <w:tcMar>
              <w:top w:w="80" w:type="dxa"/>
              <w:bottom w:w="80" w:type="dxa"/>
              <w:left w:w="120" w:type="dxa"/>
              <w:right w:w="120" w:type="dxa"/>
            </w:tcMar>
            <w:shd w:fill="F7FAFC"/>
          </w:tcPr>
          <w:p>
            <w:r>
              <w:rPr>
                <w:b/>
                <w:sz w:val="19"/>
              </w:rPr>
              <w:t>Open</w:t>
            </w:r>
          </w:p>
        </w:tc>
        <w:tc>
          <w:tcPr>
            <w:tcW w:type="dxa" w:w="1440"/>
            <w:tcMar>
              <w:top w:w="80" w:type="dxa"/>
              <w:bottom w:w="80" w:type="dxa"/>
              <w:left w:w="120" w:type="dxa"/>
              <w:right w:w="120" w:type="dxa"/>
            </w:tcMar>
            <w:shd w:fill="F7FAFC"/>
          </w:tcPr>
          <w:p>
            <w:pPr>
              <w:jc w:val="center"/>
            </w:pPr>
            <w:r>
              <w:rPr>
                <w:sz w:val="19"/>
              </w:rPr>
              <w:t>Float</w:t>
            </w:r>
          </w:p>
        </w:tc>
        <w:tc>
          <w:tcPr>
            <w:tcW w:type="dxa" w:w="1152"/>
            <w:tcMar>
              <w:top w:w="80" w:type="dxa"/>
              <w:bottom w:w="80" w:type="dxa"/>
              <w:left w:w="120" w:type="dxa"/>
              <w:right w:w="120" w:type="dxa"/>
            </w:tcMar>
            <w:shd w:fill="F7FAFC"/>
          </w:tcPr>
          <w:p>
            <w:pPr>
              <w:jc w:val="center"/>
            </w:pPr>
            <w:r>
              <w:rPr>
                <w:sz w:val="19"/>
              </w:rPr>
              <w:t>-</w:t>
            </w:r>
          </w:p>
        </w:tc>
        <w:tc>
          <w:tcPr>
            <w:tcW w:type="dxa" w:w="5040"/>
            <w:tcMar>
              <w:top w:w="80" w:type="dxa"/>
              <w:bottom w:w="80" w:type="dxa"/>
              <w:left w:w="120" w:type="dxa"/>
              <w:right w:w="120" w:type="dxa"/>
            </w:tcMar>
            <w:shd w:fill="F7FAFC"/>
          </w:tcPr>
          <w:p>
            <w:r>
              <w:rPr>
                <w:sz w:val="19"/>
              </w:rPr>
              <w:t>Harga pembukaan perdagangan bursa pada hari terkait (IDR)</w:t>
            </w:r>
          </w:p>
        </w:tc>
      </w:tr>
      <w:tr>
        <w:trPr>
          <w:cantSplit/>
        </w:trPr>
        <w:tc>
          <w:tcPr>
            <w:tcW w:type="dxa" w:w="1728"/>
            <w:tcMar>
              <w:top w:w="80" w:type="dxa"/>
              <w:bottom w:w="80" w:type="dxa"/>
              <w:left w:w="120" w:type="dxa"/>
              <w:right w:w="120" w:type="dxa"/>
            </w:tcMar>
          </w:tcPr>
          <w:p>
            <w:r>
              <w:rPr>
                <w:b/>
                <w:sz w:val="19"/>
              </w:rPr>
              <w:t>High</w:t>
            </w:r>
          </w:p>
        </w:tc>
        <w:tc>
          <w:tcPr>
            <w:tcW w:type="dxa" w:w="1440"/>
            <w:tcMar>
              <w:top w:w="80" w:type="dxa"/>
              <w:bottom w:w="80" w:type="dxa"/>
              <w:left w:w="120" w:type="dxa"/>
              <w:right w:w="120" w:type="dxa"/>
            </w:tcMar>
          </w:tcPr>
          <w:p>
            <w:pPr>
              <w:jc w:val="center"/>
            </w:pPr>
            <w:r>
              <w:rPr>
                <w:sz w:val="19"/>
              </w:rPr>
              <w:t>Float</w:t>
            </w:r>
          </w:p>
        </w:tc>
        <w:tc>
          <w:tcPr>
            <w:tcW w:type="dxa" w:w="1152"/>
            <w:tcMar>
              <w:top w:w="80" w:type="dxa"/>
              <w:bottom w:w="80" w:type="dxa"/>
              <w:left w:w="120" w:type="dxa"/>
              <w:right w:w="120" w:type="dxa"/>
            </w:tcMar>
          </w:tcPr>
          <w:p>
            <w:pPr>
              <w:jc w:val="center"/>
            </w:pPr>
            <w:r>
              <w:rPr>
                <w:sz w:val="19"/>
              </w:rPr>
              <w:t>-</w:t>
            </w:r>
          </w:p>
        </w:tc>
        <w:tc>
          <w:tcPr>
            <w:tcW w:type="dxa" w:w="5040"/>
            <w:tcMar>
              <w:top w:w="80" w:type="dxa"/>
              <w:bottom w:w="80" w:type="dxa"/>
              <w:left w:w="120" w:type="dxa"/>
              <w:right w:w="120" w:type="dxa"/>
            </w:tcMar>
          </w:tcPr>
          <w:p>
            <w:r>
              <w:rPr>
                <w:sz w:val="19"/>
              </w:rPr>
              <w:t>Harga tertinggi saham pada hari terkait (IDR)</w:t>
            </w:r>
          </w:p>
        </w:tc>
      </w:tr>
      <w:tr>
        <w:trPr>
          <w:cantSplit/>
        </w:trPr>
        <w:tc>
          <w:tcPr>
            <w:tcW w:type="dxa" w:w="1728"/>
            <w:tcMar>
              <w:top w:w="80" w:type="dxa"/>
              <w:bottom w:w="80" w:type="dxa"/>
              <w:left w:w="120" w:type="dxa"/>
              <w:right w:w="120" w:type="dxa"/>
            </w:tcMar>
            <w:shd w:fill="F7FAFC"/>
          </w:tcPr>
          <w:p>
            <w:r>
              <w:rPr>
                <w:b/>
                <w:sz w:val="19"/>
              </w:rPr>
              <w:t>Low</w:t>
            </w:r>
          </w:p>
        </w:tc>
        <w:tc>
          <w:tcPr>
            <w:tcW w:type="dxa" w:w="1440"/>
            <w:tcMar>
              <w:top w:w="80" w:type="dxa"/>
              <w:bottom w:w="80" w:type="dxa"/>
              <w:left w:w="120" w:type="dxa"/>
              <w:right w:w="120" w:type="dxa"/>
            </w:tcMar>
            <w:shd w:fill="F7FAFC"/>
          </w:tcPr>
          <w:p>
            <w:pPr>
              <w:jc w:val="center"/>
            </w:pPr>
            <w:r>
              <w:rPr>
                <w:sz w:val="19"/>
              </w:rPr>
              <w:t>Float</w:t>
            </w:r>
          </w:p>
        </w:tc>
        <w:tc>
          <w:tcPr>
            <w:tcW w:type="dxa" w:w="1152"/>
            <w:tcMar>
              <w:top w:w="80" w:type="dxa"/>
              <w:bottom w:w="80" w:type="dxa"/>
              <w:left w:w="120" w:type="dxa"/>
              <w:right w:w="120" w:type="dxa"/>
            </w:tcMar>
            <w:shd w:fill="F7FAFC"/>
          </w:tcPr>
          <w:p>
            <w:pPr>
              <w:jc w:val="center"/>
            </w:pPr>
            <w:r>
              <w:rPr>
                <w:sz w:val="19"/>
              </w:rPr>
              <w:t>-</w:t>
            </w:r>
          </w:p>
        </w:tc>
        <w:tc>
          <w:tcPr>
            <w:tcW w:type="dxa" w:w="5040"/>
            <w:tcMar>
              <w:top w:w="80" w:type="dxa"/>
              <w:bottom w:w="80" w:type="dxa"/>
              <w:left w:w="120" w:type="dxa"/>
              <w:right w:w="120" w:type="dxa"/>
            </w:tcMar>
            <w:shd w:fill="F7FAFC"/>
          </w:tcPr>
          <w:p>
            <w:r>
              <w:rPr>
                <w:sz w:val="19"/>
              </w:rPr>
              <w:t>Harga terendah saham pada hari terkait (IDR)</w:t>
            </w:r>
          </w:p>
        </w:tc>
      </w:tr>
      <w:tr>
        <w:trPr>
          <w:cantSplit/>
        </w:trPr>
        <w:tc>
          <w:tcPr>
            <w:tcW w:type="dxa" w:w="1728"/>
            <w:tcMar>
              <w:top w:w="80" w:type="dxa"/>
              <w:bottom w:w="80" w:type="dxa"/>
              <w:left w:w="120" w:type="dxa"/>
              <w:right w:w="120" w:type="dxa"/>
            </w:tcMar>
          </w:tcPr>
          <w:p>
            <w:r>
              <w:rPr>
                <w:b/>
                <w:sz w:val="19"/>
              </w:rPr>
              <w:t>Close</w:t>
            </w:r>
          </w:p>
        </w:tc>
        <w:tc>
          <w:tcPr>
            <w:tcW w:type="dxa" w:w="1440"/>
            <w:tcMar>
              <w:top w:w="80" w:type="dxa"/>
              <w:bottom w:w="80" w:type="dxa"/>
              <w:left w:w="120" w:type="dxa"/>
              <w:right w:w="120" w:type="dxa"/>
            </w:tcMar>
          </w:tcPr>
          <w:p>
            <w:pPr>
              <w:jc w:val="center"/>
            </w:pPr>
            <w:r>
              <w:rPr>
                <w:sz w:val="19"/>
              </w:rPr>
              <w:t>Float</w:t>
            </w:r>
          </w:p>
        </w:tc>
        <w:tc>
          <w:tcPr>
            <w:tcW w:type="dxa" w:w="1152"/>
            <w:tcMar>
              <w:top w:w="80" w:type="dxa"/>
              <w:bottom w:w="80" w:type="dxa"/>
              <w:left w:w="120" w:type="dxa"/>
              <w:right w:w="120" w:type="dxa"/>
            </w:tcMar>
          </w:tcPr>
          <w:p>
            <w:pPr>
              <w:jc w:val="center"/>
            </w:pPr>
            <w:r>
              <w:rPr>
                <w:sz w:val="19"/>
              </w:rPr>
              <w:t>-</w:t>
            </w:r>
          </w:p>
        </w:tc>
        <w:tc>
          <w:tcPr>
            <w:tcW w:type="dxa" w:w="5040"/>
            <w:tcMar>
              <w:top w:w="80" w:type="dxa"/>
              <w:bottom w:w="80" w:type="dxa"/>
              <w:left w:w="120" w:type="dxa"/>
              <w:right w:w="120" w:type="dxa"/>
            </w:tcMar>
          </w:tcPr>
          <w:p>
            <w:r>
              <w:rPr>
                <w:sz w:val="19"/>
              </w:rPr>
              <w:t>Harga penutupan akhir perdagangan bursa (IDR)</w:t>
            </w:r>
          </w:p>
        </w:tc>
      </w:tr>
      <w:tr>
        <w:trPr>
          <w:cantSplit/>
        </w:trPr>
        <w:tc>
          <w:tcPr>
            <w:tcW w:type="dxa" w:w="1728"/>
            <w:tcMar>
              <w:top w:w="80" w:type="dxa"/>
              <w:bottom w:w="80" w:type="dxa"/>
              <w:left w:w="120" w:type="dxa"/>
              <w:right w:w="120" w:type="dxa"/>
            </w:tcMar>
            <w:shd w:fill="F7FAFC"/>
          </w:tcPr>
          <w:p>
            <w:r>
              <w:rPr>
                <w:b/>
                <w:sz w:val="19"/>
              </w:rPr>
              <w:t>Volume</w:t>
            </w:r>
          </w:p>
        </w:tc>
        <w:tc>
          <w:tcPr>
            <w:tcW w:type="dxa" w:w="1440"/>
            <w:tcMar>
              <w:top w:w="80" w:type="dxa"/>
              <w:bottom w:w="80" w:type="dxa"/>
              <w:left w:w="120" w:type="dxa"/>
              <w:right w:w="120" w:type="dxa"/>
            </w:tcMar>
            <w:shd w:fill="F7FAFC"/>
          </w:tcPr>
          <w:p>
            <w:pPr>
              <w:jc w:val="center"/>
            </w:pPr>
            <w:r>
              <w:rPr>
                <w:sz w:val="19"/>
              </w:rPr>
              <w:t>BigInt</w:t>
            </w:r>
          </w:p>
        </w:tc>
        <w:tc>
          <w:tcPr>
            <w:tcW w:type="dxa" w:w="1152"/>
            <w:tcMar>
              <w:top w:w="80" w:type="dxa"/>
              <w:bottom w:w="80" w:type="dxa"/>
              <w:left w:w="120" w:type="dxa"/>
              <w:right w:w="120" w:type="dxa"/>
            </w:tcMar>
            <w:shd w:fill="F7FAFC"/>
          </w:tcPr>
          <w:p>
            <w:pPr>
              <w:jc w:val="center"/>
            </w:pPr>
            <w:r>
              <w:rPr>
                <w:sz w:val="19"/>
              </w:rPr>
              <w:t>-</w:t>
            </w:r>
          </w:p>
        </w:tc>
        <w:tc>
          <w:tcPr>
            <w:tcW w:type="dxa" w:w="5040"/>
            <w:tcMar>
              <w:top w:w="80" w:type="dxa"/>
              <w:bottom w:w="80" w:type="dxa"/>
              <w:left w:w="120" w:type="dxa"/>
              <w:right w:w="120" w:type="dxa"/>
            </w:tcMar>
            <w:shd w:fill="F7FAFC"/>
          </w:tcPr>
          <w:p>
            <w:r>
              <w:rPr>
                <w:sz w:val="19"/>
              </w:rPr>
              <w:t>Jumlah lembar saham yang ditransaksikan pada hari terkait</w:t>
            </w:r>
          </w:p>
        </w:tc>
      </w:tr>
      <w:tr>
        <w:trPr>
          <w:cantSplit/>
        </w:trPr>
        <w:tc>
          <w:tcPr>
            <w:tcW w:type="dxa" w:w="1728"/>
            <w:tcMar>
              <w:top w:w="80" w:type="dxa"/>
              <w:bottom w:w="80" w:type="dxa"/>
              <w:left w:w="120" w:type="dxa"/>
              <w:right w:w="120" w:type="dxa"/>
            </w:tcMar>
          </w:tcPr>
          <w:p>
            <w:r>
              <w:rPr>
                <w:b/>
                <w:sz w:val="19"/>
              </w:rPr>
              <w:t>ticker</w:t>
            </w:r>
          </w:p>
        </w:tc>
        <w:tc>
          <w:tcPr>
            <w:tcW w:type="dxa" w:w="1440"/>
            <w:tcMar>
              <w:top w:w="80" w:type="dxa"/>
              <w:bottom w:w="80" w:type="dxa"/>
              <w:left w:w="120" w:type="dxa"/>
              <w:right w:w="120" w:type="dxa"/>
            </w:tcMar>
          </w:tcPr>
          <w:p>
            <w:pPr>
              <w:jc w:val="center"/>
            </w:pPr>
            <w:r>
              <w:rPr>
                <w:sz w:val="19"/>
              </w:rPr>
              <w:t>String</w:t>
            </w:r>
          </w:p>
        </w:tc>
        <w:tc>
          <w:tcPr>
            <w:tcW w:type="dxa" w:w="1152"/>
            <w:tcMar>
              <w:top w:w="80" w:type="dxa"/>
              <w:bottom w:w="80" w:type="dxa"/>
              <w:left w:w="120" w:type="dxa"/>
              <w:right w:w="120" w:type="dxa"/>
            </w:tcMar>
          </w:tcPr>
          <w:p>
            <w:pPr>
              <w:jc w:val="center"/>
            </w:pPr>
            <w:r>
              <w:rPr>
                <w:sz w:val="19"/>
              </w:rPr>
              <w:t>Foreign</w:t>
            </w:r>
          </w:p>
        </w:tc>
        <w:tc>
          <w:tcPr>
            <w:tcW w:type="dxa" w:w="5040"/>
            <w:tcMar>
              <w:top w:w="80" w:type="dxa"/>
              <w:bottom w:w="80" w:type="dxa"/>
              <w:left w:w="120" w:type="dxa"/>
              <w:right w:w="120" w:type="dxa"/>
            </w:tcMar>
          </w:tcPr>
          <w:p>
            <w:r>
              <w:rPr>
                <w:sz w:val="19"/>
              </w:rPr>
              <w:t>Kode ticker unik saham IDX bersuffix .JK</w:t>
            </w:r>
          </w:p>
        </w:tc>
      </w:tr>
    </w:tbl>
    <w:p>
      <w:pPr>
        <w:spacing w:after="240"/>
      </w:pPr>
    </w:p>
    <w:p>
      <w:pPr>
        <w:keepNext/>
        <w:spacing w:before="240" w:after="80"/>
      </w:pPr>
      <w:r>
        <w:rPr>
          <w:rFonts w:ascii="Calibri" w:hAnsi="Calibri"/>
          <w:b/>
          <w:color w:val="4A5568"/>
          <w:sz w:val="26"/>
        </w:rPr>
        <w:t>B. Dataset Fitur dan Target Terproses (Processed Features &amp; Targets)</w:t>
      </w:r>
    </w:p>
    <w:p>
      <w:r>
        <w:t>Lokasi: data/processed/features_targets.csv. Berisi 11 fitur hasil rekayasa teknikal untuk training dan inferensi XGBoost.</w:t>
      </w:r>
    </w:p>
    <w:tbl>
      <w:tblPr>
        <w:tblW w:type="auto" w:w="0"/>
        <w:jc w:val="center"/>
        <w:tblLook w:firstColumn="1" w:firstRow="1" w:lastColumn="0" w:lastRow="0" w:noHBand="0" w:noVBand="1" w:val="04A0"/>
        <w:tblBorders>
          <w:top w:val="single" w:sz="4" w:space="0" w:color="CCCCCC"/>
          <w:bottom w:val="single" w:sz="6" w:space="0" w:color="1B365D"/>
          <w:left w:val="none"/>
          <w:right w:val="none"/>
          <w:insideH w:val="single" w:sz="4" w:space="0" w:color="E5E5E5"/>
          <w:insideV w:val="none"/>
        </w:tblBorders>
      </w:tblPr>
      <w:tblGrid>
        <w:gridCol w:w="2340"/>
        <w:gridCol w:w="2340"/>
        <w:gridCol w:w="2340"/>
        <w:gridCol w:w="2340"/>
      </w:tblGrid>
      <w:tr>
        <w:trPr>
          <w:tblHeader/>
        </w:trPr>
        <w:tc>
          <w:tcPr>
            <w:tcW w:type="dxa" w:w="2160"/>
            <w:shd w:fill="1B365D"/>
            <w:tcMar>
              <w:top w:w="120" w:type="dxa"/>
              <w:bottom w:w="120" w:type="dxa"/>
              <w:left w:w="150" w:type="dxa"/>
              <w:right w:w="150" w:type="dxa"/>
            </w:tcMar>
          </w:tcPr>
          <w:p>
            <w:pPr>
              <w:jc w:val="center"/>
            </w:pPr>
            <w:r>
              <w:rPr>
                <w:b/>
                <w:color w:val="FFFFFF"/>
                <w:sz w:val="20"/>
              </w:rPr>
              <w:t>Nama Kolom</w:t>
            </w:r>
          </w:p>
        </w:tc>
        <w:tc>
          <w:tcPr>
            <w:tcW w:type="dxa" w:w="1440"/>
            <w:shd w:fill="1B365D"/>
            <w:tcMar>
              <w:top w:w="120" w:type="dxa"/>
              <w:bottom w:w="120" w:type="dxa"/>
              <w:left w:w="150" w:type="dxa"/>
              <w:right w:w="150" w:type="dxa"/>
            </w:tcMar>
          </w:tcPr>
          <w:p>
            <w:pPr>
              <w:jc w:val="center"/>
            </w:pPr>
            <w:r>
              <w:rPr>
                <w:b/>
                <w:color w:val="FFFFFF"/>
                <w:sz w:val="20"/>
              </w:rPr>
              <w:t>Tipe Data</w:t>
            </w:r>
          </w:p>
        </w:tc>
        <w:tc>
          <w:tcPr>
            <w:tcW w:type="dxa" w:w="1584"/>
            <w:shd w:fill="1B365D"/>
            <w:tcMar>
              <w:top w:w="120" w:type="dxa"/>
              <w:bottom w:w="120" w:type="dxa"/>
              <w:left w:w="150" w:type="dxa"/>
              <w:right w:w="150" w:type="dxa"/>
            </w:tcMar>
          </w:tcPr>
          <w:p>
            <w:pPr>
              <w:jc w:val="center"/>
            </w:pPr>
            <w:r>
              <w:rPr>
                <w:b/>
                <w:color w:val="FFFFFF"/>
                <w:sz w:val="20"/>
              </w:rPr>
              <w:t>Batasan Nilai</w:t>
            </w:r>
          </w:p>
        </w:tc>
        <w:tc>
          <w:tcPr>
            <w:tcW w:type="dxa" w:w="4176"/>
            <w:shd w:fill="1B365D"/>
            <w:tcMar>
              <w:top w:w="120" w:type="dxa"/>
              <w:bottom w:w="120" w:type="dxa"/>
              <w:left w:w="150" w:type="dxa"/>
              <w:right w:w="150" w:type="dxa"/>
            </w:tcMar>
          </w:tcPr>
          <w:p>
            <w:pPr>
              <w:jc w:val="center"/>
            </w:pPr>
            <w:r>
              <w:rPr>
                <w:b/>
                <w:color w:val="FFFFFF"/>
                <w:sz w:val="20"/>
              </w:rPr>
              <w:t>Keterangan / Penjelasan Fitur</w:t>
            </w:r>
          </w:p>
        </w:tc>
      </w:tr>
      <w:tr>
        <w:trPr>
          <w:cantSplit/>
        </w:trPr>
        <w:tc>
          <w:tcPr>
            <w:tcW w:type="dxa" w:w="2160"/>
            <w:tcMar>
              <w:top w:w="80" w:type="dxa"/>
              <w:bottom w:w="80" w:type="dxa"/>
              <w:left w:w="120" w:type="dxa"/>
              <w:right w:w="120" w:type="dxa"/>
            </w:tcMar>
          </w:tcPr>
          <w:p>
            <w:r>
              <w:rPr>
                <w:b/>
                <w:sz w:val="19"/>
              </w:rPr>
              <w:t>ticker</w:t>
            </w:r>
          </w:p>
        </w:tc>
        <w:tc>
          <w:tcPr>
            <w:tcW w:type="dxa" w:w="1440"/>
            <w:tcMar>
              <w:top w:w="80" w:type="dxa"/>
              <w:bottom w:w="80" w:type="dxa"/>
              <w:left w:w="120" w:type="dxa"/>
              <w:right w:w="120" w:type="dxa"/>
            </w:tcMar>
          </w:tcPr>
          <w:p>
            <w:pPr>
              <w:jc w:val="center"/>
            </w:pPr>
            <w:r>
              <w:rPr>
                <w:sz w:val="19"/>
              </w:rPr>
              <w:t>String</w:t>
            </w:r>
          </w:p>
        </w:tc>
        <w:tc>
          <w:tcPr>
            <w:tcW w:type="dxa" w:w="1584"/>
            <w:tcMar>
              <w:top w:w="80" w:type="dxa"/>
              <w:bottom w:w="80" w:type="dxa"/>
              <w:left w:w="120" w:type="dxa"/>
              <w:right w:w="120" w:type="dxa"/>
            </w:tcMar>
          </w:tcPr>
          <w:p>
            <w:pPr>
              <w:jc w:val="center"/>
            </w:pPr>
            <w:r>
              <w:rPr>
                <w:sz w:val="19"/>
              </w:rPr>
              <w:t>-</w:t>
            </w:r>
          </w:p>
        </w:tc>
        <w:tc>
          <w:tcPr>
            <w:tcW w:type="dxa" w:w="4176"/>
            <w:tcMar>
              <w:top w:w="80" w:type="dxa"/>
              <w:bottom w:w="80" w:type="dxa"/>
              <w:left w:w="120" w:type="dxa"/>
              <w:right w:w="120" w:type="dxa"/>
            </w:tcMar>
          </w:tcPr>
          <w:p>
            <w:r>
              <w:rPr>
                <w:sz w:val="19"/>
              </w:rPr>
              <w:t>Kode ticker unik saham IDX bersuffix .JK</w:t>
            </w:r>
          </w:p>
        </w:tc>
      </w:tr>
      <w:tr>
        <w:trPr>
          <w:cantSplit/>
        </w:trPr>
        <w:tc>
          <w:tcPr>
            <w:tcW w:type="dxa" w:w="2160"/>
            <w:tcMar>
              <w:top w:w="80" w:type="dxa"/>
              <w:bottom w:w="80" w:type="dxa"/>
              <w:left w:w="120" w:type="dxa"/>
              <w:right w:w="120" w:type="dxa"/>
            </w:tcMar>
            <w:shd w:fill="F7FAFC"/>
          </w:tcPr>
          <w:p>
            <w:r>
              <w:rPr>
                <w:b/>
                <w:sz w:val="19"/>
              </w:rPr>
              <w:t>Date</w:t>
            </w:r>
          </w:p>
        </w:tc>
        <w:tc>
          <w:tcPr>
            <w:tcW w:type="dxa" w:w="1440"/>
            <w:tcMar>
              <w:top w:w="80" w:type="dxa"/>
              <w:bottom w:w="80" w:type="dxa"/>
              <w:left w:w="120" w:type="dxa"/>
              <w:right w:w="120" w:type="dxa"/>
            </w:tcMar>
            <w:shd w:fill="F7FAFC"/>
          </w:tcPr>
          <w:p>
            <w:pPr>
              <w:jc w:val="center"/>
            </w:pPr>
            <w:r>
              <w:rPr>
                <w:sz w:val="19"/>
              </w:rPr>
              <w:t>Datetime</w:t>
            </w:r>
          </w:p>
        </w:tc>
        <w:tc>
          <w:tcPr>
            <w:tcW w:type="dxa" w:w="1584"/>
            <w:tcMar>
              <w:top w:w="80" w:type="dxa"/>
              <w:bottom w:w="80" w:type="dxa"/>
              <w:left w:w="120" w:type="dxa"/>
              <w:right w:w="120" w:type="dxa"/>
            </w:tcMar>
            <w:shd w:fill="F7FAFC"/>
          </w:tcPr>
          <w:p>
            <w:pPr>
              <w:jc w:val="center"/>
            </w:pPr>
            <w:r>
              <w:rPr>
                <w:sz w:val="19"/>
              </w:rPr>
              <w:t>-</w:t>
            </w:r>
          </w:p>
        </w:tc>
        <w:tc>
          <w:tcPr>
            <w:tcW w:type="dxa" w:w="4176"/>
            <w:tcMar>
              <w:top w:w="80" w:type="dxa"/>
              <w:bottom w:w="80" w:type="dxa"/>
              <w:left w:w="120" w:type="dxa"/>
              <w:right w:w="120" w:type="dxa"/>
            </w:tcMar>
            <w:shd w:fill="F7FAFC"/>
          </w:tcPr>
          <w:p>
            <w:r>
              <w:rPr>
                <w:sz w:val="19"/>
              </w:rPr>
              <w:t>Tanggal pencatatan baris data</w:t>
            </w:r>
          </w:p>
        </w:tc>
      </w:tr>
      <w:tr>
        <w:trPr>
          <w:cantSplit/>
        </w:trPr>
        <w:tc>
          <w:tcPr>
            <w:tcW w:type="dxa" w:w="2160"/>
            <w:tcMar>
              <w:top w:w="80" w:type="dxa"/>
              <w:bottom w:w="80" w:type="dxa"/>
              <w:left w:w="120" w:type="dxa"/>
              <w:right w:w="120" w:type="dxa"/>
            </w:tcMar>
          </w:tcPr>
          <w:p>
            <w:r>
              <w:rPr>
                <w:b/>
                <w:sz w:val="19"/>
              </w:rPr>
              <w:t>log_ret_1d</w:t>
            </w:r>
          </w:p>
        </w:tc>
        <w:tc>
          <w:tcPr>
            <w:tcW w:type="dxa" w:w="1440"/>
            <w:tcMar>
              <w:top w:w="80" w:type="dxa"/>
              <w:bottom w:w="80" w:type="dxa"/>
              <w:left w:w="120" w:type="dxa"/>
              <w:right w:w="120" w:type="dxa"/>
            </w:tcMar>
          </w:tcPr>
          <w:p>
            <w:pPr>
              <w:jc w:val="center"/>
            </w:pPr>
            <w:r>
              <w:rPr>
                <w:sz w:val="19"/>
              </w:rPr>
              <w:t>Float</w:t>
            </w:r>
          </w:p>
        </w:tc>
        <w:tc>
          <w:tcPr>
            <w:tcW w:type="dxa" w:w="1584"/>
            <w:tcMar>
              <w:top w:w="80" w:type="dxa"/>
              <w:bottom w:w="80" w:type="dxa"/>
              <w:left w:w="120" w:type="dxa"/>
              <w:right w:w="120" w:type="dxa"/>
            </w:tcMar>
          </w:tcPr>
          <w:p>
            <w:pPr>
              <w:jc w:val="center"/>
            </w:pPr>
            <w:r>
              <w:rPr>
                <w:sz w:val="19"/>
              </w:rPr>
              <w:t>[-0.35, 0.35]</w:t>
            </w:r>
          </w:p>
        </w:tc>
        <w:tc>
          <w:tcPr>
            <w:tcW w:type="dxa" w:w="4176"/>
            <w:tcMar>
              <w:top w:w="80" w:type="dxa"/>
              <w:bottom w:w="80" w:type="dxa"/>
              <w:left w:w="120" w:type="dxa"/>
              <w:right w:w="120" w:type="dxa"/>
            </w:tcMar>
          </w:tcPr>
          <w:p>
            <w:r>
              <w:rPr>
                <w:sz w:val="19"/>
              </w:rPr>
              <w:t>Log return 1 hari terakhir: ln(Close_t / Close_t-1)</w:t>
            </w:r>
          </w:p>
        </w:tc>
      </w:tr>
      <w:tr>
        <w:trPr>
          <w:cantSplit/>
        </w:trPr>
        <w:tc>
          <w:tcPr>
            <w:tcW w:type="dxa" w:w="2160"/>
            <w:tcMar>
              <w:top w:w="80" w:type="dxa"/>
              <w:bottom w:w="80" w:type="dxa"/>
              <w:left w:w="120" w:type="dxa"/>
              <w:right w:w="120" w:type="dxa"/>
            </w:tcMar>
            <w:shd w:fill="F7FAFC"/>
          </w:tcPr>
          <w:p>
            <w:r>
              <w:rPr>
                <w:b/>
                <w:sz w:val="19"/>
              </w:rPr>
              <w:t>log_ret_5d</w:t>
            </w:r>
          </w:p>
        </w:tc>
        <w:tc>
          <w:tcPr>
            <w:tcW w:type="dxa" w:w="1440"/>
            <w:tcMar>
              <w:top w:w="80" w:type="dxa"/>
              <w:bottom w:w="80" w:type="dxa"/>
              <w:left w:w="120" w:type="dxa"/>
              <w:right w:w="120" w:type="dxa"/>
            </w:tcMar>
            <w:shd w:fill="F7FAFC"/>
          </w:tcPr>
          <w:p>
            <w:pPr>
              <w:jc w:val="center"/>
            </w:pPr>
            <w:r>
              <w:rPr>
                <w:sz w:val="19"/>
              </w:rPr>
              <w:t>Float</w:t>
            </w:r>
          </w:p>
        </w:tc>
        <w:tc>
          <w:tcPr>
            <w:tcW w:type="dxa" w:w="1584"/>
            <w:tcMar>
              <w:top w:w="80" w:type="dxa"/>
              <w:bottom w:w="80" w:type="dxa"/>
              <w:left w:w="120" w:type="dxa"/>
              <w:right w:w="120" w:type="dxa"/>
            </w:tcMar>
            <w:shd w:fill="F7FAFC"/>
          </w:tcPr>
          <w:p>
            <w:pPr>
              <w:jc w:val="center"/>
            </w:pPr>
            <w:r>
              <w:rPr>
                <w:sz w:val="19"/>
              </w:rPr>
              <w:t>[-0.50, 0.50]</w:t>
            </w:r>
          </w:p>
        </w:tc>
        <w:tc>
          <w:tcPr>
            <w:tcW w:type="dxa" w:w="4176"/>
            <w:tcMar>
              <w:top w:w="80" w:type="dxa"/>
              <w:bottom w:w="80" w:type="dxa"/>
              <w:left w:w="120" w:type="dxa"/>
              <w:right w:w="120" w:type="dxa"/>
            </w:tcMar>
            <w:shd w:fill="F7FAFC"/>
          </w:tcPr>
          <w:p>
            <w:r>
              <w:rPr>
                <w:sz w:val="19"/>
              </w:rPr>
              <w:t>Log return 5 hari terakhir: ln(Close_t / Close_t-5)</w:t>
            </w:r>
          </w:p>
        </w:tc>
      </w:tr>
      <w:tr>
        <w:trPr>
          <w:cantSplit/>
        </w:trPr>
        <w:tc>
          <w:tcPr>
            <w:tcW w:type="dxa" w:w="2160"/>
            <w:tcMar>
              <w:top w:w="80" w:type="dxa"/>
              <w:bottom w:w="80" w:type="dxa"/>
              <w:left w:w="120" w:type="dxa"/>
              <w:right w:w="120" w:type="dxa"/>
            </w:tcMar>
          </w:tcPr>
          <w:p>
            <w:r>
              <w:rPr>
                <w:b/>
                <w:sz w:val="19"/>
              </w:rPr>
              <w:t>ma_20_dist</w:t>
            </w:r>
          </w:p>
        </w:tc>
        <w:tc>
          <w:tcPr>
            <w:tcW w:type="dxa" w:w="1440"/>
            <w:tcMar>
              <w:top w:w="80" w:type="dxa"/>
              <w:bottom w:w="80" w:type="dxa"/>
              <w:left w:w="120" w:type="dxa"/>
              <w:right w:w="120" w:type="dxa"/>
            </w:tcMar>
          </w:tcPr>
          <w:p>
            <w:pPr>
              <w:jc w:val="center"/>
            </w:pPr>
            <w:r>
              <w:rPr>
                <w:sz w:val="19"/>
              </w:rPr>
              <w:t>Float</w:t>
            </w:r>
          </w:p>
        </w:tc>
        <w:tc>
          <w:tcPr>
            <w:tcW w:type="dxa" w:w="1584"/>
            <w:tcMar>
              <w:top w:w="80" w:type="dxa"/>
              <w:bottom w:w="80" w:type="dxa"/>
              <w:left w:w="120" w:type="dxa"/>
              <w:right w:w="120" w:type="dxa"/>
            </w:tcMar>
          </w:tcPr>
          <w:p>
            <w:pPr>
              <w:jc w:val="center"/>
            </w:pPr>
            <w:r>
              <w:rPr>
                <w:sz w:val="19"/>
              </w:rPr>
              <w:t>[-1.0, 1.0]</w:t>
            </w:r>
          </w:p>
        </w:tc>
        <w:tc>
          <w:tcPr>
            <w:tcW w:type="dxa" w:w="4176"/>
            <w:tcMar>
              <w:top w:w="80" w:type="dxa"/>
              <w:bottom w:w="80" w:type="dxa"/>
              <w:left w:w="120" w:type="dxa"/>
              <w:right w:w="120" w:type="dxa"/>
            </w:tcMar>
          </w:tcPr>
          <w:p>
            <w:r>
              <w:rPr>
                <w:sz w:val="19"/>
              </w:rPr>
              <w:t>Jarak harga penutupan ke garis rata-rata pergerakan 20 hari</w:t>
            </w:r>
          </w:p>
        </w:tc>
      </w:tr>
      <w:tr>
        <w:trPr>
          <w:cantSplit/>
        </w:trPr>
        <w:tc>
          <w:tcPr>
            <w:tcW w:type="dxa" w:w="2160"/>
            <w:tcMar>
              <w:top w:w="80" w:type="dxa"/>
              <w:bottom w:w="80" w:type="dxa"/>
              <w:left w:w="120" w:type="dxa"/>
              <w:right w:w="120" w:type="dxa"/>
            </w:tcMar>
            <w:shd w:fill="F7FAFC"/>
          </w:tcPr>
          <w:p>
            <w:r>
              <w:rPr>
                <w:b/>
                <w:sz w:val="19"/>
              </w:rPr>
              <w:t>ma_50_dist</w:t>
            </w:r>
          </w:p>
        </w:tc>
        <w:tc>
          <w:tcPr>
            <w:tcW w:type="dxa" w:w="1440"/>
            <w:tcMar>
              <w:top w:w="80" w:type="dxa"/>
              <w:bottom w:w="80" w:type="dxa"/>
              <w:left w:w="120" w:type="dxa"/>
              <w:right w:w="120" w:type="dxa"/>
            </w:tcMar>
            <w:shd w:fill="F7FAFC"/>
          </w:tcPr>
          <w:p>
            <w:pPr>
              <w:jc w:val="center"/>
            </w:pPr>
            <w:r>
              <w:rPr>
                <w:sz w:val="19"/>
              </w:rPr>
              <w:t>Float</w:t>
            </w:r>
          </w:p>
        </w:tc>
        <w:tc>
          <w:tcPr>
            <w:tcW w:type="dxa" w:w="1584"/>
            <w:tcMar>
              <w:top w:w="80" w:type="dxa"/>
              <w:bottom w:w="80" w:type="dxa"/>
              <w:left w:w="120" w:type="dxa"/>
              <w:right w:w="120" w:type="dxa"/>
            </w:tcMar>
            <w:shd w:fill="F7FAFC"/>
          </w:tcPr>
          <w:p>
            <w:pPr>
              <w:jc w:val="center"/>
            </w:pPr>
            <w:r>
              <w:rPr>
                <w:sz w:val="19"/>
              </w:rPr>
              <w:t>[-1.5, 1.5]</w:t>
            </w:r>
          </w:p>
        </w:tc>
        <w:tc>
          <w:tcPr>
            <w:tcW w:type="dxa" w:w="4176"/>
            <w:tcMar>
              <w:top w:w="80" w:type="dxa"/>
              <w:bottom w:w="80" w:type="dxa"/>
              <w:left w:w="120" w:type="dxa"/>
              <w:right w:w="120" w:type="dxa"/>
            </w:tcMar>
            <w:shd w:fill="F7FAFC"/>
          </w:tcPr>
          <w:p>
            <w:r>
              <w:rPr>
                <w:sz w:val="19"/>
              </w:rPr>
              <w:t>Jarak harga penutupan ke garis rata-rata pergerakan 50 hari</w:t>
            </w:r>
          </w:p>
        </w:tc>
      </w:tr>
      <w:tr>
        <w:trPr>
          <w:cantSplit/>
        </w:trPr>
        <w:tc>
          <w:tcPr>
            <w:tcW w:type="dxa" w:w="2160"/>
            <w:tcMar>
              <w:top w:w="80" w:type="dxa"/>
              <w:bottom w:w="80" w:type="dxa"/>
              <w:left w:w="120" w:type="dxa"/>
              <w:right w:w="120" w:type="dxa"/>
            </w:tcMar>
          </w:tcPr>
          <w:p>
            <w:r>
              <w:rPr>
                <w:b/>
                <w:sz w:val="19"/>
              </w:rPr>
              <w:t>bb_width</w:t>
            </w:r>
          </w:p>
        </w:tc>
        <w:tc>
          <w:tcPr>
            <w:tcW w:type="dxa" w:w="1440"/>
            <w:tcMar>
              <w:top w:w="80" w:type="dxa"/>
              <w:bottom w:w="80" w:type="dxa"/>
              <w:left w:w="120" w:type="dxa"/>
              <w:right w:w="120" w:type="dxa"/>
            </w:tcMar>
          </w:tcPr>
          <w:p>
            <w:pPr>
              <w:jc w:val="center"/>
            </w:pPr>
            <w:r>
              <w:rPr>
                <w:sz w:val="19"/>
              </w:rPr>
              <w:t>Float</w:t>
            </w:r>
          </w:p>
        </w:tc>
        <w:tc>
          <w:tcPr>
            <w:tcW w:type="dxa" w:w="1584"/>
            <w:tcMar>
              <w:top w:w="80" w:type="dxa"/>
              <w:bottom w:w="80" w:type="dxa"/>
              <w:left w:w="120" w:type="dxa"/>
              <w:right w:w="120" w:type="dxa"/>
            </w:tcMar>
          </w:tcPr>
          <w:p>
            <w:pPr>
              <w:jc w:val="center"/>
            </w:pPr>
            <w:r>
              <w:rPr>
                <w:sz w:val="19"/>
              </w:rPr>
              <w:t>[0.0, 1.0]</w:t>
            </w:r>
          </w:p>
        </w:tc>
        <w:tc>
          <w:tcPr>
            <w:tcW w:type="dxa" w:w="4176"/>
            <w:tcMar>
              <w:top w:w="80" w:type="dxa"/>
              <w:bottom w:w="80" w:type="dxa"/>
              <w:left w:w="120" w:type="dxa"/>
              <w:right w:w="120" w:type="dxa"/>
            </w:tcMar>
          </w:tcPr>
          <w:p>
            <w:r>
              <w:rPr>
                <w:sz w:val="19"/>
              </w:rPr>
              <w:t>Lebar volatilitas Bollinger Bands: (BB_upper - BB_lower) / MA20</w:t>
            </w:r>
          </w:p>
        </w:tc>
      </w:tr>
      <w:tr>
        <w:trPr>
          <w:cantSplit/>
        </w:trPr>
        <w:tc>
          <w:tcPr>
            <w:tcW w:type="dxa" w:w="2160"/>
            <w:tcMar>
              <w:top w:w="80" w:type="dxa"/>
              <w:bottom w:w="80" w:type="dxa"/>
              <w:left w:w="120" w:type="dxa"/>
              <w:right w:w="120" w:type="dxa"/>
            </w:tcMar>
            <w:shd w:fill="F7FAFC"/>
          </w:tcPr>
          <w:p>
            <w:r>
              <w:rPr>
                <w:b/>
                <w:sz w:val="19"/>
              </w:rPr>
              <w:t>bb_position</w:t>
            </w:r>
          </w:p>
        </w:tc>
        <w:tc>
          <w:tcPr>
            <w:tcW w:type="dxa" w:w="1440"/>
            <w:tcMar>
              <w:top w:w="80" w:type="dxa"/>
              <w:bottom w:w="80" w:type="dxa"/>
              <w:left w:w="120" w:type="dxa"/>
              <w:right w:w="120" w:type="dxa"/>
            </w:tcMar>
            <w:shd w:fill="F7FAFC"/>
          </w:tcPr>
          <w:p>
            <w:pPr>
              <w:jc w:val="center"/>
            </w:pPr>
            <w:r>
              <w:rPr>
                <w:sz w:val="19"/>
              </w:rPr>
              <w:t>Float</w:t>
            </w:r>
          </w:p>
        </w:tc>
        <w:tc>
          <w:tcPr>
            <w:tcW w:type="dxa" w:w="1584"/>
            <w:tcMar>
              <w:top w:w="80" w:type="dxa"/>
              <w:bottom w:w="80" w:type="dxa"/>
              <w:left w:w="120" w:type="dxa"/>
              <w:right w:w="120" w:type="dxa"/>
            </w:tcMar>
            <w:shd w:fill="F7FAFC"/>
          </w:tcPr>
          <w:p>
            <w:pPr>
              <w:jc w:val="center"/>
            </w:pPr>
            <w:r>
              <w:rPr>
                <w:sz w:val="19"/>
              </w:rPr>
              <w:t>[0.0, 1.0]</w:t>
            </w:r>
          </w:p>
        </w:tc>
        <w:tc>
          <w:tcPr>
            <w:tcW w:type="dxa" w:w="4176"/>
            <w:tcMar>
              <w:top w:w="80" w:type="dxa"/>
              <w:bottom w:w="80" w:type="dxa"/>
              <w:left w:w="120" w:type="dxa"/>
              <w:right w:w="120" w:type="dxa"/>
            </w:tcMar>
            <w:shd w:fill="F7FAFC"/>
          </w:tcPr>
          <w:p>
            <w:r>
              <w:rPr>
                <w:sz w:val="19"/>
              </w:rPr>
              <w:t>Posisi harga penutupan relatif terhadap garis BB (0=Bawah, 1=Atas)</w:t>
            </w:r>
          </w:p>
        </w:tc>
      </w:tr>
      <w:tr>
        <w:trPr>
          <w:cantSplit/>
        </w:trPr>
        <w:tc>
          <w:tcPr>
            <w:tcW w:type="dxa" w:w="2160"/>
            <w:tcMar>
              <w:top w:w="80" w:type="dxa"/>
              <w:bottom w:w="80" w:type="dxa"/>
              <w:left w:w="120" w:type="dxa"/>
              <w:right w:w="120" w:type="dxa"/>
            </w:tcMar>
          </w:tcPr>
          <w:p>
            <w:r>
              <w:rPr>
                <w:b/>
                <w:sz w:val="19"/>
              </w:rPr>
              <w:t>rsi_14</w:t>
            </w:r>
          </w:p>
        </w:tc>
        <w:tc>
          <w:tcPr>
            <w:tcW w:type="dxa" w:w="1440"/>
            <w:tcMar>
              <w:top w:w="80" w:type="dxa"/>
              <w:bottom w:w="80" w:type="dxa"/>
              <w:left w:w="120" w:type="dxa"/>
              <w:right w:w="120" w:type="dxa"/>
            </w:tcMar>
          </w:tcPr>
          <w:p>
            <w:pPr>
              <w:jc w:val="center"/>
            </w:pPr>
            <w:r>
              <w:rPr>
                <w:sz w:val="19"/>
              </w:rPr>
              <w:t>Float</w:t>
            </w:r>
          </w:p>
        </w:tc>
        <w:tc>
          <w:tcPr>
            <w:tcW w:type="dxa" w:w="1584"/>
            <w:tcMar>
              <w:top w:w="80" w:type="dxa"/>
              <w:bottom w:w="80" w:type="dxa"/>
              <w:left w:w="120" w:type="dxa"/>
              <w:right w:w="120" w:type="dxa"/>
            </w:tcMar>
          </w:tcPr>
          <w:p>
            <w:pPr>
              <w:jc w:val="center"/>
            </w:pPr>
            <w:r>
              <w:rPr>
                <w:sz w:val="19"/>
              </w:rPr>
              <w:t>[0.0, 100.0]</w:t>
            </w:r>
          </w:p>
        </w:tc>
        <w:tc>
          <w:tcPr>
            <w:tcW w:type="dxa" w:w="4176"/>
            <w:tcMar>
              <w:top w:w="80" w:type="dxa"/>
              <w:bottom w:w="80" w:type="dxa"/>
              <w:left w:w="120" w:type="dxa"/>
              <w:right w:w="120" w:type="dxa"/>
            </w:tcMar>
          </w:tcPr>
          <w:p>
            <w:r>
              <w:rPr>
                <w:sz w:val="19"/>
              </w:rPr>
              <w:t>Indikator Relative Strength Index periode 14</w:t>
            </w:r>
          </w:p>
        </w:tc>
      </w:tr>
      <w:tr>
        <w:trPr>
          <w:cantSplit/>
        </w:trPr>
        <w:tc>
          <w:tcPr>
            <w:tcW w:type="dxa" w:w="2160"/>
            <w:tcMar>
              <w:top w:w="80" w:type="dxa"/>
              <w:bottom w:w="80" w:type="dxa"/>
              <w:left w:w="120" w:type="dxa"/>
              <w:right w:w="120" w:type="dxa"/>
            </w:tcMar>
            <w:shd w:fill="F7FAFC"/>
          </w:tcPr>
          <w:p>
            <w:r>
              <w:rPr>
                <w:b/>
                <w:sz w:val="19"/>
              </w:rPr>
              <w:t>macd_norm</w:t>
            </w:r>
          </w:p>
        </w:tc>
        <w:tc>
          <w:tcPr>
            <w:tcW w:type="dxa" w:w="1440"/>
            <w:tcMar>
              <w:top w:w="80" w:type="dxa"/>
              <w:bottom w:w="80" w:type="dxa"/>
              <w:left w:w="120" w:type="dxa"/>
              <w:right w:w="120" w:type="dxa"/>
            </w:tcMar>
            <w:shd w:fill="F7FAFC"/>
          </w:tcPr>
          <w:p>
            <w:pPr>
              <w:jc w:val="center"/>
            </w:pPr>
            <w:r>
              <w:rPr>
                <w:sz w:val="19"/>
              </w:rPr>
              <w:t>Float</w:t>
            </w:r>
          </w:p>
        </w:tc>
        <w:tc>
          <w:tcPr>
            <w:tcW w:type="dxa" w:w="1584"/>
            <w:tcMar>
              <w:top w:w="80" w:type="dxa"/>
              <w:bottom w:w="80" w:type="dxa"/>
              <w:left w:w="120" w:type="dxa"/>
              <w:right w:w="120" w:type="dxa"/>
            </w:tcMar>
            <w:shd w:fill="F7FAFC"/>
          </w:tcPr>
          <w:p>
            <w:pPr>
              <w:jc w:val="center"/>
            </w:pPr>
            <w:r>
              <w:rPr>
                <w:sz w:val="19"/>
              </w:rPr>
              <w:t>[-0.1, 0.1]</w:t>
            </w:r>
          </w:p>
        </w:tc>
        <w:tc>
          <w:tcPr>
            <w:tcW w:type="dxa" w:w="4176"/>
            <w:tcMar>
              <w:top w:w="80" w:type="dxa"/>
              <w:bottom w:w="80" w:type="dxa"/>
              <w:left w:w="120" w:type="dxa"/>
              <w:right w:w="120" w:type="dxa"/>
            </w:tcMar>
            <w:shd w:fill="F7FAFC"/>
          </w:tcPr>
          <w:p>
            <w:r>
              <w:rPr>
                <w:sz w:val="19"/>
              </w:rPr>
              <w:t>Nilai MACD dibagi harga close (normalisasi lintas saham)</w:t>
            </w:r>
          </w:p>
        </w:tc>
      </w:tr>
      <w:tr>
        <w:trPr>
          <w:cantSplit/>
        </w:trPr>
        <w:tc>
          <w:tcPr>
            <w:tcW w:type="dxa" w:w="2160"/>
            <w:tcMar>
              <w:top w:w="80" w:type="dxa"/>
              <w:bottom w:w="80" w:type="dxa"/>
              <w:left w:w="120" w:type="dxa"/>
              <w:right w:w="120" w:type="dxa"/>
            </w:tcMar>
          </w:tcPr>
          <w:p>
            <w:r>
              <w:rPr>
                <w:b/>
                <w:sz w:val="19"/>
              </w:rPr>
              <w:t>macd_signal_norm</w:t>
            </w:r>
          </w:p>
        </w:tc>
        <w:tc>
          <w:tcPr>
            <w:tcW w:type="dxa" w:w="1440"/>
            <w:tcMar>
              <w:top w:w="80" w:type="dxa"/>
              <w:bottom w:w="80" w:type="dxa"/>
              <w:left w:w="120" w:type="dxa"/>
              <w:right w:w="120" w:type="dxa"/>
            </w:tcMar>
          </w:tcPr>
          <w:p>
            <w:pPr>
              <w:jc w:val="center"/>
            </w:pPr>
            <w:r>
              <w:rPr>
                <w:sz w:val="19"/>
              </w:rPr>
              <w:t>Float</w:t>
            </w:r>
          </w:p>
        </w:tc>
        <w:tc>
          <w:tcPr>
            <w:tcW w:type="dxa" w:w="1584"/>
            <w:tcMar>
              <w:top w:w="80" w:type="dxa"/>
              <w:bottom w:w="80" w:type="dxa"/>
              <w:left w:w="120" w:type="dxa"/>
              <w:right w:w="120" w:type="dxa"/>
            </w:tcMar>
          </w:tcPr>
          <w:p>
            <w:pPr>
              <w:jc w:val="center"/>
            </w:pPr>
            <w:r>
              <w:rPr>
                <w:sz w:val="19"/>
              </w:rPr>
              <w:t>[-0.1, 0.1]</w:t>
            </w:r>
          </w:p>
        </w:tc>
        <w:tc>
          <w:tcPr>
            <w:tcW w:type="dxa" w:w="4176"/>
            <w:tcMar>
              <w:top w:w="80" w:type="dxa"/>
              <w:bottom w:w="80" w:type="dxa"/>
              <w:left w:w="120" w:type="dxa"/>
              <w:right w:w="120" w:type="dxa"/>
            </w:tcMar>
          </w:tcPr>
          <w:p>
            <w:r>
              <w:rPr>
                <w:sz w:val="19"/>
              </w:rPr>
              <w:t>Nilai MACD Signal dibagi harga penutupan</w:t>
            </w:r>
          </w:p>
        </w:tc>
      </w:tr>
      <w:tr>
        <w:trPr>
          <w:cantSplit/>
        </w:trPr>
        <w:tc>
          <w:tcPr>
            <w:tcW w:type="dxa" w:w="2160"/>
            <w:tcMar>
              <w:top w:w="80" w:type="dxa"/>
              <w:bottom w:w="80" w:type="dxa"/>
              <w:left w:w="120" w:type="dxa"/>
              <w:right w:w="120" w:type="dxa"/>
            </w:tcMar>
            <w:shd w:fill="F7FAFC"/>
          </w:tcPr>
          <w:p>
            <w:r>
              <w:rPr>
                <w:b/>
                <w:sz w:val="19"/>
              </w:rPr>
              <w:t>macd_hist_norm</w:t>
            </w:r>
          </w:p>
        </w:tc>
        <w:tc>
          <w:tcPr>
            <w:tcW w:type="dxa" w:w="1440"/>
            <w:tcMar>
              <w:top w:w="80" w:type="dxa"/>
              <w:bottom w:w="80" w:type="dxa"/>
              <w:left w:w="120" w:type="dxa"/>
              <w:right w:w="120" w:type="dxa"/>
            </w:tcMar>
            <w:shd w:fill="F7FAFC"/>
          </w:tcPr>
          <w:p>
            <w:pPr>
              <w:jc w:val="center"/>
            </w:pPr>
            <w:r>
              <w:rPr>
                <w:sz w:val="19"/>
              </w:rPr>
              <w:t>Float</w:t>
            </w:r>
          </w:p>
        </w:tc>
        <w:tc>
          <w:tcPr>
            <w:tcW w:type="dxa" w:w="1584"/>
            <w:tcMar>
              <w:top w:w="80" w:type="dxa"/>
              <w:bottom w:w="80" w:type="dxa"/>
              <w:left w:w="120" w:type="dxa"/>
              <w:right w:w="120" w:type="dxa"/>
            </w:tcMar>
            <w:shd w:fill="F7FAFC"/>
          </w:tcPr>
          <w:p>
            <w:pPr>
              <w:jc w:val="center"/>
            </w:pPr>
            <w:r>
              <w:rPr>
                <w:sz w:val="19"/>
              </w:rPr>
              <w:t>[-0.05, 0.05]</w:t>
            </w:r>
          </w:p>
        </w:tc>
        <w:tc>
          <w:tcPr>
            <w:tcW w:type="dxa" w:w="4176"/>
            <w:tcMar>
              <w:top w:w="80" w:type="dxa"/>
              <w:bottom w:w="80" w:type="dxa"/>
              <w:left w:w="120" w:type="dxa"/>
              <w:right w:w="120" w:type="dxa"/>
            </w:tcMar>
            <w:shd w:fill="F7FAFC"/>
          </w:tcPr>
          <w:p>
            <w:r>
              <w:rPr>
                <w:sz w:val="19"/>
              </w:rPr>
              <w:t>Nilai MACD Histogram dibagi harga penutupan</w:t>
            </w:r>
          </w:p>
        </w:tc>
      </w:tr>
      <w:tr>
        <w:trPr>
          <w:cantSplit/>
        </w:trPr>
        <w:tc>
          <w:tcPr>
            <w:tcW w:type="dxa" w:w="2160"/>
            <w:tcMar>
              <w:top w:w="80" w:type="dxa"/>
              <w:bottom w:w="80" w:type="dxa"/>
              <w:left w:w="120" w:type="dxa"/>
              <w:right w:w="120" w:type="dxa"/>
            </w:tcMar>
          </w:tcPr>
          <w:p>
            <w:r>
              <w:rPr>
                <w:b/>
                <w:sz w:val="19"/>
              </w:rPr>
              <w:t>vol_ma_ratio</w:t>
            </w:r>
          </w:p>
        </w:tc>
        <w:tc>
          <w:tcPr>
            <w:tcW w:type="dxa" w:w="1440"/>
            <w:tcMar>
              <w:top w:w="80" w:type="dxa"/>
              <w:bottom w:w="80" w:type="dxa"/>
              <w:left w:w="120" w:type="dxa"/>
              <w:right w:w="120" w:type="dxa"/>
            </w:tcMar>
          </w:tcPr>
          <w:p>
            <w:pPr>
              <w:jc w:val="center"/>
            </w:pPr>
            <w:r>
              <w:rPr>
                <w:sz w:val="19"/>
              </w:rPr>
              <w:t>Float</w:t>
            </w:r>
          </w:p>
        </w:tc>
        <w:tc>
          <w:tcPr>
            <w:tcW w:type="dxa" w:w="1584"/>
            <w:tcMar>
              <w:top w:w="80" w:type="dxa"/>
              <w:bottom w:w="80" w:type="dxa"/>
              <w:left w:w="120" w:type="dxa"/>
              <w:right w:w="120" w:type="dxa"/>
            </w:tcMar>
          </w:tcPr>
          <w:p>
            <w:pPr>
              <w:jc w:val="center"/>
            </w:pPr>
            <w:r>
              <w:rPr>
                <w:sz w:val="19"/>
              </w:rPr>
              <w:t>[0.0, 50.0]</w:t>
            </w:r>
          </w:p>
        </w:tc>
        <w:tc>
          <w:tcPr>
            <w:tcW w:type="dxa" w:w="4176"/>
            <w:tcMar>
              <w:top w:w="80" w:type="dxa"/>
              <w:bottom w:w="80" w:type="dxa"/>
              <w:left w:w="120" w:type="dxa"/>
              <w:right w:w="120" w:type="dxa"/>
            </w:tcMar>
          </w:tcPr>
          <w:p>
            <w:r>
              <w:rPr>
                <w:sz w:val="19"/>
              </w:rPr>
              <w:t>Rasio volume harian bursa terhadap rata-rata volume 20 hari</w:t>
            </w:r>
          </w:p>
        </w:tc>
      </w:tr>
      <w:tr>
        <w:trPr>
          <w:cantSplit/>
        </w:trPr>
        <w:tc>
          <w:tcPr>
            <w:tcW w:type="dxa" w:w="2160"/>
            <w:tcMar>
              <w:top w:w="80" w:type="dxa"/>
              <w:bottom w:w="80" w:type="dxa"/>
              <w:left w:w="120" w:type="dxa"/>
              <w:right w:w="120" w:type="dxa"/>
            </w:tcMar>
            <w:shd w:fill="F7FAFC"/>
          </w:tcPr>
          <w:p>
            <w:r>
              <w:rPr>
                <w:b/>
                <w:sz w:val="19"/>
              </w:rPr>
              <w:t>target_5d_up</w:t>
            </w:r>
          </w:p>
        </w:tc>
        <w:tc>
          <w:tcPr>
            <w:tcW w:type="dxa" w:w="1440"/>
            <w:tcMar>
              <w:top w:w="80" w:type="dxa"/>
              <w:bottom w:w="80" w:type="dxa"/>
              <w:left w:w="120" w:type="dxa"/>
              <w:right w:w="120" w:type="dxa"/>
            </w:tcMar>
            <w:shd w:fill="F7FAFC"/>
          </w:tcPr>
          <w:p>
            <w:pPr>
              <w:jc w:val="center"/>
            </w:pPr>
            <w:r>
              <w:rPr>
                <w:sz w:val="19"/>
              </w:rPr>
              <w:t>Integer</w:t>
            </w:r>
          </w:p>
        </w:tc>
        <w:tc>
          <w:tcPr>
            <w:tcW w:type="dxa" w:w="1584"/>
            <w:tcMar>
              <w:top w:w="80" w:type="dxa"/>
              <w:bottom w:w="80" w:type="dxa"/>
              <w:left w:w="120" w:type="dxa"/>
              <w:right w:w="120" w:type="dxa"/>
            </w:tcMar>
            <w:shd w:fill="F7FAFC"/>
          </w:tcPr>
          <w:p>
            <w:pPr>
              <w:jc w:val="center"/>
            </w:pPr>
            <w:r>
              <w:rPr>
                <w:sz w:val="19"/>
              </w:rPr>
              <w:t>{0, 1, NaN}</w:t>
            </w:r>
          </w:p>
        </w:tc>
        <w:tc>
          <w:tcPr>
            <w:tcW w:type="dxa" w:w="4176"/>
            <w:tcMar>
              <w:top w:w="80" w:type="dxa"/>
              <w:bottom w:w="80" w:type="dxa"/>
              <w:left w:w="120" w:type="dxa"/>
              <w:right w:w="120" w:type="dxa"/>
            </w:tcMar>
            <w:shd w:fill="F7FAFC"/>
          </w:tcPr>
          <w:p>
            <w:r>
              <w:rPr>
                <w:sz w:val="19"/>
              </w:rPr>
              <w:t>Label target: 1 jika harga naik dalam 5 hari ke depan, 0 jika tidak</w:t>
            </w:r>
          </w:p>
        </w:tc>
      </w:tr>
      <w:tr>
        <w:trPr>
          <w:cantSplit/>
        </w:trPr>
        <w:tc>
          <w:tcPr>
            <w:tcW w:type="dxa" w:w="2160"/>
            <w:tcMar>
              <w:top w:w="80" w:type="dxa"/>
              <w:bottom w:w="80" w:type="dxa"/>
              <w:left w:w="120" w:type="dxa"/>
              <w:right w:w="120" w:type="dxa"/>
            </w:tcMar>
          </w:tcPr>
          <w:p>
            <w:r>
              <w:rPr>
                <w:b/>
                <w:sz w:val="19"/>
              </w:rPr>
              <w:t>is_latest</w:t>
            </w:r>
          </w:p>
        </w:tc>
        <w:tc>
          <w:tcPr>
            <w:tcW w:type="dxa" w:w="1440"/>
            <w:tcMar>
              <w:top w:w="80" w:type="dxa"/>
              <w:bottom w:w="80" w:type="dxa"/>
              <w:left w:w="120" w:type="dxa"/>
              <w:right w:w="120" w:type="dxa"/>
            </w:tcMar>
          </w:tcPr>
          <w:p>
            <w:pPr>
              <w:jc w:val="center"/>
            </w:pPr>
            <w:r>
              <w:rPr>
                <w:sz w:val="19"/>
              </w:rPr>
              <w:t>Boolean</w:t>
            </w:r>
          </w:p>
        </w:tc>
        <w:tc>
          <w:tcPr>
            <w:tcW w:type="dxa" w:w="1584"/>
            <w:tcMar>
              <w:top w:w="80" w:type="dxa"/>
              <w:bottom w:w="80" w:type="dxa"/>
              <w:left w:w="120" w:type="dxa"/>
              <w:right w:w="120" w:type="dxa"/>
            </w:tcMar>
          </w:tcPr>
          <w:p>
            <w:pPr>
              <w:jc w:val="center"/>
            </w:pPr>
            <w:r>
              <w:rPr>
                <w:sz w:val="19"/>
              </w:rPr>
              <w:t>{True, False}</w:t>
            </w:r>
          </w:p>
        </w:tc>
        <w:tc>
          <w:tcPr>
            <w:tcW w:type="dxa" w:w="4176"/>
            <w:tcMar>
              <w:top w:w="80" w:type="dxa"/>
              <w:bottom w:w="80" w:type="dxa"/>
              <w:left w:w="120" w:type="dxa"/>
              <w:right w:w="120" w:type="dxa"/>
            </w:tcMar>
          </w:tcPr>
          <w:p>
            <w:r>
              <w:rPr>
                <w:sz w:val="19"/>
              </w:rPr>
              <w:t>Bernilai True jika baris adalah data penutupan hari ini</w:t>
            </w:r>
          </w:p>
        </w:tc>
      </w:tr>
    </w:tbl>
    <w:p>
      <w:pPr>
        <w:spacing w:after="240"/>
      </w:pPr>
    </w:p>
    <w:p>
      <w:pPr>
        <w:keepNext/>
        <w:spacing w:before="240" w:after="80"/>
      </w:pPr>
      <w:r>
        <w:rPr>
          <w:rFonts w:ascii="Calibri" w:hAnsi="Calibri"/>
          <w:b/>
          <w:color w:val="4A5568"/>
          <w:sz w:val="26"/>
        </w:rPr>
        <w:t>C. Skema Tabel Database Relasional (PostgreSQL)</w:t>
      </w:r>
    </w:p>
    <w:p>
      <w:r>
        <w:t>Secara operasional, STOXAREA menggunakan basis data relasional PostgreSQL dengan desain skema tabel sebagai berikut:</w:t>
      </w:r>
    </w:p>
    <w:p>
      <w:pPr>
        <w:keepNext/>
        <w:spacing w:before="160" w:after="40"/>
      </w:pPr>
      <w:r>
        <w:rPr>
          <w:rFonts w:ascii="Calibri" w:hAnsi="Calibri"/>
          <w:b/>
          <w:i/>
          <w:color w:val="4A5568"/>
          <w:sz w:val="22"/>
        </w:rPr>
        <w:t>Tabel: users (Identitas &amp; Profil Pengguna)</w:t>
      </w:r>
    </w:p>
    <w:tbl>
      <w:tblPr>
        <w:tblW w:type="auto" w:w="0"/>
        <w:jc w:val="center"/>
        <w:tblLook w:firstColumn="1" w:firstRow="1" w:lastColumn="0" w:lastRow="0" w:noHBand="0" w:noVBand="1" w:val="04A0"/>
        <w:tblBorders>
          <w:top w:val="single" w:sz="4" w:space="0" w:color="CCCCCC"/>
          <w:bottom w:val="single" w:sz="6" w:space="0" w:color="1B365D"/>
          <w:left w:val="none"/>
          <w:right w:val="none"/>
          <w:insideH w:val="single" w:sz="4" w:space="0" w:color="E5E5E5"/>
          <w:insideV w:val="none"/>
        </w:tblBorders>
      </w:tblPr>
      <w:tblGrid>
        <w:gridCol w:w="2340"/>
        <w:gridCol w:w="2340"/>
        <w:gridCol w:w="2340"/>
        <w:gridCol w:w="2340"/>
      </w:tblGrid>
      <w:tr>
        <w:trPr>
          <w:tblHeader/>
        </w:trPr>
        <w:tc>
          <w:tcPr>
            <w:tcW w:type="dxa" w:w="2160"/>
            <w:shd w:fill="1B365D"/>
            <w:tcMar>
              <w:top w:w="120" w:type="dxa"/>
              <w:bottom w:w="120" w:type="dxa"/>
              <w:left w:w="150" w:type="dxa"/>
              <w:right w:w="150" w:type="dxa"/>
            </w:tcMar>
          </w:tcPr>
          <w:p>
            <w:pPr>
              <w:jc w:val="center"/>
            </w:pPr>
            <w:r>
              <w:rPr>
                <w:b/>
                <w:color w:val="FFFFFF"/>
                <w:sz w:val="20"/>
              </w:rPr>
              <w:t>Nama Kolom</w:t>
            </w:r>
          </w:p>
        </w:tc>
        <w:tc>
          <w:tcPr>
            <w:tcW w:type="dxa" w:w="1728"/>
            <w:shd w:fill="1B365D"/>
            <w:tcMar>
              <w:top w:w="120" w:type="dxa"/>
              <w:bottom w:w="120" w:type="dxa"/>
              <w:left w:w="150" w:type="dxa"/>
              <w:right w:w="150" w:type="dxa"/>
            </w:tcMar>
          </w:tcPr>
          <w:p>
            <w:pPr>
              <w:jc w:val="center"/>
            </w:pPr>
            <w:r>
              <w:rPr>
                <w:b/>
                <w:color w:val="FFFFFF"/>
                <w:sz w:val="20"/>
              </w:rPr>
              <w:t>Tipe Data</w:t>
            </w:r>
          </w:p>
        </w:tc>
        <w:tc>
          <w:tcPr>
            <w:tcW w:type="dxa" w:w="2592"/>
            <w:shd w:fill="1B365D"/>
            <w:tcMar>
              <w:top w:w="120" w:type="dxa"/>
              <w:bottom w:w="120" w:type="dxa"/>
              <w:left w:w="150" w:type="dxa"/>
              <w:right w:w="150" w:type="dxa"/>
            </w:tcMar>
          </w:tcPr>
          <w:p>
            <w:pPr>
              <w:jc w:val="center"/>
            </w:pPr>
            <w:r>
              <w:rPr>
                <w:b/>
                <w:color w:val="FFFFFF"/>
                <w:sz w:val="20"/>
              </w:rPr>
              <w:t>Batasan (Constraints)</w:t>
            </w:r>
          </w:p>
        </w:tc>
        <w:tc>
          <w:tcPr>
            <w:tcW w:type="dxa" w:w="2880"/>
            <w:shd w:fill="1B365D"/>
            <w:tcMar>
              <w:top w:w="120" w:type="dxa"/>
              <w:bottom w:w="120" w:type="dxa"/>
              <w:left w:w="150" w:type="dxa"/>
              <w:right w:w="150" w:type="dxa"/>
            </w:tcMar>
          </w:tcPr>
          <w:p>
            <w:pPr>
              <w:jc w:val="center"/>
            </w:pPr>
            <w:r>
              <w:rPr>
                <w:b/>
                <w:color w:val="FFFFFF"/>
                <w:sz w:val="20"/>
              </w:rPr>
              <w:t>Penjelasan / Keterangan</w:t>
            </w:r>
          </w:p>
        </w:tc>
      </w:tr>
      <w:tr>
        <w:trPr>
          <w:cantSplit/>
        </w:trPr>
        <w:tc>
          <w:tcPr>
            <w:tcW w:type="dxa" w:w="2160"/>
            <w:tcMar>
              <w:top w:w="80" w:type="dxa"/>
              <w:bottom w:w="80" w:type="dxa"/>
              <w:left w:w="120" w:type="dxa"/>
              <w:right w:w="120" w:type="dxa"/>
            </w:tcMar>
          </w:tcPr>
          <w:p>
            <w:r>
              <w:rPr>
                <w:b/>
                <w:sz w:val="19"/>
              </w:rPr>
              <w:t>id</w:t>
            </w:r>
          </w:p>
        </w:tc>
        <w:tc>
          <w:tcPr>
            <w:tcW w:type="dxa" w:w="1728"/>
            <w:tcMar>
              <w:top w:w="80" w:type="dxa"/>
              <w:bottom w:w="80" w:type="dxa"/>
              <w:left w:w="120" w:type="dxa"/>
              <w:right w:w="120" w:type="dxa"/>
            </w:tcMar>
          </w:tcPr>
          <w:p>
            <w:r>
              <w:rPr>
                <w:sz w:val="19"/>
              </w:rPr>
              <w:t>Integer</w:t>
            </w:r>
          </w:p>
        </w:tc>
        <w:tc>
          <w:tcPr>
            <w:tcW w:type="dxa" w:w="2592"/>
            <w:tcMar>
              <w:top w:w="80" w:type="dxa"/>
              <w:bottom w:w="80" w:type="dxa"/>
              <w:left w:w="120" w:type="dxa"/>
              <w:right w:w="120" w:type="dxa"/>
            </w:tcMar>
          </w:tcPr>
          <w:p>
            <w:r>
              <w:rPr>
                <w:sz w:val="19"/>
              </w:rPr>
              <w:t>PRIMARY KEY, AUTO_INCREMENT</w:t>
            </w:r>
          </w:p>
        </w:tc>
        <w:tc>
          <w:tcPr>
            <w:tcW w:type="dxa" w:w="2880"/>
            <w:tcMar>
              <w:top w:w="80" w:type="dxa"/>
              <w:bottom w:w="80" w:type="dxa"/>
              <w:left w:w="120" w:type="dxa"/>
              <w:right w:w="120" w:type="dxa"/>
            </w:tcMar>
          </w:tcPr>
          <w:p>
            <w:r>
              <w:rPr>
                <w:sz w:val="19"/>
              </w:rPr>
              <w:t>ID unik internal pengguna</w:t>
            </w:r>
          </w:p>
        </w:tc>
      </w:tr>
      <w:tr>
        <w:trPr>
          <w:cantSplit/>
        </w:trPr>
        <w:tc>
          <w:tcPr>
            <w:tcW w:type="dxa" w:w="2160"/>
            <w:tcMar>
              <w:top w:w="80" w:type="dxa"/>
              <w:bottom w:w="80" w:type="dxa"/>
              <w:left w:w="120" w:type="dxa"/>
              <w:right w:w="120" w:type="dxa"/>
            </w:tcMar>
            <w:shd w:fill="F7FAFC"/>
          </w:tcPr>
          <w:p>
            <w:r>
              <w:rPr>
                <w:b/>
                <w:sz w:val="19"/>
              </w:rPr>
              <w:t>email</w:t>
            </w:r>
          </w:p>
        </w:tc>
        <w:tc>
          <w:tcPr>
            <w:tcW w:type="dxa" w:w="1728"/>
            <w:tcMar>
              <w:top w:w="80" w:type="dxa"/>
              <w:bottom w:w="80" w:type="dxa"/>
              <w:left w:w="120" w:type="dxa"/>
              <w:right w:w="120" w:type="dxa"/>
            </w:tcMar>
            <w:shd w:fill="F7FAFC"/>
          </w:tcPr>
          <w:p>
            <w:r>
              <w:rPr>
                <w:sz w:val="19"/>
              </w:rPr>
              <w:t>Varchar(255)</w:t>
            </w:r>
          </w:p>
        </w:tc>
        <w:tc>
          <w:tcPr>
            <w:tcW w:type="dxa" w:w="2592"/>
            <w:tcMar>
              <w:top w:w="80" w:type="dxa"/>
              <w:bottom w:w="80" w:type="dxa"/>
              <w:left w:w="120" w:type="dxa"/>
              <w:right w:w="120" w:type="dxa"/>
            </w:tcMar>
            <w:shd w:fill="F7FAFC"/>
          </w:tcPr>
          <w:p>
            <w:r>
              <w:rPr>
                <w:sz w:val="19"/>
              </w:rPr>
              <w:t>UNIQUE, NOT NULL</w:t>
            </w:r>
          </w:p>
        </w:tc>
        <w:tc>
          <w:tcPr>
            <w:tcW w:type="dxa" w:w="2880"/>
            <w:tcMar>
              <w:top w:w="80" w:type="dxa"/>
              <w:bottom w:w="80" w:type="dxa"/>
              <w:left w:w="120" w:type="dxa"/>
              <w:right w:w="120" w:type="dxa"/>
            </w:tcMar>
            <w:shd w:fill="F7FAFC"/>
          </w:tcPr>
          <w:p>
            <w:r>
              <w:rPr>
                <w:sz w:val="19"/>
              </w:rPr>
              <w:t>Alamat surel unik untuk autentikasi login</w:t>
            </w:r>
          </w:p>
        </w:tc>
      </w:tr>
      <w:tr>
        <w:trPr>
          <w:cantSplit/>
        </w:trPr>
        <w:tc>
          <w:tcPr>
            <w:tcW w:type="dxa" w:w="2160"/>
            <w:tcMar>
              <w:top w:w="80" w:type="dxa"/>
              <w:bottom w:w="80" w:type="dxa"/>
              <w:left w:w="120" w:type="dxa"/>
              <w:right w:w="120" w:type="dxa"/>
            </w:tcMar>
          </w:tcPr>
          <w:p>
            <w:r>
              <w:rPr>
                <w:b/>
                <w:sz w:val="19"/>
              </w:rPr>
              <w:t>hashed_password</w:t>
            </w:r>
          </w:p>
        </w:tc>
        <w:tc>
          <w:tcPr>
            <w:tcW w:type="dxa" w:w="1728"/>
            <w:tcMar>
              <w:top w:w="80" w:type="dxa"/>
              <w:bottom w:w="80" w:type="dxa"/>
              <w:left w:w="120" w:type="dxa"/>
              <w:right w:w="120" w:type="dxa"/>
            </w:tcMar>
          </w:tcPr>
          <w:p>
            <w:r>
              <w:rPr>
                <w:sz w:val="19"/>
              </w:rPr>
              <w:t>Varchar(255)</w:t>
            </w:r>
          </w:p>
        </w:tc>
        <w:tc>
          <w:tcPr>
            <w:tcW w:type="dxa" w:w="2592"/>
            <w:tcMar>
              <w:top w:w="80" w:type="dxa"/>
              <w:bottom w:w="80" w:type="dxa"/>
              <w:left w:w="120" w:type="dxa"/>
              <w:right w:w="120" w:type="dxa"/>
            </w:tcMar>
          </w:tcPr>
          <w:p>
            <w:r>
              <w:rPr>
                <w:sz w:val="19"/>
              </w:rPr>
              <w:t>NOT NULL</w:t>
            </w:r>
          </w:p>
        </w:tc>
        <w:tc>
          <w:tcPr>
            <w:tcW w:type="dxa" w:w="2880"/>
            <w:tcMar>
              <w:top w:w="80" w:type="dxa"/>
              <w:bottom w:w="80" w:type="dxa"/>
              <w:left w:w="120" w:type="dxa"/>
              <w:right w:w="120" w:type="dxa"/>
            </w:tcMar>
          </w:tcPr>
          <w:p>
            <w:r>
              <w:rPr>
                <w:sz w:val="19"/>
              </w:rPr>
              <w:t>Hash kata sandi terenkripsi aman menggunakan bcrypt</w:t>
            </w:r>
          </w:p>
        </w:tc>
      </w:tr>
      <w:tr>
        <w:trPr>
          <w:cantSplit/>
        </w:trPr>
        <w:tc>
          <w:tcPr>
            <w:tcW w:type="dxa" w:w="2160"/>
            <w:tcMar>
              <w:top w:w="80" w:type="dxa"/>
              <w:bottom w:w="80" w:type="dxa"/>
              <w:left w:w="120" w:type="dxa"/>
              <w:right w:w="120" w:type="dxa"/>
            </w:tcMar>
            <w:shd w:fill="F7FAFC"/>
          </w:tcPr>
          <w:p>
            <w:r>
              <w:rPr>
                <w:b/>
                <w:sz w:val="19"/>
              </w:rPr>
              <w:t>full_name</w:t>
            </w:r>
          </w:p>
        </w:tc>
        <w:tc>
          <w:tcPr>
            <w:tcW w:type="dxa" w:w="1728"/>
            <w:tcMar>
              <w:top w:w="80" w:type="dxa"/>
              <w:bottom w:w="80" w:type="dxa"/>
              <w:left w:w="120" w:type="dxa"/>
              <w:right w:w="120" w:type="dxa"/>
            </w:tcMar>
            <w:shd w:fill="F7FAFC"/>
          </w:tcPr>
          <w:p>
            <w:r>
              <w:rPr>
                <w:sz w:val="19"/>
              </w:rPr>
              <w:t>Varchar(255)</w:t>
            </w:r>
          </w:p>
        </w:tc>
        <w:tc>
          <w:tcPr>
            <w:tcW w:type="dxa" w:w="2592"/>
            <w:tcMar>
              <w:top w:w="80" w:type="dxa"/>
              <w:bottom w:w="80" w:type="dxa"/>
              <w:left w:w="120" w:type="dxa"/>
              <w:right w:w="120" w:type="dxa"/>
            </w:tcMar>
            <w:shd w:fill="F7FAFC"/>
          </w:tcPr>
          <w:p>
            <w:r>
              <w:rPr>
                <w:sz w:val="19"/>
              </w:rPr>
              <w:t>NOT NULL</w:t>
            </w:r>
          </w:p>
        </w:tc>
        <w:tc>
          <w:tcPr>
            <w:tcW w:type="dxa" w:w="2880"/>
            <w:tcMar>
              <w:top w:w="80" w:type="dxa"/>
              <w:bottom w:w="80" w:type="dxa"/>
              <w:left w:w="120" w:type="dxa"/>
              <w:right w:w="120" w:type="dxa"/>
            </w:tcMar>
            <w:shd w:fill="F7FAFC"/>
          </w:tcPr>
          <w:p>
            <w:r>
              <w:rPr>
                <w:sz w:val="19"/>
              </w:rPr>
              <w:t>Nama lengkap terdaftar pengguna</w:t>
            </w:r>
          </w:p>
        </w:tc>
      </w:tr>
      <w:tr>
        <w:trPr>
          <w:cantSplit/>
        </w:trPr>
        <w:tc>
          <w:tcPr>
            <w:tcW w:type="dxa" w:w="2160"/>
            <w:tcMar>
              <w:top w:w="80" w:type="dxa"/>
              <w:bottom w:w="80" w:type="dxa"/>
              <w:left w:w="120" w:type="dxa"/>
              <w:right w:w="120" w:type="dxa"/>
            </w:tcMar>
          </w:tcPr>
          <w:p>
            <w:r>
              <w:rPr>
                <w:b/>
                <w:sz w:val="19"/>
              </w:rPr>
              <w:t>risk_profile</w:t>
            </w:r>
          </w:p>
        </w:tc>
        <w:tc>
          <w:tcPr>
            <w:tcW w:type="dxa" w:w="1728"/>
            <w:tcMar>
              <w:top w:w="80" w:type="dxa"/>
              <w:bottom w:w="80" w:type="dxa"/>
              <w:left w:w="120" w:type="dxa"/>
              <w:right w:w="120" w:type="dxa"/>
            </w:tcMar>
          </w:tcPr>
          <w:p>
            <w:r>
              <w:rPr>
                <w:sz w:val="19"/>
              </w:rPr>
              <w:t>Varchar(50)</w:t>
            </w:r>
          </w:p>
        </w:tc>
        <w:tc>
          <w:tcPr>
            <w:tcW w:type="dxa" w:w="2592"/>
            <w:tcMar>
              <w:top w:w="80" w:type="dxa"/>
              <w:bottom w:w="80" w:type="dxa"/>
              <w:left w:w="120" w:type="dxa"/>
              <w:right w:w="120" w:type="dxa"/>
            </w:tcMar>
          </w:tcPr>
          <w:p>
            <w:r>
              <w:rPr>
                <w:sz w:val="19"/>
              </w:rPr>
              <w:t>NOT NULL</w:t>
            </w:r>
          </w:p>
        </w:tc>
        <w:tc>
          <w:tcPr>
            <w:tcW w:type="dxa" w:w="2880"/>
            <w:tcMar>
              <w:top w:w="80" w:type="dxa"/>
              <w:bottom w:w="80" w:type="dxa"/>
              <w:left w:w="120" w:type="dxa"/>
              <w:right w:w="120" w:type="dxa"/>
            </w:tcMar>
          </w:tcPr>
          <w:p>
            <w:r>
              <w:rPr>
                <w:sz w:val="19"/>
              </w:rPr>
              <w:t>Klasifikasi profil hasil Tier 1 (konservatif/moderat/agresif)</w:t>
            </w:r>
          </w:p>
        </w:tc>
      </w:tr>
      <w:tr>
        <w:trPr>
          <w:cantSplit/>
        </w:trPr>
        <w:tc>
          <w:tcPr>
            <w:tcW w:type="dxa" w:w="2160"/>
            <w:tcMar>
              <w:top w:w="80" w:type="dxa"/>
              <w:bottom w:w="80" w:type="dxa"/>
              <w:left w:w="120" w:type="dxa"/>
              <w:right w:w="120" w:type="dxa"/>
            </w:tcMar>
            <w:shd w:fill="F7FAFC"/>
          </w:tcPr>
          <w:p>
            <w:r>
              <w:rPr>
                <w:b/>
                <w:sz w:val="19"/>
              </w:rPr>
              <w:t>virtual_balance</w:t>
            </w:r>
          </w:p>
        </w:tc>
        <w:tc>
          <w:tcPr>
            <w:tcW w:type="dxa" w:w="1728"/>
            <w:tcMar>
              <w:top w:w="80" w:type="dxa"/>
              <w:bottom w:w="80" w:type="dxa"/>
              <w:left w:w="120" w:type="dxa"/>
              <w:right w:w="120" w:type="dxa"/>
            </w:tcMar>
            <w:shd w:fill="F7FAFC"/>
          </w:tcPr>
          <w:p>
            <w:r>
              <w:rPr>
                <w:sz w:val="19"/>
              </w:rPr>
              <w:t>Decimal(15,2)</w:t>
            </w:r>
          </w:p>
        </w:tc>
        <w:tc>
          <w:tcPr>
            <w:tcW w:type="dxa" w:w="2592"/>
            <w:tcMar>
              <w:top w:w="80" w:type="dxa"/>
              <w:bottom w:w="80" w:type="dxa"/>
              <w:left w:w="120" w:type="dxa"/>
              <w:right w:w="120" w:type="dxa"/>
            </w:tcMar>
            <w:shd w:fill="F7FAFC"/>
          </w:tcPr>
          <w:p>
            <w:r>
              <w:rPr>
                <w:sz w:val="19"/>
              </w:rPr>
              <w:t>DEFAULT 100000000.00, NOT NULL</w:t>
            </w:r>
          </w:p>
        </w:tc>
        <w:tc>
          <w:tcPr>
            <w:tcW w:type="dxa" w:w="2880"/>
            <w:tcMar>
              <w:top w:w="80" w:type="dxa"/>
              <w:bottom w:w="80" w:type="dxa"/>
              <w:left w:w="120" w:type="dxa"/>
              <w:right w:w="120" w:type="dxa"/>
            </w:tcMar>
            <w:shd w:fill="F7FAFC"/>
          </w:tcPr>
          <w:p>
            <w:r>
              <w:rPr>
                <w:sz w:val="19"/>
              </w:rPr>
              <w:t>Saldo tunai simulator transaksi pengguna (IDR)</w:t>
            </w:r>
          </w:p>
        </w:tc>
      </w:tr>
      <w:tr>
        <w:trPr>
          <w:cantSplit/>
        </w:trPr>
        <w:tc>
          <w:tcPr>
            <w:tcW w:type="dxa" w:w="2160"/>
            <w:tcMar>
              <w:top w:w="80" w:type="dxa"/>
              <w:bottom w:w="80" w:type="dxa"/>
              <w:left w:w="120" w:type="dxa"/>
              <w:right w:w="120" w:type="dxa"/>
            </w:tcMar>
          </w:tcPr>
          <w:p>
            <w:r>
              <w:rPr>
                <w:b/>
                <w:sz w:val="19"/>
              </w:rPr>
              <w:t>created_at</w:t>
            </w:r>
          </w:p>
        </w:tc>
        <w:tc>
          <w:tcPr>
            <w:tcW w:type="dxa" w:w="1728"/>
            <w:tcMar>
              <w:top w:w="80" w:type="dxa"/>
              <w:bottom w:w="80" w:type="dxa"/>
              <w:left w:w="120" w:type="dxa"/>
              <w:right w:w="120" w:type="dxa"/>
            </w:tcMar>
          </w:tcPr>
          <w:p>
            <w:r>
              <w:rPr>
                <w:sz w:val="19"/>
              </w:rPr>
              <w:t>Timestamp</w:t>
            </w:r>
          </w:p>
        </w:tc>
        <w:tc>
          <w:tcPr>
            <w:tcW w:type="dxa" w:w="2592"/>
            <w:tcMar>
              <w:top w:w="80" w:type="dxa"/>
              <w:bottom w:w="80" w:type="dxa"/>
              <w:left w:w="120" w:type="dxa"/>
              <w:right w:w="120" w:type="dxa"/>
            </w:tcMar>
          </w:tcPr>
          <w:p>
            <w:r>
              <w:rPr>
                <w:sz w:val="19"/>
              </w:rPr>
              <w:t>DEFAULT NOW()</w:t>
            </w:r>
          </w:p>
        </w:tc>
        <w:tc>
          <w:tcPr>
            <w:tcW w:type="dxa" w:w="2880"/>
            <w:tcMar>
              <w:top w:w="80" w:type="dxa"/>
              <w:bottom w:w="80" w:type="dxa"/>
              <w:left w:w="120" w:type="dxa"/>
              <w:right w:w="120" w:type="dxa"/>
            </w:tcMar>
          </w:tcPr>
          <w:p>
            <w:r>
              <w:rPr>
                <w:sz w:val="19"/>
              </w:rPr>
              <w:t>Tanggal pendaftaran akun pertama kali</w:t>
            </w:r>
          </w:p>
        </w:tc>
      </w:tr>
      <w:tr>
        <w:trPr>
          <w:cantSplit/>
        </w:trPr>
        <w:tc>
          <w:tcPr>
            <w:tcW w:type="dxa" w:w="2160"/>
            <w:tcMar>
              <w:top w:w="80" w:type="dxa"/>
              <w:bottom w:w="80" w:type="dxa"/>
              <w:left w:w="120" w:type="dxa"/>
              <w:right w:w="120" w:type="dxa"/>
            </w:tcMar>
            <w:shd w:fill="F7FAFC"/>
          </w:tcPr>
          <w:p>
            <w:r>
              <w:rPr>
                <w:b/>
                <w:sz w:val="19"/>
              </w:rPr>
              <w:t>updated_at</w:t>
            </w:r>
          </w:p>
        </w:tc>
        <w:tc>
          <w:tcPr>
            <w:tcW w:type="dxa" w:w="1728"/>
            <w:tcMar>
              <w:top w:w="80" w:type="dxa"/>
              <w:bottom w:w="80" w:type="dxa"/>
              <w:left w:w="120" w:type="dxa"/>
              <w:right w:w="120" w:type="dxa"/>
            </w:tcMar>
            <w:shd w:fill="F7FAFC"/>
          </w:tcPr>
          <w:p>
            <w:r>
              <w:rPr>
                <w:sz w:val="19"/>
              </w:rPr>
              <w:t>Timestamp</w:t>
            </w:r>
          </w:p>
        </w:tc>
        <w:tc>
          <w:tcPr>
            <w:tcW w:type="dxa" w:w="2592"/>
            <w:tcMar>
              <w:top w:w="80" w:type="dxa"/>
              <w:bottom w:w="80" w:type="dxa"/>
              <w:left w:w="120" w:type="dxa"/>
              <w:right w:w="120" w:type="dxa"/>
            </w:tcMar>
            <w:shd w:fill="F7FAFC"/>
          </w:tcPr>
          <w:p>
            <w:r>
              <w:rPr>
                <w:sz w:val="19"/>
              </w:rPr>
              <w:t>DEFAULT NOW()</w:t>
            </w:r>
          </w:p>
        </w:tc>
        <w:tc>
          <w:tcPr>
            <w:tcW w:type="dxa" w:w="2880"/>
            <w:tcMar>
              <w:top w:w="80" w:type="dxa"/>
              <w:bottom w:w="80" w:type="dxa"/>
              <w:left w:w="120" w:type="dxa"/>
              <w:right w:w="120" w:type="dxa"/>
            </w:tcMar>
            <w:shd w:fill="F7FAFC"/>
          </w:tcPr>
          <w:p>
            <w:r>
              <w:rPr>
                <w:sz w:val="19"/>
              </w:rPr>
              <w:t>Tanggal perubahan data/profil terakhir kali</w:t>
            </w:r>
          </w:p>
        </w:tc>
      </w:tr>
    </w:tbl>
    <w:p>
      <w:pPr>
        <w:spacing w:after="240"/>
      </w:pPr>
    </w:p>
    <w:p>
      <w:pPr>
        <w:keepNext/>
        <w:spacing w:before="160" w:after="40"/>
      </w:pPr>
      <w:r>
        <w:rPr>
          <w:rFonts w:ascii="Calibri" w:hAnsi="Calibri"/>
          <w:b/>
          <w:i/>
          <w:color w:val="4A5568"/>
          <w:sz w:val="22"/>
        </w:rPr>
        <w:t>Tabel: stocks (Data Profil Emiten Saham)</w:t>
      </w:r>
    </w:p>
    <w:tbl>
      <w:tblPr>
        <w:tblW w:type="auto" w:w="0"/>
        <w:jc w:val="center"/>
        <w:tblLook w:firstColumn="1" w:firstRow="1" w:lastColumn="0" w:lastRow="0" w:noHBand="0" w:noVBand="1" w:val="04A0"/>
        <w:tblBorders>
          <w:top w:val="single" w:sz="4" w:space="0" w:color="CCCCCC"/>
          <w:bottom w:val="single" w:sz="6" w:space="0" w:color="1B365D"/>
          <w:left w:val="none"/>
          <w:right w:val="none"/>
          <w:insideH w:val="single" w:sz="4" w:space="0" w:color="E5E5E5"/>
          <w:insideV w:val="none"/>
        </w:tblBorders>
      </w:tblPr>
      <w:tblGrid>
        <w:gridCol w:w="2340"/>
        <w:gridCol w:w="2340"/>
        <w:gridCol w:w="2340"/>
        <w:gridCol w:w="2340"/>
      </w:tblGrid>
      <w:tr>
        <w:trPr>
          <w:tblHeader/>
        </w:trPr>
        <w:tc>
          <w:tcPr>
            <w:tcW w:type="dxa" w:w="2160"/>
            <w:shd w:fill="1B365D"/>
            <w:tcMar>
              <w:top w:w="120" w:type="dxa"/>
              <w:bottom w:w="120" w:type="dxa"/>
              <w:left w:w="150" w:type="dxa"/>
              <w:right w:w="150" w:type="dxa"/>
            </w:tcMar>
          </w:tcPr>
          <w:p>
            <w:pPr>
              <w:jc w:val="center"/>
            </w:pPr>
            <w:r>
              <w:rPr>
                <w:b/>
                <w:color w:val="FFFFFF"/>
                <w:sz w:val="20"/>
              </w:rPr>
              <w:t>Nama Kolom</w:t>
            </w:r>
          </w:p>
        </w:tc>
        <w:tc>
          <w:tcPr>
            <w:tcW w:type="dxa" w:w="1728"/>
            <w:shd w:fill="1B365D"/>
            <w:tcMar>
              <w:top w:w="120" w:type="dxa"/>
              <w:bottom w:w="120" w:type="dxa"/>
              <w:left w:w="150" w:type="dxa"/>
              <w:right w:w="150" w:type="dxa"/>
            </w:tcMar>
          </w:tcPr>
          <w:p>
            <w:pPr>
              <w:jc w:val="center"/>
            </w:pPr>
            <w:r>
              <w:rPr>
                <w:b/>
                <w:color w:val="FFFFFF"/>
                <w:sz w:val="20"/>
              </w:rPr>
              <w:t>Tipe Data</w:t>
            </w:r>
          </w:p>
        </w:tc>
        <w:tc>
          <w:tcPr>
            <w:tcW w:type="dxa" w:w="2592"/>
            <w:shd w:fill="1B365D"/>
            <w:tcMar>
              <w:top w:w="120" w:type="dxa"/>
              <w:bottom w:w="120" w:type="dxa"/>
              <w:left w:w="150" w:type="dxa"/>
              <w:right w:w="150" w:type="dxa"/>
            </w:tcMar>
          </w:tcPr>
          <w:p>
            <w:pPr>
              <w:jc w:val="center"/>
            </w:pPr>
            <w:r>
              <w:rPr>
                <w:b/>
                <w:color w:val="FFFFFF"/>
                <w:sz w:val="20"/>
              </w:rPr>
              <w:t>Batasan (Constraints)</w:t>
            </w:r>
          </w:p>
        </w:tc>
        <w:tc>
          <w:tcPr>
            <w:tcW w:type="dxa" w:w="2880"/>
            <w:shd w:fill="1B365D"/>
            <w:tcMar>
              <w:top w:w="120" w:type="dxa"/>
              <w:bottom w:w="120" w:type="dxa"/>
              <w:left w:w="150" w:type="dxa"/>
              <w:right w:w="150" w:type="dxa"/>
            </w:tcMar>
          </w:tcPr>
          <w:p>
            <w:pPr>
              <w:jc w:val="center"/>
            </w:pPr>
            <w:r>
              <w:rPr>
                <w:b/>
                <w:color w:val="FFFFFF"/>
                <w:sz w:val="20"/>
              </w:rPr>
              <w:t>Penjelasan / Keterangan</w:t>
            </w:r>
          </w:p>
        </w:tc>
      </w:tr>
      <w:tr>
        <w:trPr>
          <w:cantSplit/>
        </w:trPr>
        <w:tc>
          <w:tcPr>
            <w:tcW w:type="dxa" w:w="2160"/>
            <w:tcMar>
              <w:top w:w="80" w:type="dxa"/>
              <w:bottom w:w="80" w:type="dxa"/>
              <w:left w:w="120" w:type="dxa"/>
              <w:right w:w="120" w:type="dxa"/>
            </w:tcMar>
          </w:tcPr>
          <w:p>
            <w:r>
              <w:rPr>
                <w:b/>
                <w:sz w:val="19"/>
              </w:rPr>
              <w:t>ticker</w:t>
            </w:r>
          </w:p>
        </w:tc>
        <w:tc>
          <w:tcPr>
            <w:tcW w:type="dxa" w:w="1728"/>
            <w:tcMar>
              <w:top w:w="80" w:type="dxa"/>
              <w:bottom w:w="80" w:type="dxa"/>
              <w:left w:w="120" w:type="dxa"/>
              <w:right w:w="120" w:type="dxa"/>
            </w:tcMar>
          </w:tcPr>
          <w:p>
            <w:r>
              <w:rPr>
                <w:sz w:val="19"/>
              </w:rPr>
              <w:t>Varchar(20)</w:t>
            </w:r>
          </w:p>
        </w:tc>
        <w:tc>
          <w:tcPr>
            <w:tcW w:type="dxa" w:w="2592"/>
            <w:tcMar>
              <w:top w:w="80" w:type="dxa"/>
              <w:bottom w:w="80" w:type="dxa"/>
              <w:left w:w="120" w:type="dxa"/>
              <w:right w:w="120" w:type="dxa"/>
            </w:tcMar>
          </w:tcPr>
          <w:p>
            <w:r>
              <w:rPr>
                <w:sz w:val="19"/>
              </w:rPr>
              <w:t>PRIMARY KEY</w:t>
            </w:r>
          </w:p>
        </w:tc>
        <w:tc>
          <w:tcPr>
            <w:tcW w:type="dxa" w:w="2880"/>
            <w:tcMar>
              <w:top w:w="80" w:type="dxa"/>
              <w:bottom w:w="80" w:type="dxa"/>
              <w:left w:w="120" w:type="dxa"/>
              <w:right w:w="120" w:type="dxa"/>
            </w:tcMar>
          </w:tcPr>
          <w:p>
            <w:r>
              <w:rPr>
                <w:sz w:val="19"/>
              </w:rPr>
              <w:t>Kode ticker unik bursa IDX (contoh: BBCA.JK)</w:t>
            </w:r>
          </w:p>
        </w:tc>
      </w:tr>
      <w:tr>
        <w:trPr>
          <w:cantSplit/>
        </w:trPr>
        <w:tc>
          <w:tcPr>
            <w:tcW w:type="dxa" w:w="2160"/>
            <w:tcMar>
              <w:top w:w="80" w:type="dxa"/>
              <w:bottom w:w="80" w:type="dxa"/>
              <w:left w:w="120" w:type="dxa"/>
              <w:right w:w="120" w:type="dxa"/>
            </w:tcMar>
            <w:shd w:fill="F7FAFC"/>
          </w:tcPr>
          <w:p>
            <w:r>
              <w:rPr>
                <w:b/>
                <w:sz w:val="19"/>
              </w:rPr>
              <w:t>name</w:t>
            </w:r>
          </w:p>
        </w:tc>
        <w:tc>
          <w:tcPr>
            <w:tcW w:type="dxa" w:w="1728"/>
            <w:tcMar>
              <w:top w:w="80" w:type="dxa"/>
              <w:bottom w:w="80" w:type="dxa"/>
              <w:left w:w="120" w:type="dxa"/>
              <w:right w:w="120" w:type="dxa"/>
            </w:tcMar>
            <w:shd w:fill="F7FAFC"/>
          </w:tcPr>
          <w:p>
            <w:r>
              <w:rPr>
                <w:sz w:val="19"/>
              </w:rPr>
              <w:t>Varchar(255)</w:t>
            </w:r>
          </w:p>
        </w:tc>
        <w:tc>
          <w:tcPr>
            <w:tcW w:type="dxa" w:w="2592"/>
            <w:tcMar>
              <w:top w:w="80" w:type="dxa"/>
              <w:bottom w:w="80" w:type="dxa"/>
              <w:left w:w="120" w:type="dxa"/>
              <w:right w:w="120" w:type="dxa"/>
            </w:tcMar>
            <w:shd w:fill="F7FAFC"/>
          </w:tcPr>
          <w:p>
            <w:r>
              <w:rPr>
                <w:sz w:val="19"/>
              </w:rPr>
              <w:t>NOT NULL</w:t>
            </w:r>
          </w:p>
        </w:tc>
        <w:tc>
          <w:tcPr>
            <w:tcW w:type="dxa" w:w="2880"/>
            <w:tcMar>
              <w:top w:w="80" w:type="dxa"/>
              <w:bottom w:w="80" w:type="dxa"/>
              <w:left w:w="120" w:type="dxa"/>
              <w:right w:w="120" w:type="dxa"/>
            </w:tcMar>
            <w:shd w:fill="F7FAFC"/>
          </w:tcPr>
          <w:p>
            <w:r>
              <w:rPr>
                <w:sz w:val="19"/>
              </w:rPr>
              <w:t>Nama resmi perusahaan tercatat bursa</w:t>
            </w:r>
          </w:p>
        </w:tc>
      </w:tr>
      <w:tr>
        <w:trPr>
          <w:cantSplit/>
        </w:trPr>
        <w:tc>
          <w:tcPr>
            <w:tcW w:type="dxa" w:w="2160"/>
            <w:tcMar>
              <w:top w:w="80" w:type="dxa"/>
              <w:bottom w:w="80" w:type="dxa"/>
              <w:left w:w="120" w:type="dxa"/>
              <w:right w:w="120" w:type="dxa"/>
            </w:tcMar>
          </w:tcPr>
          <w:p>
            <w:r>
              <w:rPr>
                <w:b/>
                <w:sz w:val="19"/>
              </w:rPr>
              <w:t>sector</w:t>
            </w:r>
          </w:p>
        </w:tc>
        <w:tc>
          <w:tcPr>
            <w:tcW w:type="dxa" w:w="1728"/>
            <w:tcMar>
              <w:top w:w="80" w:type="dxa"/>
              <w:bottom w:w="80" w:type="dxa"/>
              <w:left w:w="120" w:type="dxa"/>
              <w:right w:w="120" w:type="dxa"/>
            </w:tcMar>
          </w:tcPr>
          <w:p>
            <w:r>
              <w:rPr>
                <w:sz w:val="19"/>
              </w:rPr>
              <w:t>Varchar(100)</w:t>
            </w:r>
          </w:p>
        </w:tc>
        <w:tc>
          <w:tcPr>
            <w:tcW w:type="dxa" w:w="2592"/>
            <w:tcMar>
              <w:top w:w="80" w:type="dxa"/>
              <w:bottom w:w="80" w:type="dxa"/>
              <w:left w:w="120" w:type="dxa"/>
              <w:right w:w="120" w:type="dxa"/>
            </w:tcMar>
          </w:tcPr>
          <w:p>
            <w:r>
              <w:rPr>
                <w:sz w:val="19"/>
              </w:rPr>
              <w:t>NOT NULL</w:t>
            </w:r>
          </w:p>
        </w:tc>
        <w:tc>
          <w:tcPr>
            <w:tcW w:type="dxa" w:w="2880"/>
            <w:tcMar>
              <w:top w:w="80" w:type="dxa"/>
              <w:bottom w:w="80" w:type="dxa"/>
              <w:left w:w="120" w:type="dxa"/>
              <w:right w:w="120" w:type="dxa"/>
            </w:tcMar>
          </w:tcPr>
          <w:p>
            <w:r>
              <w:rPr>
                <w:sz w:val="19"/>
              </w:rPr>
              <w:t>Klasifikasi sektor industri (Bahasa Indonesia)</w:t>
            </w:r>
          </w:p>
        </w:tc>
      </w:tr>
      <w:tr>
        <w:trPr>
          <w:cantSplit/>
        </w:trPr>
        <w:tc>
          <w:tcPr>
            <w:tcW w:type="dxa" w:w="2160"/>
            <w:tcMar>
              <w:top w:w="80" w:type="dxa"/>
              <w:bottom w:w="80" w:type="dxa"/>
              <w:left w:w="120" w:type="dxa"/>
              <w:right w:w="120" w:type="dxa"/>
            </w:tcMar>
            <w:shd w:fill="F7FAFC"/>
          </w:tcPr>
          <w:p>
            <w:r>
              <w:rPr>
                <w:b/>
                <w:sz w:val="19"/>
              </w:rPr>
              <w:t>roe</w:t>
            </w:r>
          </w:p>
        </w:tc>
        <w:tc>
          <w:tcPr>
            <w:tcW w:type="dxa" w:w="1728"/>
            <w:tcMar>
              <w:top w:w="80" w:type="dxa"/>
              <w:bottom w:w="80" w:type="dxa"/>
              <w:left w:w="120" w:type="dxa"/>
              <w:right w:w="120" w:type="dxa"/>
            </w:tcMar>
            <w:shd w:fill="F7FAFC"/>
          </w:tcPr>
          <w:p>
            <w:r>
              <w:rPr>
                <w:sz w:val="19"/>
              </w:rPr>
              <w:t>Decimal(10,2)</w:t>
            </w:r>
          </w:p>
        </w:tc>
        <w:tc>
          <w:tcPr>
            <w:tcW w:type="dxa" w:w="2592"/>
            <w:tcMar>
              <w:top w:w="80" w:type="dxa"/>
              <w:bottom w:w="80" w:type="dxa"/>
              <w:left w:w="120" w:type="dxa"/>
              <w:right w:w="120" w:type="dxa"/>
            </w:tcMar>
            <w:shd w:fill="F7FAFC"/>
          </w:tcPr>
          <w:p>
            <w:r>
              <w:rPr>
                <w:sz w:val="19"/>
              </w:rPr>
              <w:t>NULLABLE</w:t>
            </w:r>
          </w:p>
        </w:tc>
        <w:tc>
          <w:tcPr>
            <w:tcW w:type="dxa" w:w="2880"/>
            <w:tcMar>
              <w:top w:w="80" w:type="dxa"/>
              <w:bottom w:w="80" w:type="dxa"/>
              <w:left w:w="120" w:type="dxa"/>
              <w:right w:w="120" w:type="dxa"/>
            </w:tcMar>
            <w:shd w:fill="F7FAFC"/>
          </w:tcPr>
          <w:p>
            <w:r>
              <w:rPr>
                <w:sz w:val="19"/>
              </w:rPr>
              <w:t>Rasio Return on Equity mentah (Persen)</w:t>
            </w:r>
          </w:p>
        </w:tc>
      </w:tr>
      <w:tr>
        <w:trPr>
          <w:cantSplit/>
        </w:trPr>
        <w:tc>
          <w:tcPr>
            <w:tcW w:type="dxa" w:w="2160"/>
            <w:tcMar>
              <w:top w:w="80" w:type="dxa"/>
              <w:bottom w:w="80" w:type="dxa"/>
              <w:left w:w="120" w:type="dxa"/>
              <w:right w:w="120" w:type="dxa"/>
            </w:tcMar>
          </w:tcPr>
          <w:p>
            <w:r>
              <w:rPr>
                <w:b/>
                <w:sz w:val="19"/>
              </w:rPr>
              <w:t>der</w:t>
            </w:r>
          </w:p>
        </w:tc>
        <w:tc>
          <w:tcPr>
            <w:tcW w:type="dxa" w:w="1728"/>
            <w:tcMar>
              <w:top w:w="80" w:type="dxa"/>
              <w:bottom w:w="80" w:type="dxa"/>
              <w:left w:w="120" w:type="dxa"/>
              <w:right w:w="120" w:type="dxa"/>
            </w:tcMar>
          </w:tcPr>
          <w:p>
            <w:r>
              <w:rPr>
                <w:sz w:val="19"/>
              </w:rPr>
              <w:t>Decimal(10,2)</w:t>
            </w:r>
          </w:p>
        </w:tc>
        <w:tc>
          <w:tcPr>
            <w:tcW w:type="dxa" w:w="2592"/>
            <w:tcMar>
              <w:top w:w="80" w:type="dxa"/>
              <w:bottom w:w="80" w:type="dxa"/>
              <w:left w:w="120" w:type="dxa"/>
              <w:right w:w="120" w:type="dxa"/>
            </w:tcMar>
          </w:tcPr>
          <w:p>
            <w:r>
              <w:rPr>
                <w:sz w:val="19"/>
              </w:rPr>
              <w:t>NULLABLE</w:t>
            </w:r>
          </w:p>
        </w:tc>
        <w:tc>
          <w:tcPr>
            <w:tcW w:type="dxa" w:w="2880"/>
            <w:tcMar>
              <w:top w:w="80" w:type="dxa"/>
              <w:bottom w:w="80" w:type="dxa"/>
              <w:left w:w="120" w:type="dxa"/>
              <w:right w:w="120" w:type="dxa"/>
            </w:tcMar>
          </w:tcPr>
          <w:p>
            <w:r>
              <w:rPr>
                <w:sz w:val="19"/>
              </w:rPr>
              <w:t>Rasio Debt to Equity mentah (Kali)</w:t>
            </w:r>
          </w:p>
        </w:tc>
      </w:tr>
      <w:tr>
        <w:trPr>
          <w:cantSplit/>
        </w:trPr>
        <w:tc>
          <w:tcPr>
            <w:tcW w:type="dxa" w:w="2160"/>
            <w:tcMar>
              <w:top w:w="80" w:type="dxa"/>
              <w:bottom w:w="80" w:type="dxa"/>
              <w:left w:w="120" w:type="dxa"/>
              <w:right w:w="120" w:type="dxa"/>
            </w:tcMar>
            <w:shd w:fill="F7FAFC"/>
          </w:tcPr>
          <w:p>
            <w:r>
              <w:rPr>
                <w:b/>
                <w:sz w:val="19"/>
              </w:rPr>
              <w:t>pbv</w:t>
            </w:r>
          </w:p>
        </w:tc>
        <w:tc>
          <w:tcPr>
            <w:tcW w:type="dxa" w:w="1728"/>
            <w:tcMar>
              <w:top w:w="80" w:type="dxa"/>
              <w:bottom w:w="80" w:type="dxa"/>
              <w:left w:w="120" w:type="dxa"/>
              <w:right w:w="120" w:type="dxa"/>
            </w:tcMar>
            <w:shd w:fill="F7FAFC"/>
          </w:tcPr>
          <w:p>
            <w:r>
              <w:rPr>
                <w:sz w:val="19"/>
              </w:rPr>
              <w:t>Decimal(10,2)</w:t>
            </w:r>
          </w:p>
        </w:tc>
        <w:tc>
          <w:tcPr>
            <w:tcW w:type="dxa" w:w="2592"/>
            <w:tcMar>
              <w:top w:w="80" w:type="dxa"/>
              <w:bottom w:w="80" w:type="dxa"/>
              <w:left w:w="120" w:type="dxa"/>
              <w:right w:w="120" w:type="dxa"/>
            </w:tcMar>
            <w:shd w:fill="F7FAFC"/>
          </w:tcPr>
          <w:p>
            <w:r>
              <w:rPr>
                <w:sz w:val="19"/>
              </w:rPr>
              <w:t>NULLABLE</w:t>
            </w:r>
          </w:p>
        </w:tc>
        <w:tc>
          <w:tcPr>
            <w:tcW w:type="dxa" w:w="2880"/>
            <w:tcMar>
              <w:top w:w="80" w:type="dxa"/>
              <w:bottom w:w="80" w:type="dxa"/>
              <w:left w:w="120" w:type="dxa"/>
              <w:right w:w="120" w:type="dxa"/>
            </w:tcMar>
            <w:shd w:fill="F7FAFC"/>
          </w:tcPr>
          <w:p>
            <w:r>
              <w:rPr>
                <w:sz w:val="19"/>
              </w:rPr>
              <w:t>Rasio Price to Book Value mentah (Kali)</w:t>
            </w:r>
          </w:p>
        </w:tc>
      </w:tr>
      <w:tr>
        <w:trPr>
          <w:cantSplit/>
        </w:trPr>
        <w:tc>
          <w:tcPr>
            <w:tcW w:type="dxa" w:w="2160"/>
            <w:tcMar>
              <w:top w:w="80" w:type="dxa"/>
              <w:bottom w:w="80" w:type="dxa"/>
              <w:left w:w="120" w:type="dxa"/>
              <w:right w:w="120" w:type="dxa"/>
            </w:tcMar>
          </w:tcPr>
          <w:p>
            <w:r>
              <w:rPr>
                <w:b/>
                <w:sz w:val="19"/>
              </w:rPr>
              <w:t>is_qualified</w:t>
            </w:r>
          </w:p>
        </w:tc>
        <w:tc>
          <w:tcPr>
            <w:tcW w:type="dxa" w:w="1728"/>
            <w:tcMar>
              <w:top w:w="80" w:type="dxa"/>
              <w:bottom w:w="80" w:type="dxa"/>
              <w:left w:w="120" w:type="dxa"/>
              <w:right w:w="120" w:type="dxa"/>
            </w:tcMar>
          </w:tcPr>
          <w:p>
            <w:r>
              <w:rPr>
                <w:sz w:val="19"/>
              </w:rPr>
              <w:t>Boolean</w:t>
            </w:r>
          </w:p>
        </w:tc>
        <w:tc>
          <w:tcPr>
            <w:tcW w:type="dxa" w:w="2592"/>
            <w:tcMar>
              <w:top w:w="80" w:type="dxa"/>
              <w:bottom w:w="80" w:type="dxa"/>
              <w:left w:w="120" w:type="dxa"/>
              <w:right w:w="120" w:type="dxa"/>
            </w:tcMar>
          </w:tcPr>
          <w:p>
            <w:r>
              <w:rPr>
                <w:sz w:val="19"/>
              </w:rPr>
              <w:t>DEFAULT False, INDEXED</w:t>
            </w:r>
          </w:p>
        </w:tc>
        <w:tc>
          <w:tcPr>
            <w:tcW w:type="dxa" w:w="2880"/>
            <w:tcMar>
              <w:top w:w="80" w:type="dxa"/>
              <w:bottom w:w="80" w:type="dxa"/>
              <w:left w:w="120" w:type="dxa"/>
              <w:right w:w="120" w:type="dxa"/>
            </w:tcMar>
          </w:tcPr>
          <w:p>
            <w:r>
              <w:rPr>
                <w:sz w:val="19"/>
              </w:rPr>
              <w:t>Indikator kelayakan emiten (lolos filter veto Tier 2)</w:t>
            </w:r>
          </w:p>
        </w:tc>
      </w:tr>
      <w:tr>
        <w:trPr>
          <w:cantSplit/>
        </w:trPr>
        <w:tc>
          <w:tcPr>
            <w:tcW w:type="dxa" w:w="2160"/>
            <w:tcMar>
              <w:top w:w="80" w:type="dxa"/>
              <w:bottom w:w="80" w:type="dxa"/>
              <w:left w:w="120" w:type="dxa"/>
              <w:right w:w="120" w:type="dxa"/>
            </w:tcMar>
            <w:shd w:fill="F7FAFC"/>
          </w:tcPr>
          <w:p>
            <w:r>
              <w:rPr>
                <w:b/>
                <w:sz w:val="19"/>
              </w:rPr>
              <w:t>updated_at</w:t>
            </w:r>
          </w:p>
        </w:tc>
        <w:tc>
          <w:tcPr>
            <w:tcW w:type="dxa" w:w="1728"/>
            <w:tcMar>
              <w:top w:w="80" w:type="dxa"/>
              <w:bottom w:w="80" w:type="dxa"/>
              <w:left w:w="120" w:type="dxa"/>
              <w:right w:w="120" w:type="dxa"/>
            </w:tcMar>
            <w:shd w:fill="F7FAFC"/>
          </w:tcPr>
          <w:p>
            <w:r>
              <w:rPr>
                <w:sz w:val="19"/>
              </w:rPr>
              <w:t>Timestamp</w:t>
            </w:r>
          </w:p>
        </w:tc>
        <w:tc>
          <w:tcPr>
            <w:tcW w:type="dxa" w:w="2592"/>
            <w:tcMar>
              <w:top w:w="80" w:type="dxa"/>
              <w:bottom w:w="80" w:type="dxa"/>
              <w:left w:w="120" w:type="dxa"/>
              <w:right w:w="120" w:type="dxa"/>
            </w:tcMar>
            <w:shd w:fill="F7FAFC"/>
          </w:tcPr>
          <w:p>
            <w:r>
              <w:rPr>
                <w:sz w:val="19"/>
              </w:rPr>
              <w:t>DEFAULT NOW()</w:t>
            </w:r>
          </w:p>
        </w:tc>
        <w:tc>
          <w:tcPr>
            <w:tcW w:type="dxa" w:w="2880"/>
            <w:tcMar>
              <w:top w:w="80" w:type="dxa"/>
              <w:bottom w:w="80" w:type="dxa"/>
              <w:left w:w="120" w:type="dxa"/>
              <w:right w:w="120" w:type="dxa"/>
            </w:tcMar>
            <w:shd w:fill="F7FAFC"/>
          </w:tcPr>
          <w:p>
            <w:r>
              <w:rPr>
                <w:sz w:val="19"/>
              </w:rPr>
              <w:t>Tanggal pembaruan data fundamental terakhir</w:t>
            </w:r>
          </w:p>
        </w:tc>
      </w:tr>
    </w:tbl>
    <w:p>
      <w:pPr>
        <w:spacing w:after="240"/>
      </w:pPr>
    </w:p>
    <w:p>
      <w:pPr>
        <w:keepNext/>
        <w:spacing w:before="160" w:after="40"/>
      </w:pPr>
      <w:r>
        <w:rPr>
          <w:rFonts w:ascii="Calibri" w:hAnsi="Calibri"/>
          <w:b/>
          <w:i/>
          <w:color w:val="4A5568"/>
          <w:sz w:val="22"/>
        </w:rPr>
        <w:t>Tabel: portfolios (Portofolio Kepemilikan Aset)</w:t>
      </w:r>
    </w:p>
    <w:tbl>
      <w:tblPr>
        <w:tblW w:type="auto" w:w="0"/>
        <w:jc w:val="center"/>
        <w:tblLook w:firstColumn="1" w:firstRow="1" w:lastColumn="0" w:lastRow="0" w:noHBand="0" w:noVBand="1" w:val="04A0"/>
        <w:tblBorders>
          <w:top w:val="single" w:sz="4" w:space="0" w:color="CCCCCC"/>
          <w:bottom w:val="single" w:sz="6" w:space="0" w:color="1B365D"/>
          <w:left w:val="none"/>
          <w:right w:val="none"/>
          <w:insideH w:val="single" w:sz="4" w:space="0" w:color="E5E5E5"/>
          <w:insideV w:val="none"/>
        </w:tblBorders>
      </w:tblPr>
      <w:tblGrid>
        <w:gridCol w:w="2340"/>
        <w:gridCol w:w="2340"/>
        <w:gridCol w:w="2340"/>
        <w:gridCol w:w="2340"/>
      </w:tblGrid>
      <w:tr>
        <w:trPr>
          <w:tblHeader/>
        </w:trPr>
        <w:tc>
          <w:tcPr>
            <w:tcW w:type="dxa" w:w="2160"/>
            <w:shd w:fill="1B365D"/>
            <w:tcMar>
              <w:top w:w="120" w:type="dxa"/>
              <w:bottom w:w="120" w:type="dxa"/>
              <w:left w:w="150" w:type="dxa"/>
              <w:right w:w="150" w:type="dxa"/>
            </w:tcMar>
          </w:tcPr>
          <w:p>
            <w:pPr>
              <w:jc w:val="center"/>
            </w:pPr>
            <w:r>
              <w:rPr>
                <w:b/>
                <w:color w:val="FFFFFF"/>
                <w:sz w:val="20"/>
              </w:rPr>
              <w:t>Nama Kolom</w:t>
            </w:r>
          </w:p>
        </w:tc>
        <w:tc>
          <w:tcPr>
            <w:tcW w:type="dxa" w:w="1728"/>
            <w:shd w:fill="1B365D"/>
            <w:tcMar>
              <w:top w:w="120" w:type="dxa"/>
              <w:bottom w:w="120" w:type="dxa"/>
              <w:left w:w="150" w:type="dxa"/>
              <w:right w:w="150" w:type="dxa"/>
            </w:tcMar>
          </w:tcPr>
          <w:p>
            <w:pPr>
              <w:jc w:val="center"/>
            </w:pPr>
            <w:r>
              <w:rPr>
                <w:b/>
                <w:color w:val="FFFFFF"/>
                <w:sz w:val="20"/>
              </w:rPr>
              <w:t>Tipe Data</w:t>
            </w:r>
          </w:p>
        </w:tc>
        <w:tc>
          <w:tcPr>
            <w:tcW w:type="dxa" w:w="2592"/>
            <w:shd w:fill="1B365D"/>
            <w:tcMar>
              <w:top w:w="120" w:type="dxa"/>
              <w:bottom w:w="120" w:type="dxa"/>
              <w:left w:w="150" w:type="dxa"/>
              <w:right w:w="150" w:type="dxa"/>
            </w:tcMar>
          </w:tcPr>
          <w:p>
            <w:pPr>
              <w:jc w:val="center"/>
            </w:pPr>
            <w:r>
              <w:rPr>
                <w:b/>
                <w:color w:val="FFFFFF"/>
                <w:sz w:val="20"/>
              </w:rPr>
              <w:t>Batasan (Constraints)</w:t>
            </w:r>
          </w:p>
        </w:tc>
        <w:tc>
          <w:tcPr>
            <w:tcW w:type="dxa" w:w="2880"/>
            <w:shd w:fill="1B365D"/>
            <w:tcMar>
              <w:top w:w="120" w:type="dxa"/>
              <w:bottom w:w="120" w:type="dxa"/>
              <w:left w:w="150" w:type="dxa"/>
              <w:right w:w="150" w:type="dxa"/>
            </w:tcMar>
          </w:tcPr>
          <w:p>
            <w:pPr>
              <w:jc w:val="center"/>
            </w:pPr>
            <w:r>
              <w:rPr>
                <w:b/>
                <w:color w:val="FFFFFF"/>
                <w:sz w:val="20"/>
              </w:rPr>
              <w:t>Penjelasan / Keterangan</w:t>
            </w:r>
          </w:p>
        </w:tc>
      </w:tr>
      <w:tr>
        <w:trPr>
          <w:cantSplit/>
        </w:trPr>
        <w:tc>
          <w:tcPr>
            <w:tcW w:type="dxa" w:w="2160"/>
            <w:tcMar>
              <w:top w:w="80" w:type="dxa"/>
              <w:bottom w:w="80" w:type="dxa"/>
              <w:left w:w="120" w:type="dxa"/>
              <w:right w:w="120" w:type="dxa"/>
            </w:tcMar>
          </w:tcPr>
          <w:p>
            <w:r>
              <w:rPr>
                <w:b/>
                <w:sz w:val="19"/>
              </w:rPr>
              <w:t>id</w:t>
            </w:r>
          </w:p>
        </w:tc>
        <w:tc>
          <w:tcPr>
            <w:tcW w:type="dxa" w:w="1728"/>
            <w:tcMar>
              <w:top w:w="80" w:type="dxa"/>
              <w:bottom w:w="80" w:type="dxa"/>
              <w:left w:w="120" w:type="dxa"/>
              <w:right w:w="120" w:type="dxa"/>
            </w:tcMar>
          </w:tcPr>
          <w:p>
            <w:r>
              <w:rPr>
                <w:sz w:val="19"/>
              </w:rPr>
              <w:t>Integer</w:t>
            </w:r>
          </w:p>
        </w:tc>
        <w:tc>
          <w:tcPr>
            <w:tcW w:type="dxa" w:w="2592"/>
            <w:tcMar>
              <w:top w:w="80" w:type="dxa"/>
              <w:bottom w:w="80" w:type="dxa"/>
              <w:left w:w="120" w:type="dxa"/>
              <w:right w:w="120" w:type="dxa"/>
            </w:tcMar>
          </w:tcPr>
          <w:p>
            <w:r>
              <w:rPr>
                <w:sz w:val="19"/>
              </w:rPr>
              <w:t>PRIMARY KEY, AUTO_INCREMENT</w:t>
            </w:r>
          </w:p>
        </w:tc>
        <w:tc>
          <w:tcPr>
            <w:tcW w:type="dxa" w:w="2880"/>
            <w:tcMar>
              <w:top w:w="80" w:type="dxa"/>
              <w:bottom w:w="80" w:type="dxa"/>
              <w:left w:w="120" w:type="dxa"/>
              <w:right w:w="120" w:type="dxa"/>
            </w:tcMar>
          </w:tcPr>
          <w:p>
            <w:r>
              <w:rPr>
                <w:sz w:val="19"/>
              </w:rPr>
              <w:t>ID unik portofolio aset</w:t>
            </w:r>
          </w:p>
        </w:tc>
      </w:tr>
      <w:tr>
        <w:trPr>
          <w:cantSplit/>
        </w:trPr>
        <w:tc>
          <w:tcPr>
            <w:tcW w:type="dxa" w:w="2160"/>
            <w:tcMar>
              <w:top w:w="80" w:type="dxa"/>
              <w:bottom w:w="80" w:type="dxa"/>
              <w:left w:w="120" w:type="dxa"/>
              <w:right w:w="120" w:type="dxa"/>
            </w:tcMar>
            <w:shd w:fill="F7FAFC"/>
          </w:tcPr>
          <w:p>
            <w:r>
              <w:rPr>
                <w:b/>
                <w:sz w:val="19"/>
              </w:rPr>
              <w:t>user_id</w:t>
            </w:r>
          </w:p>
        </w:tc>
        <w:tc>
          <w:tcPr>
            <w:tcW w:type="dxa" w:w="1728"/>
            <w:tcMar>
              <w:top w:w="80" w:type="dxa"/>
              <w:bottom w:w="80" w:type="dxa"/>
              <w:left w:w="120" w:type="dxa"/>
              <w:right w:w="120" w:type="dxa"/>
            </w:tcMar>
            <w:shd w:fill="F7FAFC"/>
          </w:tcPr>
          <w:p>
            <w:r>
              <w:rPr>
                <w:sz w:val="19"/>
              </w:rPr>
              <w:t>Integer</w:t>
            </w:r>
          </w:p>
        </w:tc>
        <w:tc>
          <w:tcPr>
            <w:tcW w:type="dxa" w:w="2592"/>
            <w:tcMar>
              <w:top w:w="80" w:type="dxa"/>
              <w:bottom w:w="80" w:type="dxa"/>
              <w:left w:w="120" w:type="dxa"/>
              <w:right w:w="120" w:type="dxa"/>
            </w:tcMar>
            <w:shd w:fill="F7FAFC"/>
          </w:tcPr>
          <w:p>
            <w:r>
              <w:rPr>
                <w:sz w:val="19"/>
              </w:rPr>
              <w:t>FOREIGN KEY (users.id), NOT NULL</w:t>
            </w:r>
          </w:p>
        </w:tc>
        <w:tc>
          <w:tcPr>
            <w:tcW w:type="dxa" w:w="2880"/>
            <w:tcMar>
              <w:top w:w="80" w:type="dxa"/>
              <w:bottom w:w="80" w:type="dxa"/>
              <w:left w:w="120" w:type="dxa"/>
              <w:right w:w="120" w:type="dxa"/>
            </w:tcMar>
            <w:shd w:fill="F7FAFC"/>
          </w:tcPr>
          <w:p>
            <w:r>
              <w:rPr>
                <w:sz w:val="19"/>
              </w:rPr>
              <w:t>Referensi relasi ke pengguna pemilik portofolio</w:t>
            </w:r>
          </w:p>
        </w:tc>
      </w:tr>
      <w:tr>
        <w:trPr>
          <w:cantSplit/>
        </w:trPr>
        <w:tc>
          <w:tcPr>
            <w:tcW w:type="dxa" w:w="2160"/>
            <w:tcMar>
              <w:top w:w="80" w:type="dxa"/>
              <w:bottom w:w="80" w:type="dxa"/>
              <w:left w:w="120" w:type="dxa"/>
              <w:right w:w="120" w:type="dxa"/>
            </w:tcMar>
          </w:tcPr>
          <w:p>
            <w:r>
              <w:rPr>
                <w:b/>
                <w:sz w:val="19"/>
              </w:rPr>
              <w:t>ticker</w:t>
            </w:r>
          </w:p>
        </w:tc>
        <w:tc>
          <w:tcPr>
            <w:tcW w:type="dxa" w:w="1728"/>
            <w:tcMar>
              <w:top w:w="80" w:type="dxa"/>
              <w:bottom w:w="80" w:type="dxa"/>
              <w:left w:w="120" w:type="dxa"/>
              <w:right w:w="120" w:type="dxa"/>
            </w:tcMar>
          </w:tcPr>
          <w:p>
            <w:r>
              <w:rPr>
                <w:sz w:val="19"/>
              </w:rPr>
              <w:t>Varchar(20)</w:t>
            </w:r>
          </w:p>
        </w:tc>
        <w:tc>
          <w:tcPr>
            <w:tcW w:type="dxa" w:w="2592"/>
            <w:tcMar>
              <w:top w:w="80" w:type="dxa"/>
              <w:bottom w:w="80" w:type="dxa"/>
              <w:left w:w="120" w:type="dxa"/>
              <w:right w:w="120" w:type="dxa"/>
            </w:tcMar>
          </w:tcPr>
          <w:p>
            <w:r>
              <w:rPr>
                <w:sz w:val="19"/>
              </w:rPr>
              <w:t>NOT NULL, INDEXED</w:t>
            </w:r>
          </w:p>
        </w:tc>
        <w:tc>
          <w:tcPr>
            <w:tcW w:type="dxa" w:w="2880"/>
            <w:tcMar>
              <w:top w:w="80" w:type="dxa"/>
              <w:bottom w:w="80" w:type="dxa"/>
              <w:left w:w="120" w:type="dxa"/>
              <w:right w:w="120" w:type="dxa"/>
            </w:tcMar>
          </w:tcPr>
          <w:p>
            <w:r>
              <w:rPr>
                <w:sz w:val="19"/>
              </w:rPr>
              <w:t>Kode ticker saham yang dimiliki</w:t>
            </w:r>
          </w:p>
        </w:tc>
      </w:tr>
      <w:tr>
        <w:trPr>
          <w:cantSplit/>
        </w:trPr>
        <w:tc>
          <w:tcPr>
            <w:tcW w:type="dxa" w:w="2160"/>
            <w:tcMar>
              <w:top w:w="80" w:type="dxa"/>
              <w:bottom w:w="80" w:type="dxa"/>
              <w:left w:w="120" w:type="dxa"/>
              <w:right w:w="120" w:type="dxa"/>
            </w:tcMar>
            <w:shd w:fill="F7FAFC"/>
          </w:tcPr>
          <w:p>
            <w:r>
              <w:rPr>
                <w:b/>
                <w:sz w:val="19"/>
              </w:rPr>
              <w:t>qty</w:t>
            </w:r>
          </w:p>
        </w:tc>
        <w:tc>
          <w:tcPr>
            <w:tcW w:type="dxa" w:w="1728"/>
            <w:tcMar>
              <w:top w:w="80" w:type="dxa"/>
              <w:bottom w:w="80" w:type="dxa"/>
              <w:left w:w="120" w:type="dxa"/>
              <w:right w:w="120" w:type="dxa"/>
            </w:tcMar>
            <w:shd w:fill="F7FAFC"/>
          </w:tcPr>
          <w:p>
            <w:r>
              <w:rPr>
                <w:sz w:val="19"/>
              </w:rPr>
              <w:t>Integer</w:t>
            </w:r>
          </w:p>
        </w:tc>
        <w:tc>
          <w:tcPr>
            <w:tcW w:type="dxa" w:w="2592"/>
            <w:tcMar>
              <w:top w:w="80" w:type="dxa"/>
              <w:bottom w:w="80" w:type="dxa"/>
              <w:left w:w="120" w:type="dxa"/>
              <w:right w:w="120" w:type="dxa"/>
            </w:tcMar>
            <w:shd w:fill="F7FAFC"/>
          </w:tcPr>
          <w:p>
            <w:r>
              <w:rPr>
                <w:sz w:val="19"/>
              </w:rPr>
              <w:t>NOT NULL</w:t>
            </w:r>
          </w:p>
        </w:tc>
        <w:tc>
          <w:tcPr>
            <w:tcW w:type="dxa" w:w="2880"/>
            <w:tcMar>
              <w:top w:w="80" w:type="dxa"/>
              <w:bottom w:w="80" w:type="dxa"/>
              <w:left w:w="120" w:type="dxa"/>
              <w:right w:w="120" w:type="dxa"/>
            </w:tcMar>
            <w:shd w:fill="F7FAFC"/>
          </w:tcPr>
          <w:p>
            <w:r>
              <w:rPr>
                <w:sz w:val="19"/>
              </w:rPr>
              <w:t>Jumlah kepemilikan unit saham dalam satuan lembar</w:t>
            </w:r>
          </w:p>
        </w:tc>
      </w:tr>
      <w:tr>
        <w:trPr>
          <w:cantSplit/>
        </w:trPr>
        <w:tc>
          <w:tcPr>
            <w:tcW w:type="dxa" w:w="2160"/>
            <w:tcMar>
              <w:top w:w="80" w:type="dxa"/>
              <w:bottom w:w="80" w:type="dxa"/>
              <w:left w:w="120" w:type="dxa"/>
              <w:right w:w="120" w:type="dxa"/>
            </w:tcMar>
          </w:tcPr>
          <w:p>
            <w:r>
              <w:rPr>
                <w:b/>
                <w:sz w:val="19"/>
              </w:rPr>
              <w:t>avg_price</w:t>
            </w:r>
          </w:p>
        </w:tc>
        <w:tc>
          <w:tcPr>
            <w:tcW w:type="dxa" w:w="1728"/>
            <w:tcMar>
              <w:top w:w="80" w:type="dxa"/>
              <w:bottom w:w="80" w:type="dxa"/>
              <w:left w:w="120" w:type="dxa"/>
              <w:right w:w="120" w:type="dxa"/>
            </w:tcMar>
          </w:tcPr>
          <w:p>
            <w:r>
              <w:rPr>
                <w:sz w:val="19"/>
              </w:rPr>
              <w:t>Decimal(15,2)</w:t>
            </w:r>
          </w:p>
        </w:tc>
        <w:tc>
          <w:tcPr>
            <w:tcW w:type="dxa" w:w="2592"/>
            <w:tcMar>
              <w:top w:w="80" w:type="dxa"/>
              <w:bottom w:w="80" w:type="dxa"/>
              <w:left w:w="120" w:type="dxa"/>
              <w:right w:w="120" w:type="dxa"/>
            </w:tcMar>
          </w:tcPr>
          <w:p>
            <w:r>
              <w:rPr>
                <w:sz w:val="19"/>
              </w:rPr>
              <w:t>NOT NULL</w:t>
            </w:r>
          </w:p>
        </w:tc>
        <w:tc>
          <w:tcPr>
            <w:tcW w:type="dxa" w:w="2880"/>
            <w:tcMar>
              <w:top w:w="80" w:type="dxa"/>
              <w:bottom w:w="80" w:type="dxa"/>
              <w:left w:w="120" w:type="dxa"/>
              <w:right w:w="120" w:type="dxa"/>
            </w:tcMar>
          </w:tcPr>
          <w:p>
            <w:r>
              <w:rPr>
                <w:sz w:val="19"/>
              </w:rPr>
              <w:t>Rata-rata modal harga beli per lembar saham (IDR)</w:t>
            </w:r>
          </w:p>
        </w:tc>
      </w:tr>
      <w:tr>
        <w:trPr>
          <w:cantSplit/>
        </w:trPr>
        <w:tc>
          <w:tcPr>
            <w:tcW w:type="dxa" w:w="2160"/>
            <w:tcMar>
              <w:top w:w="80" w:type="dxa"/>
              <w:bottom w:w="80" w:type="dxa"/>
              <w:left w:w="120" w:type="dxa"/>
              <w:right w:w="120" w:type="dxa"/>
            </w:tcMar>
            <w:shd w:fill="F7FAFC"/>
          </w:tcPr>
          <w:p>
            <w:r>
              <w:rPr>
                <w:b/>
                <w:sz w:val="19"/>
              </w:rPr>
              <w:t>created_at</w:t>
            </w:r>
          </w:p>
        </w:tc>
        <w:tc>
          <w:tcPr>
            <w:tcW w:type="dxa" w:w="1728"/>
            <w:tcMar>
              <w:top w:w="80" w:type="dxa"/>
              <w:bottom w:w="80" w:type="dxa"/>
              <w:left w:w="120" w:type="dxa"/>
              <w:right w:w="120" w:type="dxa"/>
            </w:tcMar>
            <w:shd w:fill="F7FAFC"/>
          </w:tcPr>
          <w:p>
            <w:r>
              <w:rPr>
                <w:sz w:val="19"/>
              </w:rPr>
              <w:t>Timestamp</w:t>
            </w:r>
          </w:p>
        </w:tc>
        <w:tc>
          <w:tcPr>
            <w:tcW w:type="dxa" w:w="2592"/>
            <w:tcMar>
              <w:top w:w="80" w:type="dxa"/>
              <w:bottom w:w="80" w:type="dxa"/>
              <w:left w:w="120" w:type="dxa"/>
              <w:right w:w="120" w:type="dxa"/>
            </w:tcMar>
            <w:shd w:fill="F7FAFC"/>
          </w:tcPr>
          <w:p>
            <w:r>
              <w:rPr>
                <w:sz w:val="19"/>
              </w:rPr>
              <w:t>DEFAULT NOW()</w:t>
            </w:r>
          </w:p>
        </w:tc>
        <w:tc>
          <w:tcPr>
            <w:tcW w:type="dxa" w:w="2880"/>
            <w:tcMar>
              <w:top w:w="80" w:type="dxa"/>
              <w:bottom w:w="80" w:type="dxa"/>
              <w:left w:w="120" w:type="dxa"/>
              <w:right w:w="120" w:type="dxa"/>
            </w:tcMar>
            <w:shd w:fill="F7FAFC"/>
          </w:tcPr>
          <w:p>
            <w:r>
              <w:rPr>
                <w:sz w:val="19"/>
              </w:rPr>
              <w:t>Waktu pembelian perdana saham bursa terkait</w:t>
            </w:r>
          </w:p>
        </w:tc>
      </w:tr>
      <w:tr>
        <w:trPr>
          <w:cantSplit/>
        </w:trPr>
        <w:tc>
          <w:tcPr>
            <w:tcW w:type="dxa" w:w="2160"/>
            <w:tcMar>
              <w:top w:w="80" w:type="dxa"/>
              <w:bottom w:w="80" w:type="dxa"/>
              <w:left w:w="120" w:type="dxa"/>
              <w:right w:w="120" w:type="dxa"/>
            </w:tcMar>
          </w:tcPr>
          <w:p>
            <w:r>
              <w:rPr>
                <w:b/>
                <w:sz w:val="19"/>
              </w:rPr>
              <w:t>updated_at</w:t>
            </w:r>
          </w:p>
        </w:tc>
        <w:tc>
          <w:tcPr>
            <w:tcW w:type="dxa" w:w="1728"/>
            <w:tcMar>
              <w:top w:w="80" w:type="dxa"/>
              <w:bottom w:w="80" w:type="dxa"/>
              <w:left w:w="120" w:type="dxa"/>
              <w:right w:w="120" w:type="dxa"/>
            </w:tcMar>
          </w:tcPr>
          <w:p>
            <w:r>
              <w:rPr>
                <w:sz w:val="19"/>
              </w:rPr>
              <w:t>Timestamp</w:t>
            </w:r>
          </w:p>
        </w:tc>
        <w:tc>
          <w:tcPr>
            <w:tcW w:type="dxa" w:w="2592"/>
            <w:tcMar>
              <w:top w:w="80" w:type="dxa"/>
              <w:bottom w:w="80" w:type="dxa"/>
              <w:left w:w="120" w:type="dxa"/>
              <w:right w:w="120" w:type="dxa"/>
            </w:tcMar>
          </w:tcPr>
          <w:p>
            <w:r>
              <w:rPr>
                <w:sz w:val="19"/>
              </w:rPr>
              <w:t>DEFAULT NOW()</w:t>
            </w:r>
          </w:p>
        </w:tc>
        <w:tc>
          <w:tcPr>
            <w:tcW w:type="dxa" w:w="2880"/>
            <w:tcMar>
              <w:top w:w="80" w:type="dxa"/>
              <w:bottom w:w="80" w:type="dxa"/>
              <w:left w:w="120" w:type="dxa"/>
              <w:right w:w="120" w:type="dxa"/>
            </w:tcMar>
          </w:tcPr>
          <w:p>
            <w:r>
              <w:rPr>
                <w:sz w:val="19"/>
              </w:rPr>
              <w:t>Tanggal pembaruan kuantitas saham</w:t>
            </w:r>
          </w:p>
        </w:tc>
      </w:tr>
    </w:tbl>
    <w:p>
      <w:pPr>
        <w:spacing w:after="240"/>
      </w:pPr>
    </w:p>
    <w:p>
      <w:pPr>
        <w:keepNext/>
        <w:spacing w:before="160" w:after="40"/>
      </w:pPr>
      <w:r>
        <w:rPr>
          <w:rFonts w:ascii="Calibri" w:hAnsi="Calibri"/>
          <w:b/>
          <w:i/>
          <w:color w:val="4A5568"/>
          <w:sz w:val="22"/>
        </w:rPr>
        <w:t>Tabel: transactions (Catatan Transaksi Virtual)</w:t>
      </w:r>
    </w:p>
    <w:tbl>
      <w:tblPr>
        <w:tblW w:type="auto" w:w="0"/>
        <w:jc w:val="center"/>
        <w:tblLook w:firstColumn="1" w:firstRow="1" w:lastColumn="0" w:lastRow="0" w:noHBand="0" w:noVBand="1" w:val="04A0"/>
        <w:tblBorders>
          <w:top w:val="single" w:sz="4" w:space="0" w:color="CCCCCC"/>
          <w:bottom w:val="single" w:sz="6" w:space="0" w:color="1B365D"/>
          <w:left w:val="none"/>
          <w:right w:val="none"/>
          <w:insideH w:val="single" w:sz="4" w:space="0" w:color="E5E5E5"/>
          <w:insideV w:val="none"/>
        </w:tblBorders>
      </w:tblPr>
      <w:tblGrid>
        <w:gridCol w:w="2340"/>
        <w:gridCol w:w="2340"/>
        <w:gridCol w:w="2340"/>
        <w:gridCol w:w="2340"/>
      </w:tblGrid>
      <w:tr>
        <w:trPr>
          <w:tblHeader/>
        </w:trPr>
        <w:tc>
          <w:tcPr>
            <w:tcW w:type="dxa" w:w="2160"/>
            <w:shd w:fill="1B365D"/>
            <w:tcMar>
              <w:top w:w="120" w:type="dxa"/>
              <w:bottom w:w="120" w:type="dxa"/>
              <w:left w:w="150" w:type="dxa"/>
              <w:right w:w="150" w:type="dxa"/>
            </w:tcMar>
          </w:tcPr>
          <w:p>
            <w:pPr>
              <w:jc w:val="center"/>
            </w:pPr>
            <w:r>
              <w:rPr>
                <w:b/>
                <w:color w:val="FFFFFF"/>
                <w:sz w:val="20"/>
              </w:rPr>
              <w:t>Nama Kolom</w:t>
            </w:r>
          </w:p>
        </w:tc>
        <w:tc>
          <w:tcPr>
            <w:tcW w:type="dxa" w:w="1728"/>
            <w:shd w:fill="1B365D"/>
            <w:tcMar>
              <w:top w:w="120" w:type="dxa"/>
              <w:bottom w:w="120" w:type="dxa"/>
              <w:left w:w="150" w:type="dxa"/>
              <w:right w:w="150" w:type="dxa"/>
            </w:tcMar>
          </w:tcPr>
          <w:p>
            <w:pPr>
              <w:jc w:val="center"/>
            </w:pPr>
            <w:r>
              <w:rPr>
                <w:b/>
                <w:color w:val="FFFFFF"/>
                <w:sz w:val="20"/>
              </w:rPr>
              <w:t>Tipe Data</w:t>
            </w:r>
          </w:p>
        </w:tc>
        <w:tc>
          <w:tcPr>
            <w:tcW w:type="dxa" w:w="2592"/>
            <w:shd w:fill="1B365D"/>
            <w:tcMar>
              <w:top w:w="120" w:type="dxa"/>
              <w:bottom w:w="120" w:type="dxa"/>
              <w:left w:w="150" w:type="dxa"/>
              <w:right w:w="150" w:type="dxa"/>
            </w:tcMar>
          </w:tcPr>
          <w:p>
            <w:pPr>
              <w:jc w:val="center"/>
            </w:pPr>
            <w:r>
              <w:rPr>
                <w:b/>
                <w:color w:val="FFFFFF"/>
                <w:sz w:val="20"/>
              </w:rPr>
              <w:t>Batasan (Constraints)</w:t>
            </w:r>
          </w:p>
        </w:tc>
        <w:tc>
          <w:tcPr>
            <w:tcW w:type="dxa" w:w="2880"/>
            <w:shd w:fill="1B365D"/>
            <w:tcMar>
              <w:top w:w="120" w:type="dxa"/>
              <w:bottom w:w="120" w:type="dxa"/>
              <w:left w:w="150" w:type="dxa"/>
              <w:right w:w="150" w:type="dxa"/>
            </w:tcMar>
          </w:tcPr>
          <w:p>
            <w:pPr>
              <w:jc w:val="center"/>
            </w:pPr>
            <w:r>
              <w:rPr>
                <w:b/>
                <w:color w:val="FFFFFF"/>
                <w:sz w:val="20"/>
              </w:rPr>
              <w:t>Penjelasan / Keterangan</w:t>
            </w:r>
          </w:p>
        </w:tc>
      </w:tr>
      <w:tr>
        <w:trPr>
          <w:cantSplit/>
        </w:trPr>
        <w:tc>
          <w:tcPr>
            <w:tcW w:type="dxa" w:w="2160"/>
            <w:tcMar>
              <w:top w:w="80" w:type="dxa"/>
              <w:bottom w:w="80" w:type="dxa"/>
              <w:left w:w="120" w:type="dxa"/>
              <w:right w:w="120" w:type="dxa"/>
            </w:tcMar>
          </w:tcPr>
          <w:p>
            <w:r>
              <w:rPr>
                <w:b/>
                <w:sz w:val="19"/>
              </w:rPr>
              <w:t>id</w:t>
            </w:r>
          </w:p>
        </w:tc>
        <w:tc>
          <w:tcPr>
            <w:tcW w:type="dxa" w:w="1728"/>
            <w:tcMar>
              <w:top w:w="80" w:type="dxa"/>
              <w:bottom w:w="80" w:type="dxa"/>
              <w:left w:w="120" w:type="dxa"/>
              <w:right w:w="120" w:type="dxa"/>
            </w:tcMar>
          </w:tcPr>
          <w:p>
            <w:r>
              <w:rPr>
                <w:sz w:val="19"/>
              </w:rPr>
              <w:t>Integer</w:t>
            </w:r>
          </w:p>
        </w:tc>
        <w:tc>
          <w:tcPr>
            <w:tcW w:type="dxa" w:w="2592"/>
            <w:tcMar>
              <w:top w:w="80" w:type="dxa"/>
              <w:bottom w:w="80" w:type="dxa"/>
              <w:left w:w="120" w:type="dxa"/>
              <w:right w:w="120" w:type="dxa"/>
            </w:tcMar>
          </w:tcPr>
          <w:p>
            <w:r>
              <w:rPr>
                <w:sz w:val="19"/>
              </w:rPr>
              <w:t>PRIMARY KEY, AUTO_INCREMENT</w:t>
            </w:r>
          </w:p>
        </w:tc>
        <w:tc>
          <w:tcPr>
            <w:tcW w:type="dxa" w:w="2880"/>
            <w:tcMar>
              <w:top w:w="80" w:type="dxa"/>
              <w:bottom w:w="80" w:type="dxa"/>
              <w:left w:w="120" w:type="dxa"/>
              <w:right w:w="120" w:type="dxa"/>
            </w:tcMar>
          </w:tcPr>
          <w:p>
            <w:r>
              <w:rPr>
                <w:sz w:val="19"/>
              </w:rPr>
              <w:t>ID unik riwayat transaksi virtual</w:t>
            </w:r>
          </w:p>
        </w:tc>
      </w:tr>
      <w:tr>
        <w:trPr>
          <w:cantSplit/>
        </w:trPr>
        <w:tc>
          <w:tcPr>
            <w:tcW w:type="dxa" w:w="2160"/>
            <w:tcMar>
              <w:top w:w="80" w:type="dxa"/>
              <w:bottom w:w="80" w:type="dxa"/>
              <w:left w:w="120" w:type="dxa"/>
              <w:right w:w="120" w:type="dxa"/>
            </w:tcMar>
            <w:shd w:fill="F7FAFC"/>
          </w:tcPr>
          <w:p>
            <w:r>
              <w:rPr>
                <w:b/>
                <w:sz w:val="19"/>
              </w:rPr>
              <w:t>user_id</w:t>
            </w:r>
          </w:p>
        </w:tc>
        <w:tc>
          <w:tcPr>
            <w:tcW w:type="dxa" w:w="1728"/>
            <w:tcMar>
              <w:top w:w="80" w:type="dxa"/>
              <w:bottom w:w="80" w:type="dxa"/>
              <w:left w:w="120" w:type="dxa"/>
              <w:right w:w="120" w:type="dxa"/>
            </w:tcMar>
            <w:shd w:fill="F7FAFC"/>
          </w:tcPr>
          <w:p>
            <w:r>
              <w:rPr>
                <w:sz w:val="19"/>
              </w:rPr>
              <w:t>Integer</w:t>
            </w:r>
          </w:p>
        </w:tc>
        <w:tc>
          <w:tcPr>
            <w:tcW w:type="dxa" w:w="2592"/>
            <w:tcMar>
              <w:top w:w="80" w:type="dxa"/>
              <w:bottom w:w="80" w:type="dxa"/>
              <w:left w:w="120" w:type="dxa"/>
              <w:right w:w="120" w:type="dxa"/>
            </w:tcMar>
            <w:shd w:fill="F7FAFC"/>
          </w:tcPr>
          <w:p>
            <w:r>
              <w:rPr>
                <w:sz w:val="19"/>
              </w:rPr>
              <w:t>FOREIGN KEY (users.id), NOT NULL</w:t>
            </w:r>
          </w:p>
        </w:tc>
        <w:tc>
          <w:tcPr>
            <w:tcW w:type="dxa" w:w="2880"/>
            <w:tcMar>
              <w:top w:w="80" w:type="dxa"/>
              <w:bottom w:w="80" w:type="dxa"/>
              <w:left w:w="120" w:type="dxa"/>
              <w:right w:w="120" w:type="dxa"/>
            </w:tcMar>
            <w:shd w:fill="F7FAFC"/>
          </w:tcPr>
          <w:p>
            <w:r>
              <w:rPr>
                <w:sz w:val="19"/>
              </w:rPr>
              <w:t>Relasi ke pengguna yang melakukan transaksi</w:t>
            </w:r>
          </w:p>
        </w:tc>
      </w:tr>
      <w:tr>
        <w:trPr>
          <w:cantSplit/>
        </w:trPr>
        <w:tc>
          <w:tcPr>
            <w:tcW w:type="dxa" w:w="2160"/>
            <w:tcMar>
              <w:top w:w="80" w:type="dxa"/>
              <w:bottom w:w="80" w:type="dxa"/>
              <w:left w:w="120" w:type="dxa"/>
              <w:right w:w="120" w:type="dxa"/>
            </w:tcMar>
          </w:tcPr>
          <w:p>
            <w:r>
              <w:rPr>
                <w:b/>
                <w:sz w:val="19"/>
              </w:rPr>
              <w:t>ticker</w:t>
            </w:r>
          </w:p>
        </w:tc>
        <w:tc>
          <w:tcPr>
            <w:tcW w:type="dxa" w:w="1728"/>
            <w:tcMar>
              <w:top w:w="80" w:type="dxa"/>
              <w:bottom w:w="80" w:type="dxa"/>
              <w:left w:w="120" w:type="dxa"/>
              <w:right w:w="120" w:type="dxa"/>
            </w:tcMar>
          </w:tcPr>
          <w:p>
            <w:r>
              <w:rPr>
                <w:sz w:val="19"/>
              </w:rPr>
              <w:t>Varchar(20)</w:t>
            </w:r>
          </w:p>
        </w:tc>
        <w:tc>
          <w:tcPr>
            <w:tcW w:type="dxa" w:w="2592"/>
            <w:tcMar>
              <w:top w:w="80" w:type="dxa"/>
              <w:bottom w:w="80" w:type="dxa"/>
              <w:left w:w="120" w:type="dxa"/>
              <w:right w:w="120" w:type="dxa"/>
            </w:tcMar>
          </w:tcPr>
          <w:p>
            <w:r>
              <w:rPr>
                <w:sz w:val="19"/>
              </w:rPr>
              <w:t>NOT NULL, INDEXED</w:t>
            </w:r>
          </w:p>
        </w:tc>
        <w:tc>
          <w:tcPr>
            <w:tcW w:type="dxa" w:w="2880"/>
            <w:tcMar>
              <w:top w:w="80" w:type="dxa"/>
              <w:bottom w:w="80" w:type="dxa"/>
              <w:left w:w="120" w:type="dxa"/>
              <w:right w:w="120" w:type="dxa"/>
            </w:tcMar>
          </w:tcPr>
          <w:p>
            <w:r>
              <w:rPr>
                <w:sz w:val="19"/>
              </w:rPr>
              <w:t>Kode ticker unik saham yang ditransaksikan</w:t>
            </w:r>
          </w:p>
        </w:tc>
      </w:tr>
      <w:tr>
        <w:trPr>
          <w:cantSplit/>
        </w:trPr>
        <w:tc>
          <w:tcPr>
            <w:tcW w:type="dxa" w:w="2160"/>
            <w:tcMar>
              <w:top w:w="80" w:type="dxa"/>
              <w:bottom w:w="80" w:type="dxa"/>
              <w:left w:w="120" w:type="dxa"/>
              <w:right w:w="120" w:type="dxa"/>
            </w:tcMar>
            <w:shd w:fill="F7FAFC"/>
          </w:tcPr>
          <w:p>
            <w:r>
              <w:rPr>
                <w:b/>
                <w:sz w:val="19"/>
              </w:rPr>
              <w:t>type</w:t>
            </w:r>
          </w:p>
        </w:tc>
        <w:tc>
          <w:tcPr>
            <w:tcW w:type="dxa" w:w="1728"/>
            <w:tcMar>
              <w:top w:w="80" w:type="dxa"/>
              <w:bottom w:w="80" w:type="dxa"/>
              <w:left w:w="120" w:type="dxa"/>
              <w:right w:w="120" w:type="dxa"/>
            </w:tcMar>
            <w:shd w:fill="F7FAFC"/>
          </w:tcPr>
          <w:p>
            <w:r>
              <w:rPr>
                <w:sz w:val="19"/>
              </w:rPr>
              <w:t>Varchar(10)</w:t>
            </w:r>
          </w:p>
        </w:tc>
        <w:tc>
          <w:tcPr>
            <w:tcW w:type="dxa" w:w="2592"/>
            <w:tcMar>
              <w:top w:w="80" w:type="dxa"/>
              <w:bottom w:w="80" w:type="dxa"/>
              <w:left w:w="120" w:type="dxa"/>
              <w:right w:w="120" w:type="dxa"/>
            </w:tcMar>
            <w:shd w:fill="F7FAFC"/>
          </w:tcPr>
          <w:p>
            <w:r>
              <w:rPr>
                <w:sz w:val="19"/>
              </w:rPr>
              <w:t>NOT NULL</w:t>
            </w:r>
          </w:p>
        </w:tc>
        <w:tc>
          <w:tcPr>
            <w:tcW w:type="dxa" w:w="2880"/>
            <w:tcMar>
              <w:top w:w="80" w:type="dxa"/>
              <w:bottom w:w="80" w:type="dxa"/>
              <w:left w:w="120" w:type="dxa"/>
              <w:right w:w="120" w:type="dxa"/>
            </w:tcMar>
            <w:shd w:fill="F7FAFC"/>
          </w:tcPr>
          <w:p>
            <w:r>
              <w:rPr>
                <w:sz w:val="19"/>
              </w:rPr>
              <w:t>Jenis transaksi bursa: BUY atau SELL</w:t>
            </w:r>
          </w:p>
        </w:tc>
      </w:tr>
      <w:tr>
        <w:trPr>
          <w:cantSplit/>
        </w:trPr>
        <w:tc>
          <w:tcPr>
            <w:tcW w:type="dxa" w:w="2160"/>
            <w:tcMar>
              <w:top w:w="80" w:type="dxa"/>
              <w:bottom w:w="80" w:type="dxa"/>
              <w:left w:w="120" w:type="dxa"/>
              <w:right w:w="120" w:type="dxa"/>
            </w:tcMar>
          </w:tcPr>
          <w:p>
            <w:r>
              <w:rPr>
                <w:b/>
                <w:sz w:val="19"/>
              </w:rPr>
              <w:t>price</w:t>
            </w:r>
          </w:p>
        </w:tc>
        <w:tc>
          <w:tcPr>
            <w:tcW w:type="dxa" w:w="1728"/>
            <w:tcMar>
              <w:top w:w="80" w:type="dxa"/>
              <w:bottom w:w="80" w:type="dxa"/>
              <w:left w:w="120" w:type="dxa"/>
              <w:right w:w="120" w:type="dxa"/>
            </w:tcMar>
          </w:tcPr>
          <w:p>
            <w:r>
              <w:rPr>
                <w:sz w:val="19"/>
              </w:rPr>
              <w:t>Decimal(15,2)</w:t>
            </w:r>
          </w:p>
        </w:tc>
        <w:tc>
          <w:tcPr>
            <w:tcW w:type="dxa" w:w="2592"/>
            <w:tcMar>
              <w:top w:w="80" w:type="dxa"/>
              <w:bottom w:w="80" w:type="dxa"/>
              <w:left w:w="120" w:type="dxa"/>
              <w:right w:w="120" w:type="dxa"/>
            </w:tcMar>
          </w:tcPr>
          <w:p>
            <w:r>
              <w:rPr>
                <w:sz w:val="19"/>
              </w:rPr>
              <w:t>NOT NULL</w:t>
            </w:r>
          </w:p>
        </w:tc>
        <w:tc>
          <w:tcPr>
            <w:tcW w:type="dxa" w:w="2880"/>
            <w:tcMar>
              <w:top w:w="80" w:type="dxa"/>
              <w:bottom w:w="80" w:type="dxa"/>
              <w:left w:w="120" w:type="dxa"/>
              <w:right w:w="120" w:type="dxa"/>
            </w:tcMar>
          </w:tcPr>
          <w:p>
            <w:r>
              <w:rPr>
                <w:sz w:val="19"/>
              </w:rPr>
              <w:t>Harga pelaksanaan per lembar saham pada saat transaksi (IDR)</w:t>
            </w:r>
          </w:p>
        </w:tc>
      </w:tr>
      <w:tr>
        <w:trPr>
          <w:cantSplit/>
        </w:trPr>
        <w:tc>
          <w:tcPr>
            <w:tcW w:type="dxa" w:w="2160"/>
            <w:tcMar>
              <w:top w:w="80" w:type="dxa"/>
              <w:bottom w:w="80" w:type="dxa"/>
              <w:left w:w="120" w:type="dxa"/>
              <w:right w:w="120" w:type="dxa"/>
            </w:tcMar>
            <w:shd w:fill="F7FAFC"/>
          </w:tcPr>
          <w:p>
            <w:r>
              <w:rPr>
                <w:b/>
                <w:sz w:val="19"/>
              </w:rPr>
              <w:t>qty</w:t>
            </w:r>
          </w:p>
        </w:tc>
        <w:tc>
          <w:tcPr>
            <w:tcW w:type="dxa" w:w="1728"/>
            <w:tcMar>
              <w:top w:w="80" w:type="dxa"/>
              <w:bottom w:w="80" w:type="dxa"/>
              <w:left w:w="120" w:type="dxa"/>
              <w:right w:w="120" w:type="dxa"/>
            </w:tcMar>
            <w:shd w:fill="F7FAFC"/>
          </w:tcPr>
          <w:p>
            <w:r>
              <w:rPr>
                <w:sz w:val="19"/>
              </w:rPr>
              <w:t>Integer</w:t>
            </w:r>
          </w:p>
        </w:tc>
        <w:tc>
          <w:tcPr>
            <w:tcW w:type="dxa" w:w="2592"/>
            <w:tcMar>
              <w:top w:w="80" w:type="dxa"/>
              <w:bottom w:w="80" w:type="dxa"/>
              <w:left w:w="120" w:type="dxa"/>
              <w:right w:w="120" w:type="dxa"/>
            </w:tcMar>
            <w:shd w:fill="F7FAFC"/>
          </w:tcPr>
          <w:p>
            <w:r>
              <w:rPr>
                <w:sz w:val="19"/>
              </w:rPr>
              <w:t>NOT NULL</w:t>
            </w:r>
          </w:p>
        </w:tc>
        <w:tc>
          <w:tcPr>
            <w:tcW w:type="dxa" w:w="2880"/>
            <w:tcMar>
              <w:top w:w="80" w:type="dxa"/>
              <w:bottom w:w="80" w:type="dxa"/>
              <w:left w:w="120" w:type="dxa"/>
              <w:right w:w="120" w:type="dxa"/>
            </w:tcMar>
            <w:shd w:fill="F7FAFC"/>
          </w:tcPr>
          <w:p>
            <w:r>
              <w:rPr>
                <w:sz w:val="19"/>
              </w:rPr>
              <w:t>Jumlah volume lembar saham yang ditransaksikan</w:t>
            </w:r>
          </w:p>
        </w:tc>
      </w:tr>
      <w:tr>
        <w:trPr>
          <w:cantSplit/>
        </w:trPr>
        <w:tc>
          <w:tcPr>
            <w:tcW w:type="dxa" w:w="2160"/>
            <w:tcMar>
              <w:top w:w="80" w:type="dxa"/>
              <w:bottom w:w="80" w:type="dxa"/>
              <w:left w:w="120" w:type="dxa"/>
              <w:right w:w="120" w:type="dxa"/>
            </w:tcMar>
          </w:tcPr>
          <w:p>
            <w:r>
              <w:rPr>
                <w:b/>
                <w:sz w:val="19"/>
              </w:rPr>
              <w:t>fee</w:t>
            </w:r>
          </w:p>
        </w:tc>
        <w:tc>
          <w:tcPr>
            <w:tcW w:type="dxa" w:w="1728"/>
            <w:tcMar>
              <w:top w:w="80" w:type="dxa"/>
              <w:bottom w:w="80" w:type="dxa"/>
              <w:left w:w="120" w:type="dxa"/>
              <w:right w:w="120" w:type="dxa"/>
            </w:tcMar>
          </w:tcPr>
          <w:p>
            <w:r>
              <w:rPr>
                <w:sz w:val="19"/>
              </w:rPr>
              <w:t>Decimal(15,2)</w:t>
            </w:r>
          </w:p>
        </w:tc>
        <w:tc>
          <w:tcPr>
            <w:tcW w:type="dxa" w:w="2592"/>
            <w:tcMar>
              <w:top w:w="80" w:type="dxa"/>
              <w:bottom w:w="80" w:type="dxa"/>
              <w:left w:w="120" w:type="dxa"/>
              <w:right w:w="120" w:type="dxa"/>
            </w:tcMar>
          </w:tcPr>
          <w:p>
            <w:r>
              <w:rPr>
                <w:sz w:val="19"/>
              </w:rPr>
              <w:t>NOT NULL, DEFAULT 0.0</w:t>
            </w:r>
          </w:p>
        </w:tc>
        <w:tc>
          <w:tcPr>
            <w:tcW w:type="dxa" w:w="2880"/>
            <w:tcMar>
              <w:top w:w="80" w:type="dxa"/>
              <w:bottom w:w="80" w:type="dxa"/>
              <w:left w:w="120" w:type="dxa"/>
              <w:right w:w="120" w:type="dxa"/>
            </w:tcMar>
          </w:tcPr>
          <w:p>
            <w:r>
              <w:rPr>
                <w:sz w:val="19"/>
              </w:rPr>
              <w:t>Biaya broker &amp; pajak transaksi riil (0.15% beli, 0.25% jual)</w:t>
            </w:r>
          </w:p>
        </w:tc>
      </w:tr>
      <w:tr>
        <w:trPr>
          <w:cantSplit/>
        </w:trPr>
        <w:tc>
          <w:tcPr>
            <w:tcW w:type="dxa" w:w="2160"/>
            <w:tcMar>
              <w:top w:w="80" w:type="dxa"/>
              <w:bottom w:w="80" w:type="dxa"/>
              <w:left w:w="120" w:type="dxa"/>
              <w:right w:w="120" w:type="dxa"/>
            </w:tcMar>
            <w:shd w:fill="F7FAFC"/>
          </w:tcPr>
          <w:p>
            <w:r>
              <w:rPr>
                <w:b/>
                <w:sz w:val="19"/>
              </w:rPr>
              <w:t>net_value</w:t>
            </w:r>
          </w:p>
        </w:tc>
        <w:tc>
          <w:tcPr>
            <w:tcW w:type="dxa" w:w="1728"/>
            <w:tcMar>
              <w:top w:w="80" w:type="dxa"/>
              <w:bottom w:w="80" w:type="dxa"/>
              <w:left w:w="120" w:type="dxa"/>
              <w:right w:w="120" w:type="dxa"/>
            </w:tcMar>
            <w:shd w:fill="F7FAFC"/>
          </w:tcPr>
          <w:p>
            <w:r>
              <w:rPr>
                <w:sz w:val="19"/>
              </w:rPr>
              <w:t>Decimal(15,2)</w:t>
            </w:r>
          </w:p>
        </w:tc>
        <w:tc>
          <w:tcPr>
            <w:tcW w:type="dxa" w:w="2592"/>
            <w:tcMar>
              <w:top w:w="80" w:type="dxa"/>
              <w:bottom w:w="80" w:type="dxa"/>
              <w:left w:w="120" w:type="dxa"/>
              <w:right w:w="120" w:type="dxa"/>
            </w:tcMar>
            <w:shd w:fill="F7FAFC"/>
          </w:tcPr>
          <w:p>
            <w:r>
              <w:rPr>
                <w:sz w:val="19"/>
              </w:rPr>
              <w:t>NOT NULL, DEFAULT 0.0</w:t>
            </w:r>
          </w:p>
        </w:tc>
        <w:tc>
          <w:tcPr>
            <w:tcW w:type="dxa" w:w="2880"/>
            <w:tcMar>
              <w:top w:w="80" w:type="dxa"/>
              <w:bottom w:w="80" w:type="dxa"/>
              <w:left w:w="120" w:type="dxa"/>
              <w:right w:w="120" w:type="dxa"/>
            </w:tcMar>
            <w:shd w:fill="F7FAFC"/>
          </w:tcPr>
          <w:p>
            <w:r>
              <w:rPr>
                <w:sz w:val="19"/>
              </w:rPr>
              <w:t>Nilai bersih akhir kas setelah penyesuaian biaya transaksi</w:t>
            </w:r>
          </w:p>
        </w:tc>
      </w:tr>
      <w:tr>
        <w:trPr>
          <w:cantSplit/>
        </w:trPr>
        <w:tc>
          <w:tcPr>
            <w:tcW w:type="dxa" w:w="2160"/>
            <w:tcMar>
              <w:top w:w="80" w:type="dxa"/>
              <w:bottom w:w="80" w:type="dxa"/>
              <w:left w:w="120" w:type="dxa"/>
              <w:right w:w="120" w:type="dxa"/>
            </w:tcMar>
          </w:tcPr>
          <w:p>
            <w:r>
              <w:rPr>
                <w:b/>
                <w:sz w:val="19"/>
              </w:rPr>
              <w:t>timestamp</w:t>
            </w:r>
          </w:p>
        </w:tc>
        <w:tc>
          <w:tcPr>
            <w:tcW w:type="dxa" w:w="1728"/>
            <w:tcMar>
              <w:top w:w="80" w:type="dxa"/>
              <w:bottom w:w="80" w:type="dxa"/>
              <w:left w:w="120" w:type="dxa"/>
              <w:right w:w="120" w:type="dxa"/>
            </w:tcMar>
          </w:tcPr>
          <w:p>
            <w:r>
              <w:rPr>
                <w:sz w:val="19"/>
              </w:rPr>
              <w:t>Timestamp</w:t>
            </w:r>
          </w:p>
        </w:tc>
        <w:tc>
          <w:tcPr>
            <w:tcW w:type="dxa" w:w="2592"/>
            <w:tcMar>
              <w:top w:w="80" w:type="dxa"/>
              <w:bottom w:w="80" w:type="dxa"/>
              <w:left w:w="120" w:type="dxa"/>
              <w:right w:w="120" w:type="dxa"/>
            </w:tcMar>
          </w:tcPr>
          <w:p>
            <w:r>
              <w:rPr>
                <w:sz w:val="19"/>
              </w:rPr>
              <w:t>DEFAULT NOW()</w:t>
            </w:r>
          </w:p>
        </w:tc>
        <w:tc>
          <w:tcPr>
            <w:tcW w:type="dxa" w:w="2880"/>
            <w:tcMar>
              <w:top w:w="80" w:type="dxa"/>
              <w:bottom w:w="80" w:type="dxa"/>
              <w:left w:w="120" w:type="dxa"/>
              <w:right w:w="120" w:type="dxa"/>
            </w:tcMar>
          </w:tcPr>
          <w:p>
            <w:r>
              <w:rPr>
                <w:sz w:val="19"/>
              </w:rPr>
              <w:t>Waktu eksekusi transaksi dicatat oleh sistem</w:t>
            </w:r>
          </w:p>
        </w:tc>
      </w:tr>
    </w:tbl>
    <w:p>
      <w:pPr>
        <w:spacing w:after="240"/>
      </w:pPr>
    </w:p>
    <w:p>
      <w:pPr>
        <w:keepNext/>
        <w:spacing w:before="160" w:after="40"/>
      </w:pPr>
      <w:r>
        <w:rPr>
          <w:rFonts w:ascii="Calibri" w:hAnsi="Calibri"/>
          <w:b/>
          <w:i/>
          <w:color w:val="4A5568"/>
          <w:sz w:val="22"/>
        </w:rPr>
        <w:t>Tabel: corporate_action_flags (Sistem Proteksi &amp; Mitigasi Aksi Korporasi)</w:t>
      </w:r>
    </w:p>
    <w:tbl>
      <w:tblPr>
        <w:tblW w:type="auto" w:w="0"/>
        <w:jc w:val="center"/>
        <w:tblLook w:firstColumn="1" w:firstRow="1" w:lastColumn="0" w:lastRow="0" w:noHBand="0" w:noVBand="1" w:val="04A0"/>
        <w:tblBorders>
          <w:top w:val="single" w:sz="4" w:space="0" w:color="CCCCCC"/>
          <w:bottom w:val="single" w:sz="6" w:space="0" w:color="1B365D"/>
          <w:left w:val="none"/>
          <w:right w:val="none"/>
          <w:insideH w:val="single" w:sz="4" w:space="0" w:color="E5E5E5"/>
          <w:insideV w:val="none"/>
        </w:tblBorders>
      </w:tblPr>
      <w:tblGrid>
        <w:gridCol w:w="2340"/>
        <w:gridCol w:w="2340"/>
        <w:gridCol w:w="2340"/>
        <w:gridCol w:w="2340"/>
      </w:tblGrid>
      <w:tr>
        <w:trPr>
          <w:tblHeader/>
        </w:trPr>
        <w:tc>
          <w:tcPr>
            <w:tcW w:type="dxa" w:w="2160"/>
            <w:shd w:fill="1B365D"/>
            <w:tcMar>
              <w:top w:w="120" w:type="dxa"/>
              <w:bottom w:w="120" w:type="dxa"/>
              <w:left w:w="150" w:type="dxa"/>
              <w:right w:w="150" w:type="dxa"/>
            </w:tcMar>
          </w:tcPr>
          <w:p>
            <w:pPr>
              <w:jc w:val="center"/>
            </w:pPr>
            <w:r>
              <w:rPr>
                <w:b/>
                <w:color w:val="FFFFFF"/>
                <w:sz w:val="20"/>
              </w:rPr>
              <w:t>Nama Kolom</w:t>
            </w:r>
          </w:p>
        </w:tc>
        <w:tc>
          <w:tcPr>
            <w:tcW w:type="dxa" w:w="1728"/>
            <w:shd w:fill="1B365D"/>
            <w:tcMar>
              <w:top w:w="120" w:type="dxa"/>
              <w:bottom w:w="120" w:type="dxa"/>
              <w:left w:w="150" w:type="dxa"/>
              <w:right w:w="150" w:type="dxa"/>
            </w:tcMar>
          </w:tcPr>
          <w:p>
            <w:pPr>
              <w:jc w:val="center"/>
            </w:pPr>
            <w:r>
              <w:rPr>
                <w:b/>
                <w:color w:val="FFFFFF"/>
                <w:sz w:val="20"/>
              </w:rPr>
              <w:t>Tipe Data</w:t>
            </w:r>
          </w:p>
        </w:tc>
        <w:tc>
          <w:tcPr>
            <w:tcW w:type="dxa" w:w="2592"/>
            <w:shd w:fill="1B365D"/>
            <w:tcMar>
              <w:top w:w="120" w:type="dxa"/>
              <w:bottom w:w="120" w:type="dxa"/>
              <w:left w:w="150" w:type="dxa"/>
              <w:right w:w="150" w:type="dxa"/>
            </w:tcMar>
          </w:tcPr>
          <w:p>
            <w:pPr>
              <w:jc w:val="center"/>
            </w:pPr>
            <w:r>
              <w:rPr>
                <w:b/>
                <w:color w:val="FFFFFF"/>
                <w:sz w:val="20"/>
              </w:rPr>
              <w:t>Batasan (Constraints)</w:t>
            </w:r>
          </w:p>
        </w:tc>
        <w:tc>
          <w:tcPr>
            <w:tcW w:type="dxa" w:w="2880"/>
            <w:shd w:fill="1B365D"/>
            <w:tcMar>
              <w:top w:w="120" w:type="dxa"/>
              <w:bottom w:w="120" w:type="dxa"/>
              <w:left w:w="150" w:type="dxa"/>
              <w:right w:w="150" w:type="dxa"/>
            </w:tcMar>
          </w:tcPr>
          <w:p>
            <w:pPr>
              <w:jc w:val="center"/>
            </w:pPr>
            <w:r>
              <w:rPr>
                <w:b/>
                <w:color w:val="FFFFFF"/>
                <w:sz w:val="20"/>
              </w:rPr>
              <w:t>Penjelasan / Keterangan</w:t>
            </w:r>
          </w:p>
        </w:tc>
      </w:tr>
      <w:tr>
        <w:trPr>
          <w:cantSplit/>
        </w:trPr>
        <w:tc>
          <w:tcPr>
            <w:tcW w:type="dxa" w:w="2160"/>
            <w:tcMar>
              <w:top w:w="80" w:type="dxa"/>
              <w:bottom w:w="80" w:type="dxa"/>
              <w:left w:w="120" w:type="dxa"/>
              <w:right w:w="120" w:type="dxa"/>
            </w:tcMar>
          </w:tcPr>
          <w:p>
            <w:r>
              <w:rPr>
                <w:b/>
                <w:sz w:val="19"/>
              </w:rPr>
              <w:t>id</w:t>
            </w:r>
          </w:p>
        </w:tc>
        <w:tc>
          <w:tcPr>
            <w:tcW w:type="dxa" w:w="1728"/>
            <w:tcMar>
              <w:top w:w="80" w:type="dxa"/>
              <w:bottom w:w="80" w:type="dxa"/>
              <w:left w:w="120" w:type="dxa"/>
              <w:right w:w="120" w:type="dxa"/>
            </w:tcMar>
          </w:tcPr>
          <w:p>
            <w:r>
              <w:rPr>
                <w:sz w:val="19"/>
              </w:rPr>
              <w:t>Integer</w:t>
            </w:r>
          </w:p>
        </w:tc>
        <w:tc>
          <w:tcPr>
            <w:tcW w:type="dxa" w:w="2592"/>
            <w:tcMar>
              <w:top w:w="80" w:type="dxa"/>
              <w:bottom w:w="80" w:type="dxa"/>
              <w:left w:w="120" w:type="dxa"/>
              <w:right w:w="120" w:type="dxa"/>
            </w:tcMar>
          </w:tcPr>
          <w:p>
            <w:r>
              <w:rPr>
                <w:sz w:val="19"/>
              </w:rPr>
              <w:t>PRIMARY KEY, AUTO_INCREMENT</w:t>
            </w:r>
          </w:p>
        </w:tc>
        <w:tc>
          <w:tcPr>
            <w:tcW w:type="dxa" w:w="2880"/>
            <w:tcMar>
              <w:top w:w="80" w:type="dxa"/>
              <w:bottom w:w="80" w:type="dxa"/>
              <w:left w:w="120" w:type="dxa"/>
              <w:right w:w="120" w:type="dxa"/>
            </w:tcMar>
          </w:tcPr>
          <w:p>
            <w:r>
              <w:rPr>
                <w:sz w:val="19"/>
              </w:rPr>
              <w:t>ID unik pencatatan bendera aksi korporasi</w:t>
            </w:r>
          </w:p>
        </w:tc>
      </w:tr>
      <w:tr>
        <w:trPr>
          <w:cantSplit/>
        </w:trPr>
        <w:tc>
          <w:tcPr>
            <w:tcW w:type="dxa" w:w="2160"/>
            <w:tcMar>
              <w:top w:w="80" w:type="dxa"/>
              <w:bottom w:w="80" w:type="dxa"/>
              <w:left w:w="120" w:type="dxa"/>
              <w:right w:w="120" w:type="dxa"/>
            </w:tcMar>
            <w:shd w:fill="F7FAFC"/>
          </w:tcPr>
          <w:p>
            <w:r>
              <w:rPr>
                <w:b/>
                <w:sz w:val="19"/>
              </w:rPr>
              <w:t>ticker</w:t>
            </w:r>
          </w:p>
        </w:tc>
        <w:tc>
          <w:tcPr>
            <w:tcW w:type="dxa" w:w="1728"/>
            <w:tcMar>
              <w:top w:w="80" w:type="dxa"/>
              <w:bottom w:w="80" w:type="dxa"/>
              <w:left w:w="120" w:type="dxa"/>
              <w:right w:w="120" w:type="dxa"/>
            </w:tcMar>
            <w:shd w:fill="F7FAFC"/>
          </w:tcPr>
          <w:p>
            <w:r>
              <w:rPr>
                <w:sz w:val="19"/>
              </w:rPr>
              <w:t>Varchar(20)</w:t>
            </w:r>
          </w:p>
        </w:tc>
        <w:tc>
          <w:tcPr>
            <w:tcW w:type="dxa" w:w="2592"/>
            <w:tcMar>
              <w:top w:w="80" w:type="dxa"/>
              <w:bottom w:w="80" w:type="dxa"/>
              <w:left w:w="120" w:type="dxa"/>
              <w:right w:w="120" w:type="dxa"/>
            </w:tcMar>
            <w:shd w:fill="F7FAFC"/>
          </w:tcPr>
          <w:p>
            <w:r>
              <w:rPr>
                <w:sz w:val="19"/>
              </w:rPr>
              <w:t>NOT NULL, INDEXED</w:t>
            </w:r>
          </w:p>
        </w:tc>
        <w:tc>
          <w:tcPr>
            <w:tcW w:type="dxa" w:w="2880"/>
            <w:tcMar>
              <w:top w:w="80" w:type="dxa"/>
              <w:bottom w:w="80" w:type="dxa"/>
              <w:left w:w="120" w:type="dxa"/>
              <w:right w:w="120" w:type="dxa"/>
            </w:tcMar>
            <w:shd w:fill="F7FAFC"/>
          </w:tcPr>
          <w:p>
            <w:r>
              <w:rPr>
                <w:sz w:val="19"/>
              </w:rPr>
              <w:t>Kode ticker saham terdeteksi anomali ekstrem</w:t>
            </w:r>
          </w:p>
        </w:tc>
      </w:tr>
      <w:tr>
        <w:trPr>
          <w:cantSplit/>
        </w:trPr>
        <w:tc>
          <w:tcPr>
            <w:tcW w:type="dxa" w:w="2160"/>
            <w:tcMar>
              <w:top w:w="80" w:type="dxa"/>
              <w:bottom w:w="80" w:type="dxa"/>
              <w:left w:w="120" w:type="dxa"/>
              <w:right w:w="120" w:type="dxa"/>
            </w:tcMar>
          </w:tcPr>
          <w:p>
            <w:r>
              <w:rPr>
                <w:b/>
                <w:sz w:val="19"/>
              </w:rPr>
              <w:t>prev_close</w:t>
            </w:r>
          </w:p>
        </w:tc>
        <w:tc>
          <w:tcPr>
            <w:tcW w:type="dxa" w:w="1728"/>
            <w:tcMar>
              <w:top w:w="80" w:type="dxa"/>
              <w:bottom w:w="80" w:type="dxa"/>
              <w:left w:w="120" w:type="dxa"/>
              <w:right w:w="120" w:type="dxa"/>
            </w:tcMar>
          </w:tcPr>
          <w:p>
            <w:r>
              <w:rPr>
                <w:sz w:val="19"/>
              </w:rPr>
              <w:t>Decimal(15,2)</w:t>
            </w:r>
          </w:p>
        </w:tc>
        <w:tc>
          <w:tcPr>
            <w:tcW w:type="dxa" w:w="2592"/>
            <w:tcMar>
              <w:top w:w="80" w:type="dxa"/>
              <w:bottom w:w="80" w:type="dxa"/>
              <w:left w:w="120" w:type="dxa"/>
              <w:right w:w="120" w:type="dxa"/>
            </w:tcMar>
          </w:tcPr>
          <w:p>
            <w:r>
              <w:rPr>
                <w:sz w:val="19"/>
              </w:rPr>
              <w:t>NULLABLE</w:t>
            </w:r>
          </w:p>
        </w:tc>
        <w:tc>
          <w:tcPr>
            <w:tcW w:type="dxa" w:w="2880"/>
            <w:tcMar>
              <w:top w:w="80" w:type="dxa"/>
              <w:bottom w:w="80" w:type="dxa"/>
              <w:left w:w="120" w:type="dxa"/>
              <w:right w:w="120" w:type="dxa"/>
            </w:tcMar>
          </w:tcPr>
          <w:p>
            <w:r>
              <w:rPr>
                <w:sz w:val="19"/>
              </w:rPr>
              <w:t>Harga penutupan hari bursa sebelumnya (IDR)</w:t>
            </w:r>
          </w:p>
        </w:tc>
      </w:tr>
      <w:tr>
        <w:trPr>
          <w:cantSplit/>
        </w:trPr>
        <w:tc>
          <w:tcPr>
            <w:tcW w:type="dxa" w:w="2160"/>
            <w:tcMar>
              <w:top w:w="80" w:type="dxa"/>
              <w:bottom w:w="80" w:type="dxa"/>
              <w:left w:w="120" w:type="dxa"/>
              <w:right w:w="120" w:type="dxa"/>
            </w:tcMar>
            <w:shd w:fill="F7FAFC"/>
          </w:tcPr>
          <w:p>
            <w:r>
              <w:rPr>
                <w:b/>
                <w:sz w:val="19"/>
              </w:rPr>
              <w:t>curr_close</w:t>
            </w:r>
          </w:p>
        </w:tc>
        <w:tc>
          <w:tcPr>
            <w:tcW w:type="dxa" w:w="1728"/>
            <w:tcMar>
              <w:top w:w="80" w:type="dxa"/>
              <w:bottom w:w="80" w:type="dxa"/>
              <w:left w:w="120" w:type="dxa"/>
              <w:right w:w="120" w:type="dxa"/>
            </w:tcMar>
            <w:shd w:fill="F7FAFC"/>
          </w:tcPr>
          <w:p>
            <w:r>
              <w:rPr>
                <w:sz w:val="19"/>
              </w:rPr>
              <w:t>Decimal(15,2)</w:t>
            </w:r>
          </w:p>
        </w:tc>
        <w:tc>
          <w:tcPr>
            <w:tcW w:type="dxa" w:w="2592"/>
            <w:tcMar>
              <w:top w:w="80" w:type="dxa"/>
              <w:bottom w:w="80" w:type="dxa"/>
              <w:left w:w="120" w:type="dxa"/>
              <w:right w:w="120" w:type="dxa"/>
            </w:tcMar>
            <w:shd w:fill="F7FAFC"/>
          </w:tcPr>
          <w:p>
            <w:r>
              <w:rPr>
                <w:sz w:val="19"/>
              </w:rPr>
              <w:t>NULLABLE</w:t>
            </w:r>
          </w:p>
        </w:tc>
        <w:tc>
          <w:tcPr>
            <w:tcW w:type="dxa" w:w="2880"/>
            <w:tcMar>
              <w:top w:w="80" w:type="dxa"/>
              <w:bottom w:w="80" w:type="dxa"/>
              <w:left w:w="120" w:type="dxa"/>
              <w:right w:w="120" w:type="dxa"/>
            </w:tcMar>
            <w:shd w:fill="F7FAFC"/>
          </w:tcPr>
          <w:p>
            <w:r>
              <w:rPr>
                <w:sz w:val="19"/>
              </w:rPr>
              <w:t>Harga penutupan hari bursa saat ini terdeteksi anomali (IDR)</w:t>
            </w:r>
          </w:p>
        </w:tc>
      </w:tr>
      <w:tr>
        <w:trPr>
          <w:cantSplit/>
        </w:trPr>
        <w:tc>
          <w:tcPr>
            <w:tcW w:type="dxa" w:w="2160"/>
            <w:tcMar>
              <w:top w:w="80" w:type="dxa"/>
              <w:bottom w:w="80" w:type="dxa"/>
              <w:left w:w="120" w:type="dxa"/>
              <w:right w:w="120" w:type="dxa"/>
            </w:tcMar>
          </w:tcPr>
          <w:p>
            <w:r>
              <w:rPr>
                <w:b/>
                <w:sz w:val="19"/>
              </w:rPr>
              <w:t>change_pct</w:t>
            </w:r>
          </w:p>
        </w:tc>
        <w:tc>
          <w:tcPr>
            <w:tcW w:type="dxa" w:w="1728"/>
            <w:tcMar>
              <w:top w:w="80" w:type="dxa"/>
              <w:bottom w:w="80" w:type="dxa"/>
              <w:left w:w="120" w:type="dxa"/>
              <w:right w:w="120" w:type="dxa"/>
            </w:tcMar>
          </w:tcPr>
          <w:p>
            <w:r>
              <w:rPr>
                <w:sz w:val="19"/>
              </w:rPr>
              <w:t>Decimal(5,2)</w:t>
            </w:r>
          </w:p>
        </w:tc>
        <w:tc>
          <w:tcPr>
            <w:tcW w:type="dxa" w:w="2592"/>
            <w:tcMar>
              <w:top w:w="80" w:type="dxa"/>
              <w:bottom w:w="80" w:type="dxa"/>
              <w:left w:w="120" w:type="dxa"/>
              <w:right w:w="120" w:type="dxa"/>
            </w:tcMar>
          </w:tcPr>
          <w:p>
            <w:r>
              <w:rPr>
                <w:sz w:val="19"/>
              </w:rPr>
              <w:t>NULLABLE</w:t>
            </w:r>
          </w:p>
        </w:tc>
        <w:tc>
          <w:tcPr>
            <w:tcW w:type="dxa" w:w="2880"/>
            <w:tcMar>
              <w:top w:w="80" w:type="dxa"/>
              <w:bottom w:w="80" w:type="dxa"/>
              <w:left w:w="120" w:type="dxa"/>
              <w:right w:w="120" w:type="dxa"/>
            </w:tcMar>
          </w:tcPr>
          <w:p>
            <w:r>
              <w:rPr>
                <w:sz w:val="19"/>
              </w:rPr>
              <w:t>Persentase perubahan harga ekstrim (&gt;35% dalam sehari)</w:t>
            </w:r>
          </w:p>
        </w:tc>
      </w:tr>
      <w:tr>
        <w:trPr>
          <w:cantSplit/>
        </w:trPr>
        <w:tc>
          <w:tcPr>
            <w:tcW w:type="dxa" w:w="2160"/>
            <w:tcMar>
              <w:top w:w="80" w:type="dxa"/>
              <w:bottom w:w="80" w:type="dxa"/>
              <w:left w:w="120" w:type="dxa"/>
              <w:right w:w="120" w:type="dxa"/>
            </w:tcMar>
            <w:shd w:fill="F7FAFC"/>
          </w:tcPr>
          <w:p>
            <w:r>
              <w:rPr>
                <w:b/>
                <w:sz w:val="19"/>
              </w:rPr>
              <w:t>is_resolved</w:t>
            </w:r>
          </w:p>
        </w:tc>
        <w:tc>
          <w:tcPr>
            <w:tcW w:type="dxa" w:w="1728"/>
            <w:tcMar>
              <w:top w:w="80" w:type="dxa"/>
              <w:bottom w:w="80" w:type="dxa"/>
              <w:left w:w="120" w:type="dxa"/>
              <w:right w:w="120" w:type="dxa"/>
            </w:tcMar>
            <w:shd w:fill="F7FAFC"/>
          </w:tcPr>
          <w:p>
            <w:r>
              <w:rPr>
                <w:sz w:val="19"/>
              </w:rPr>
              <w:t>Boolean</w:t>
            </w:r>
          </w:p>
        </w:tc>
        <w:tc>
          <w:tcPr>
            <w:tcW w:type="dxa" w:w="2592"/>
            <w:tcMar>
              <w:top w:w="80" w:type="dxa"/>
              <w:bottom w:w="80" w:type="dxa"/>
              <w:left w:w="120" w:type="dxa"/>
              <w:right w:w="120" w:type="dxa"/>
            </w:tcMar>
            <w:shd w:fill="F7FAFC"/>
          </w:tcPr>
          <w:p>
            <w:r>
              <w:rPr>
                <w:sz w:val="19"/>
              </w:rPr>
              <w:t>DEFAULT False, NOT NULL</w:t>
            </w:r>
          </w:p>
        </w:tc>
        <w:tc>
          <w:tcPr>
            <w:tcW w:type="dxa" w:w="2880"/>
            <w:tcMar>
              <w:top w:w="80" w:type="dxa"/>
              <w:bottom w:w="80" w:type="dxa"/>
              <w:left w:w="120" w:type="dxa"/>
              <w:right w:w="120" w:type="dxa"/>
            </w:tcMar>
            <w:shd w:fill="F7FAFC"/>
          </w:tcPr>
          <w:p>
            <w:r>
              <w:rPr>
                <w:sz w:val="19"/>
              </w:rPr>
              <w:t>Status resolusi manual oleh Administrator (True jika selesai)</w:t>
            </w:r>
          </w:p>
        </w:tc>
      </w:tr>
      <w:tr>
        <w:trPr>
          <w:cantSplit/>
        </w:trPr>
        <w:tc>
          <w:tcPr>
            <w:tcW w:type="dxa" w:w="2160"/>
            <w:tcMar>
              <w:top w:w="80" w:type="dxa"/>
              <w:bottom w:w="80" w:type="dxa"/>
              <w:left w:w="120" w:type="dxa"/>
              <w:right w:w="120" w:type="dxa"/>
            </w:tcMar>
          </w:tcPr>
          <w:p>
            <w:r>
              <w:rPr>
                <w:b/>
                <w:sz w:val="19"/>
              </w:rPr>
              <w:t>action_type</w:t>
            </w:r>
          </w:p>
        </w:tc>
        <w:tc>
          <w:tcPr>
            <w:tcW w:type="dxa" w:w="1728"/>
            <w:tcMar>
              <w:top w:w="80" w:type="dxa"/>
              <w:bottom w:w="80" w:type="dxa"/>
              <w:left w:w="120" w:type="dxa"/>
              <w:right w:w="120" w:type="dxa"/>
            </w:tcMar>
          </w:tcPr>
          <w:p>
            <w:r>
              <w:rPr>
                <w:sz w:val="19"/>
              </w:rPr>
              <w:t>Varchar(50)</w:t>
            </w:r>
          </w:p>
        </w:tc>
        <w:tc>
          <w:tcPr>
            <w:tcW w:type="dxa" w:w="2592"/>
            <w:tcMar>
              <w:top w:w="80" w:type="dxa"/>
              <w:bottom w:w="80" w:type="dxa"/>
              <w:left w:w="120" w:type="dxa"/>
              <w:right w:w="120" w:type="dxa"/>
            </w:tcMar>
          </w:tcPr>
          <w:p>
            <w:r>
              <w:rPr>
                <w:sz w:val="19"/>
              </w:rPr>
              <w:t>NULLABLE</w:t>
            </w:r>
          </w:p>
        </w:tc>
        <w:tc>
          <w:tcPr>
            <w:tcW w:type="dxa" w:w="2880"/>
            <w:tcMar>
              <w:top w:w="80" w:type="dxa"/>
              <w:bottom w:w="80" w:type="dxa"/>
              <w:left w:w="120" w:type="dxa"/>
              <w:right w:w="120" w:type="dxa"/>
            </w:tcMar>
          </w:tcPr>
          <w:p>
            <w:r>
              <w:rPr>
                <w:sz w:val="19"/>
              </w:rPr>
              <w:t>Jenis aksi tervalidasi: stock_split, reverse_split, normal_drop</w:t>
            </w:r>
          </w:p>
        </w:tc>
      </w:tr>
      <w:tr>
        <w:trPr>
          <w:cantSplit/>
        </w:trPr>
        <w:tc>
          <w:tcPr>
            <w:tcW w:type="dxa" w:w="2160"/>
            <w:tcMar>
              <w:top w:w="80" w:type="dxa"/>
              <w:bottom w:w="80" w:type="dxa"/>
              <w:left w:w="120" w:type="dxa"/>
              <w:right w:w="120" w:type="dxa"/>
            </w:tcMar>
            <w:shd w:fill="F7FAFC"/>
          </w:tcPr>
          <w:p>
            <w:r>
              <w:rPr>
                <w:b/>
                <w:sz w:val="19"/>
              </w:rPr>
              <w:t>split_ratio</w:t>
            </w:r>
          </w:p>
        </w:tc>
        <w:tc>
          <w:tcPr>
            <w:tcW w:type="dxa" w:w="1728"/>
            <w:tcMar>
              <w:top w:w="80" w:type="dxa"/>
              <w:bottom w:w="80" w:type="dxa"/>
              <w:left w:w="120" w:type="dxa"/>
              <w:right w:w="120" w:type="dxa"/>
            </w:tcMar>
            <w:shd w:fill="F7FAFC"/>
          </w:tcPr>
          <w:p>
            <w:r>
              <w:rPr>
                <w:sz w:val="19"/>
              </w:rPr>
              <w:t>Decimal(10,4)</w:t>
            </w:r>
          </w:p>
        </w:tc>
        <w:tc>
          <w:tcPr>
            <w:tcW w:type="dxa" w:w="2592"/>
            <w:tcMar>
              <w:top w:w="80" w:type="dxa"/>
              <w:bottom w:w="80" w:type="dxa"/>
              <w:left w:w="120" w:type="dxa"/>
              <w:right w:w="120" w:type="dxa"/>
            </w:tcMar>
            <w:shd w:fill="F7FAFC"/>
          </w:tcPr>
          <w:p>
            <w:r>
              <w:rPr>
                <w:sz w:val="19"/>
              </w:rPr>
              <w:t>NULLABLE</w:t>
            </w:r>
          </w:p>
        </w:tc>
        <w:tc>
          <w:tcPr>
            <w:tcW w:type="dxa" w:w="2880"/>
            <w:tcMar>
              <w:top w:w="80" w:type="dxa"/>
              <w:bottom w:w="80" w:type="dxa"/>
              <w:left w:w="120" w:type="dxa"/>
              <w:right w:w="120" w:type="dxa"/>
            </w:tcMar>
            <w:shd w:fill="F7FAFC"/>
          </w:tcPr>
          <w:p>
            <w:r>
              <w:rPr>
                <w:sz w:val="19"/>
              </w:rPr>
              <w:t>Rasio pemecahan nilai saham (contoh: 5.0 untuk split 1:5)</w:t>
            </w:r>
          </w:p>
        </w:tc>
      </w:tr>
      <w:tr>
        <w:trPr>
          <w:cantSplit/>
        </w:trPr>
        <w:tc>
          <w:tcPr>
            <w:tcW w:type="dxa" w:w="2160"/>
            <w:tcMar>
              <w:top w:w="80" w:type="dxa"/>
              <w:bottom w:w="80" w:type="dxa"/>
              <w:left w:w="120" w:type="dxa"/>
              <w:right w:w="120" w:type="dxa"/>
            </w:tcMar>
          </w:tcPr>
          <w:p>
            <w:r>
              <w:rPr>
                <w:b/>
                <w:sz w:val="19"/>
              </w:rPr>
              <w:t>admin_notes</w:t>
            </w:r>
          </w:p>
        </w:tc>
        <w:tc>
          <w:tcPr>
            <w:tcW w:type="dxa" w:w="1728"/>
            <w:tcMar>
              <w:top w:w="80" w:type="dxa"/>
              <w:bottom w:w="80" w:type="dxa"/>
              <w:left w:w="120" w:type="dxa"/>
              <w:right w:w="120" w:type="dxa"/>
            </w:tcMar>
          </w:tcPr>
          <w:p>
            <w:r>
              <w:rPr>
                <w:sz w:val="19"/>
              </w:rPr>
              <w:t>Text</w:t>
            </w:r>
          </w:p>
        </w:tc>
        <w:tc>
          <w:tcPr>
            <w:tcW w:type="dxa" w:w="2592"/>
            <w:tcMar>
              <w:top w:w="80" w:type="dxa"/>
              <w:bottom w:w="80" w:type="dxa"/>
              <w:left w:w="120" w:type="dxa"/>
              <w:right w:w="120" w:type="dxa"/>
            </w:tcMar>
          </w:tcPr>
          <w:p>
            <w:r>
              <w:rPr>
                <w:sz w:val="19"/>
              </w:rPr>
              <w:t>NULLABLE</w:t>
            </w:r>
          </w:p>
        </w:tc>
        <w:tc>
          <w:tcPr>
            <w:tcW w:type="dxa" w:w="2880"/>
            <w:tcMar>
              <w:top w:w="80" w:type="dxa"/>
              <w:bottom w:w="80" w:type="dxa"/>
              <w:left w:w="120" w:type="dxa"/>
              <w:right w:w="120" w:type="dxa"/>
            </w:tcMar>
          </w:tcPr>
          <w:p>
            <w:r>
              <w:rPr>
                <w:sz w:val="19"/>
              </w:rPr>
              <w:t>Catatan analisis manual oleh Administrator</w:t>
            </w:r>
          </w:p>
        </w:tc>
      </w:tr>
      <w:tr>
        <w:trPr>
          <w:cantSplit/>
        </w:trPr>
        <w:tc>
          <w:tcPr>
            <w:tcW w:type="dxa" w:w="2160"/>
            <w:tcMar>
              <w:top w:w="80" w:type="dxa"/>
              <w:bottom w:w="80" w:type="dxa"/>
              <w:left w:w="120" w:type="dxa"/>
              <w:right w:w="120" w:type="dxa"/>
            </w:tcMar>
            <w:shd w:fill="F7FAFC"/>
          </w:tcPr>
          <w:p>
            <w:r>
              <w:rPr>
                <w:b/>
                <w:sz w:val="19"/>
              </w:rPr>
              <w:t>detected_at</w:t>
            </w:r>
          </w:p>
        </w:tc>
        <w:tc>
          <w:tcPr>
            <w:tcW w:type="dxa" w:w="1728"/>
            <w:tcMar>
              <w:top w:w="80" w:type="dxa"/>
              <w:bottom w:w="80" w:type="dxa"/>
              <w:left w:w="120" w:type="dxa"/>
              <w:right w:w="120" w:type="dxa"/>
            </w:tcMar>
            <w:shd w:fill="F7FAFC"/>
          </w:tcPr>
          <w:p>
            <w:r>
              <w:rPr>
                <w:sz w:val="19"/>
              </w:rPr>
              <w:t>Timestamp</w:t>
            </w:r>
          </w:p>
        </w:tc>
        <w:tc>
          <w:tcPr>
            <w:tcW w:type="dxa" w:w="2592"/>
            <w:tcMar>
              <w:top w:w="80" w:type="dxa"/>
              <w:bottom w:w="80" w:type="dxa"/>
              <w:left w:w="120" w:type="dxa"/>
              <w:right w:w="120" w:type="dxa"/>
            </w:tcMar>
            <w:shd w:fill="F7FAFC"/>
          </w:tcPr>
          <w:p>
            <w:r>
              <w:rPr>
                <w:sz w:val="19"/>
              </w:rPr>
              <w:t>DEFAULT NOW()</w:t>
            </w:r>
          </w:p>
        </w:tc>
        <w:tc>
          <w:tcPr>
            <w:tcW w:type="dxa" w:w="2880"/>
            <w:tcMar>
              <w:top w:w="80" w:type="dxa"/>
              <w:bottom w:w="80" w:type="dxa"/>
              <w:left w:w="120" w:type="dxa"/>
              <w:right w:w="120" w:type="dxa"/>
            </w:tcMar>
            <w:shd w:fill="F7FAFC"/>
          </w:tcPr>
          <w:p>
            <w:r>
              <w:rPr>
                <w:sz w:val="19"/>
              </w:rPr>
              <w:t>Waktu sistem mendeteksi lonjakan harga ekstrim harian</w:t>
            </w:r>
          </w:p>
        </w:tc>
      </w:tr>
      <w:tr>
        <w:trPr>
          <w:cantSplit/>
        </w:trPr>
        <w:tc>
          <w:tcPr>
            <w:tcW w:type="dxa" w:w="2160"/>
            <w:tcMar>
              <w:top w:w="80" w:type="dxa"/>
              <w:bottom w:w="80" w:type="dxa"/>
              <w:left w:w="120" w:type="dxa"/>
              <w:right w:w="120" w:type="dxa"/>
            </w:tcMar>
          </w:tcPr>
          <w:p>
            <w:r>
              <w:rPr>
                <w:b/>
                <w:sz w:val="19"/>
              </w:rPr>
              <w:t>resolved_at</w:t>
            </w:r>
          </w:p>
        </w:tc>
        <w:tc>
          <w:tcPr>
            <w:tcW w:type="dxa" w:w="1728"/>
            <w:tcMar>
              <w:top w:w="80" w:type="dxa"/>
              <w:bottom w:w="80" w:type="dxa"/>
              <w:left w:w="120" w:type="dxa"/>
              <w:right w:w="120" w:type="dxa"/>
            </w:tcMar>
          </w:tcPr>
          <w:p>
            <w:r>
              <w:rPr>
                <w:sz w:val="19"/>
              </w:rPr>
              <w:t>Timestamp</w:t>
            </w:r>
          </w:p>
        </w:tc>
        <w:tc>
          <w:tcPr>
            <w:tcW w:type="dxa" w:w="2592"/>
            <w:tcMar>
              <w:top w:w="80" w:type="dxa"/>
              <w:bottom w:w="80" w:type="dxa"/>
              <w:left w:w="120" w:type="dxa"/>
              <w:right w:w="120" w:type="dxa"/>
            </w:tcMar>
          </w:tcPr>
          <w:p>
            <w:r>
              <w:rPr>
                <w:sz w:val="19"/>
              </w:rPr>
              <w:t>NULLABLE</w:t>
            </w:r>
          </w:p>
        </w:tc>
        <w:tc>
          <w:tcPr>
            <w:tcW w:type="dxa" w:w="2880"/>
            <w:tcMar>
              <w:top w:w="80" w:type="dxa"/>
              <w:bottom w:w="80" w:type="dxa"/>
              <w:left w:w="120" w:type="dxa"/>
              <w:right w:w="120" w:type="dxa"/>
            </w:tcMar>
          </w:tcPr>
          <w:p>
            <w:r>
              <w:rPr>
                <w:sz w:val="19"/>
              </w:rPr>
              <w:t>Waktu eksekusi aksi penyelarasan portofolio oleh Administrator</w:t>
            </w:r>
          </w:p>
        </w:tc>
      </w:tr>
    </w:tbl>
    <w:p>
      <w:pPr>
        <w:spacing w:after="240"/>
      </w:pPr>
    </w:p>
    <w:p>
      <w:pPr>
        <w:keepNext/>
        <w:spacing w:before="160" w:after="40"/>
      </w:pPr>
      <w:r>
        <w:rPr>
          <w:rFonts w:ascii="Calibri" w:hAnsi="Calibri"/>
          <w:b/>
          <w:i/>
          <w:color w:val="4A5568"/>
          <w:sz w:val="22"/>
        </w:rPr>
        <w:t>Tabel: financial_history (Riwayat Fundamental Laporan Keuangan)</w:t>
      </w:r>
    </w:p>
    <w:tbl>
      <w:tblPr>
        <w:tblW w:type="auto" w:w="0"/>
        <w:jc w:val="center"/>
        <w:tblLook w:firstColumn="1" w:firstRow="1" w:lastColumn="0" w:lastRow="0" w:noHBand="0" w:noVBand="1" w:val="04A0"/>
        <w:tblBorders>
          <w:top w:val="single" w:sz="4" w:space="0" w:color="CCCCCC"/>
          <w:bottom w:val="single" w:sz="6" w:space="0" w:color="1B365D"/>
          <w:left w:val="none"/>
          <w:right w:val="none"/>
          <w:insideH w:val="single" w:sz="4" w:space="0" w:color="E5E5E5"/>
          <w:insideV w:val="none"/>
        </w:tblBorders>
      </w:tblPr>
      <w:tblGrid>
        <w:gridCol w:w="2340"/>
        <w:gridCol w:w="2340"/>
        <w:gridCol w:w="2340"/>
        <w:gridCol w:w="2340"/>
      </w:tblGrid>
      <w:tr>
        <w:trPr>
          <w:tblHeader/>
        </w:trPr>
        <w:tc>
          <w:tcPr>
            <w:tcW w:type="dxa" w:w="2160"/>
            <w:shd w:fill="1B365D"/>
            <w:tcMar>
              <w:top w:w="120" w:type="dxa"/>
              <w:bottom w:w="120" w:type="dxa"/>
              <w:left w:w="150" w:type="dxa"/>
              <w:right w:w="150" w:type="dxa"/>
            </w:tcMar>
          </w:tcPr>
          <w:p>
            <w:pPr>
              <w:jc w:val="center"/>
            </w:pPr>
            <w:r>
              <w:rPr>
                <w:b/>
                <w:color w:val="FFFFFF"/>
                <w:sz w:val="20"/>
              </w:rPr>
              <w:t>Nama Kolom</w:t>
            </w:r>
          </w:p>
        </w:tc>
        <w:tc>
          <w:tcPr>
            <w:tcW w:type="dxa" w:w="1728"/>
            <w:shd w:fill="1B365D"/>
            <w:tcMar>
              <w:top w:w="120" w:type="dxa"/>
              <w:bottom w:w="120" w:type="dxa"/>
              <w:left w:w="150" w:type="dxa"/>
              <w:right w:w="150" w:type="dxa"/>
            </w:tcMar>
          </w:tcPr>
          <w:p>
            <w:pPr>
              <w:jc w:val="center"/>
            </w:pPr>
            <w:r>
              <w:rPr>
                <w:b/>
                <w:color w:val="FFFFFF"/>
                <w:sz w:val="20"/>
              </w:rPr>
              <w:t>Tipe Data</w:t>
            </w:r>
          </w:p>
        </w:tc>
        <w:tc>
          <w:tcPr>
            <w:tcW w:type="dxa" w:w="2592"/>
            <w:shd w:fill="1B365D"/>
            <w:tcMar>
              <w:top w:w="120" w:type="dxa"/>
              <w:bottom w:w="120" w:type="dxa"/>
              <w:left w:w="150" w:type="dxa"/>
              <w:right w:w="150" w:type="dxa"/>
            </w:tcMar>
          </w:tcPr>
          <w:p>
            <w:pPr>
              <w:jc w:val="center"/>
            </w:pPr>
            <w:r>
              <w:rPr>
                <w:b/>
                <w:color w:val="FFFFFF"/>
                <w:sz w:val="20"/>
              </w:rPr>
              <w:t>Batasan (Constraints)</w:t>
            </w:r>
          </w:p>
        </w:tc>
        <w:tc>
          <w:tcPr>
            <w:tcW w:type="dxa" w:w="2880"/>
            <w:shd w:fill="1B365D"/>
            <w:tcMar>
              <w:top w:w="120" w:type="dxa"/>
              <w:bottom w:w="120" w:type="dxa"/>
              <w:left w:w="150" w:type="dxa"/>
              <w:right w:w="150" w:type="dxa"/>
            </w:tcMar>
          </w:tcPr>
          <w:p>
            <w:pPr>
              <w:jc w:val="center"/>
            </w:pPr>
            <w:r>
              <w:rPr>
                <w:b/>
                <w:color w:val="FFFFFF"/>
                <w:sz w:val="20"/>
              </w:rPr>
              <w:t>Penjelasan / Keterangan</w:t>
            </w:r>
          </w:p>
        </w:tc>
      </w:tr>
      <w:tr>
        <w:trPr>
          <w:cantSplit/>
        </w:trPr>
        <w:tc>
          <w:tcPr>
            <w:tcW w:type="dxa" w:w="2160"/>
            <w:tcMar>
              <w:top w:w="80" w:type="dxa"/>
              <w:bottom w:w="80" w:type="dxa"/>
              <w:left w:w="120" w:type="dxa"/>
              <w:right w:w="120" w:type="dxa"/>
            </w:tcMar>
          </w:tcPr>
          <w:p>
            <w:r>
              <w:rPr>
                <w:b/>
                <w:sz w:val="19"/>
              </w:rPr>
              <w:t>id</w:t>
            </w:r>
          </w:p>
        </w:tc>
        <w:tc>
          <w:tcPr>
            <w:tcW w:type="dxa" w:w="1728"/>
            <w:tcMar>
              <w:top w:w="80" w:type="dxa"/>
              <w:bottom w:w="80" w:type="dxa"/>
              <w:left w:w="120" w:type="dxa"/>
              <w:right w:w="120" w:type="dxa"/>
            </w:tcMar>
          </w:tcPr>
          <w:p>
            <w:r>
              <w:rPr>
                <w:sz w:val="19"/>
              </w:rPr>
              <w:t>Integer</w:t>
            </w:r>
          </w:p>
        </w:tc>
        <w:tc>
          <w:tcPr>
            <w:tcW w:type="dxa" w:w="2592"/>
            <w:tcMar>
              <w:top w:w="80" w:type="dxa"/>
              <w:bottom w:w="80" w:type="dxa"/>
              <w:left w:w="120" w:type="dxa"/>
              <w:right w:w="120" w:type="dxa"/>
            </w:tcMar>
          </w:tcPr>
          <w:p>
            <w:r>
              <w:rPr>
                <w:sz w:val="19"/>
              </w:rPr>
              <w:t>PRIMARY KEY, AUTO_INCREMENT</w:t>
            </w:r>
          </w:p>
        </w:tc>
        <w:tc>
          <w:tcPr>
            <w:tcW w:type="dxa" w:w="2880"/>
            <w:tcMar>
              <w:top w:w="80" w:type="dxa"/>
              <w:bottom w:w="80" w:type="dxa"/>
              <w:left w:w="120" w:type="dxa"/>
              <w:right w:w="120" w:type="dxa"/>
            </w:tcMar>
          </w:tcPr>
          <w:p>
            <w:r>
              <w:rPr>
                <w:sz w:val="19"/>
              </w:rPr>
              <w:t>ID unik riwayat fundamental perusahaan</w:t>
            </w:r>
          </w:p>
        </w:tc>
      </w:tr>
      <w:tr>
        <w:trPr>
          <w:cantSplit/>
        </w:trPr>
        <w:tc>
          <w:tcPr>
            <w:tcW w:type="dxa" w:w="2160"/>
            <w:tcMar>
              <w:top w:w="80" w:type="dxa"/>
              <w:bottom w:w="80" w:type="dxa"/>
              <w:left w:w="120" w:type="dxa"/>
              <w:right w:w="120" w:type="dxa"/>
            </w:tcMar>
            <w:shd w:fill="F7FAFC"/>
          </w:tcPr>
          <w:p>
            <w:r>
              <w:rPr>
                <w:b/>
                <w:sz w:val="19"/>
              </w:rPr>
              <w:t>ticker</w:t>
            </w:r>
          </w:p>
        </w:tc>
        <w:tc>
          <w:tcPr>
            <w:tcW w:type="dxa" w:w="1728"/>
            <w:tcMar>
              <w:top w:w="80" w:type="dxa"/>
              <w:bottom w:w="80" w:type="dxa"/>
              <w:left w:w="120" w:type="dxa"/>
              <w:right w:w="120" w:type="dxa"/>
            </w:tcMar>
            <w:shd w:fill="F7FAFC"/>
          </w:tcPr>
          <w:p>
            <w:r>
              <w:rPr>
                <w:sz w:val="19"/>
              </w:rPr>
              <w:t>Varchar(20)</w:t>
            </w:r>
          </w:p>
        </w:tc>
        <w:tc>
          <w:tcPr>
            <w:tcW w:type="dxa" w:w="2592"/>
            <w:tcMar>
              <w:top w:w="80" w:type="dxa"/>
              <w:bottom w:w="80" w:type="dxa"/>
              <w:left w:w="120" w:type="dxa"/>
              <w:right w:w="120" w:type="dxa"/>
            </w:tcMar>
            <w:shd w:fill="F7FAFC"/>
          </w:tcPr>
          <w:p>
            <w:r>
              <w:rPr>
                <w:sz w:val="19"/>
              </w:rPr>
              <w:t>NOT NULL, INDEXED</w:t>
            </w:r>
          </w:p>
        </w:tc>
        <w:tc>
          <w:tcPr>
            <w:tcW w:type="dxa" w:w="2880"/>
            <w:tcMar>
              <w:top w:w="80" w:type="dxa"/>
              <w:bottom w:w="80" w:type="dxa"/>
              <w:left w:w="120" w:type="dxa"/>
              <w:right w:w="120" w:type="dxa"/>
            </w:tcMar>
            <w:shd w:fill="F7FAFC"/>
          </w:tcPr>
          <w:p>
            <w:r>
              <w:rPr>
                <w:sz w:val="19"/>
              </w:rPr>
              <w:t>Kode ticker saham ekuitas IDX</w:t>
            </w:r>
          </w:p>
        </w:tc>
      </w:tr>
      <w:tr>
        <w:trPr>
          <w:cantSplit/>
        </w:trPr>
        <w:tc>
          <w:tcPr>
            <w:tcW w:type="dxa" w:w="2160"/>
            <w:tcMar>
              <w:top w:w="80" w:type="dxa"/>
              <w:bottom w:w="80" w:type="dxa"/>
              <w:left w:w="120" w:type="dxa"/>
              <w:right w:w="120" w:type="dxa"/>
            </w:tcMar>
          </w:tcPr>
          <w:p>
            <w:r>
              <w:rPr>
                <w:b/>
                <w:sz w:val="19"/>
              </w:rPr>
              <w:t>year</w:t>
            </w:r>
          </w:p>
        </w:tc>
        <w:tc>
          <w:tcPr>
            <w:tcW w:type="dxa" w:w="1728"/>
            <w:tcMar>
              <w:top w:w="80" w:type="dxa"/>
              <w:bottom w:w="80" w:type="dxa"/>
              <w:left w:w="120" w:type="dxa"/>
              <w:right w:w="120" w:type="dxa"/>
            </w:tcMar>
          </w:tcPr>
          <w:p>
            <w:r>
              <w:rPr>
                <w:sz w:val="19"/>
              </w:rPr>
              <w:t>Varchar(4)</w:t>
            </w:r>
          </w:p>
        </w:tc>
        <w:tc>
          <w:tcPr>
            <w:tcW w:type="dxa" w:w="2592"/>
            <w:tcMar>
              <w:top w:w="80" w:type="dxa"/>
              <w:bottom w:w="80" w:type="dxa"/>
              <w:left w:w="120" w:type="dxa"/>
              <w:right w:w="120" w:type="dxa"/>
            </w:tcMar>
          </w:tcPr>
          <w:p>
            <w:r>
              <w:rPr>
                <w:sz w:val="19"/>
              </w:rPr>
              <w:t>NOT NULL</w:t>
            </w:r>
          </w:p>
        </w:tc>
        <w:tc>
          <w:tcPr>
            <w:tcW w:type="dxa" w:w="2880"/>
            <w:tcMar>
              <w:top w:w="80" w:type="dxa"/>
              <w:bottom w:w="80" w:type="dxa"/>
              <w:left w:w="120" w:type="dxa"/>
              <w:right w:w="120" w:type="dxa"/>
            </w:tcMar>
          </w:tcPr>
          <w:p>
            <w:r>
              <w:rPr>
                <w:sz w:val="19"/>
              </w:rPr>
              <w:t>Tahun buku pelaporan keuangan (format YYYY, contoh: 2025)</w:t>
            </w:r>
          </w:p>
        </w:tc>
      </w:tr>
      <w:tr>
        <w:trPr>
          <w:cantSplit/>
        </w:trPr>
        <w:tc>
          <w:tcPr>
            <w:tcW w:type="dxa" w:w="2160"/>
            <w:tcMar>
              <w:top w:w="80" w:type="dxa"/>
              <w:bottom w:w="80" w:type="dxa"/>
              <w:left w:w="120" w:type="dxa"/>
              <w:right w:w="120" w:type="dxa"/>
            </w:tcMar>
            <w:shd w:fill="F7FAFC"/>
          </w:tcPr>
          <w:p>
            <w:r>
              <w:rPr>
                <w:b/>
                <w:sz w:val="19"/>
              </w:rPr>
              <w:t>revenue</w:t>
            </w:r>
          </w:p>
        </w:tc>
        <w:tc>
          <w:tcPr>
            <w:tcW w:type="dxa" w:w="1728"/>
            <w:tcMar>
              <w:top w:w="80" w:type="dxa"/>
              <w:bottom w:w="80" w:type="dxa"/>
              <w:left w:w="120" w:type="dxa"/>
              <w:right w:w="120" w:type="dxa"/>
            </w:tcMar>
            <w:shd w:fill="F7FAFC"/>
          </w:tcPr>
          <w:p>
            <w:r>
              <w:rPr>
                <w:sz w:val="19"/>
              </w:rPr>
              <w:t>Decimal(25,2)</w:t>
            </w:r>
          </w:p>
        </w:tc>
        <w:tc>
          <w:tcPr>
            <w:tcW w:type="dxa" w:w="2592"/>
            <w:tcMar>
              <w:top w:w="80" w:type="dxa"/>
              <w:bottom w:w="80" w:type="dxa"/>
              <w:left w:w="120" w:type="dxa"/>
              <w:right w:w="120" w:type="dxa"/>
            </w:tcMar>
            <w:shd w:fill="F7FAFC"/>
          </w:tcPr>
          <w:p>
            <w:r>
              <w:rPr>
                <w:sz w:val="19"/>
              </w:rPr>
              <w:t>DEFAULT 0, NOT NULL</w:t>
            </w:r>
          </w:p>
        </w:tc>
        <w:tc>
          <w:tcPr>
            <w:tcW w:type="dxa" w:w="2880"/>
            <w:tcMar>
              <w:top w:w="80" w:type="dxa"/>
              <w:bottom w:w="80" w:type="dxa"/>
              <w:left w:w="120" w:type="dxa"/>
              <w:right w:w="120" w:type="dxa"/>
            </w:tcMar>
            <w:shd w:fill="F7FAFC"/>
          </w:tcPr>
          <w:p>
            <w:r>
              <w:rPr>
                <w:sz w:val="19"/>
              </w:rPr>
              <w:t>Total pendapatan perusahaan dalam tahun berjalan (IDR)</w:t>
            </w:r>
          </w:p>
        </w:tc>
      </w:tr>
      <w:tr>
        <w:trPr>
          <w:cantSplit/>
        </w:trPr>
        <w:tc>
          <w:tcPr>
            <w:tcW w:type="dxa" w:w="2160"/>
            <w:tcMar>
              <w:top w:w="80" w:type="dxa"/>
              <w:bottom w:w="80" w:type="dxa"/>
              <w:left w:w="120" w:type="dxa"/>
              <w:right w:w="120" w:type="dxa"/>
            </w:tcMar>
          </w:tcPr>
          <w:p>
            <w:r>
              <w:rPr>
                <w:b/>
                <w:sz w:val="19"/>
              </w:rPr>
              <w:t>net_income</w:t>
            </w:r>
          </w:p>
        </w:tc>
        <w:tc>
          <w:tcPr>
            <w:tcW w:type="dxa" w:w="1728"/>
            <w:tcMar>
              <w:top w:w="80" w:type="dxa"/>
              <w:bottom w:w="80" w:type="dxa"/>
              <w:left w:w="120" w:type="dxa"/>
              <w:right w:w="120" w:type="dxa"/>
            </w:tcMar>
          </w:tcPr>
          <w:p>
            <w:r>
              <w:rPr>
                <w:sz w:val="19"/>
              </w:rPr>
              <w:t>Decimal(25,2)</w:t>
            </w:r>
          </w:p>
        </w:tc>
        <w:tc>
          <w:tcPr>
            <w:tcW w:type="dxa" w:w="2592"/>
            <w:tcMar>
              <w:top w:w="80" w:type="dxa"/>
              <w:bottom w:w="80" w:type="dxa"/>
              <w:left w:w="120" w:type="dxa"/>
              <w:right w:w="120" w:type="dxa"/>
            </w:tcMar>
          </w:tcPr>
          <w:p>
            <w:r>
              <w:rPr>
                <w:sz w:val="19"/>
              </w:rPr>
              <w:t>DEFAULT 0, NOT NULL</w:t>
            </w:r>
          </w:p>
        </w:tc>
        <w:tc>
          <w:tcPr>
            <w:tcW w:type="dxa" w:w="2880"/>
            <w:tcMar>
              <w:top w:w="80" w:type="dxa"/>
              <w:bottom w:w="80" w:type="dxa"/>
              <w:left w:w="120" w:type="dxa"/>
              <w:right w:w="120" w:type="dxa"/>
            </w:tcMar>
          </w:tcPr>
          <w:p>
            <w:r>
              <w:rPr>
                <w:sz w:val="19"/>
              </w:rPr>
              <w:t>Laba bersih setelah pajak perusahaan dalam tahun berjalan (IDR)</w:t>
            </w:r>
          </w:p>
        </w:tc>
      </w:tr>
      <w:tr>
        <w:trPr>
          <w:cantSplit/>
        </w:trPr>
        <w:tc>
          <w:tcPr>
            <w:tcW w:type="dxa" w:w="2160"/>
            <w:tcMar>
              <w:top w:w="80" w:type="dxa"/>
              <w:bottom w:w="80" w:type="dxa"/>
              <w:left w:w="120" w:type="dxa"/>
              <w:right w:w="120" w:type="dxa"/>
            </w:tcMar>
            <w:shd w:fill="F7FAFC"/>
          </w:tcPr>
          <w:p>
            <w:r>
              <w:rPr>
                <w:b/>
                <w:sz w:val="19"/>
              </w:rPr>
              <w:t>assets</w:t>
            </w:r>
          </w:p>
        </w:tc>
        <w:tc>
          <w:tcPr>
            <w:tcW w:type="dxa" w:w="1728"/>
            <w:tcMar>
              <w:top w:w="80" w:type="dxa"/>
              <w:bottom w:w="80" w:type="dxa"/>
              <w:left w:w="120" w:type="dxa"/>
              <w:right w:w="120" w:type="dxa"/>
            </w:tcMar>
            <w:shd w:fill="F7FAFC"/>
          </w:tcPr>
          <w:p>
            <w:r>
              <w:rPr>
                <w:sz w:val="19"/>
              </w:rPr>
              <w:t>Decimal(25,2)</w:t>
            </w:r>
          </w:p>
        </w:tc>
        <w:tc>
          <w:tcPr>
            <w:tcW w:type="dxa" w:w="2592"/>
            <w:tcMar>
              <w:top w:w="80" w:type="dxa"/>
              <w:bottom w:w="80" w:type="dxa"/>
              <w:left w:w="120" w:type="dxa"/>
              <w:right w:w="120" w:type="dxa"/>
            </w:tcMar>
            <w:shd w:fill="F7FAFC"/>
          </w:tcPr>
          <w:p>
            <w:r>
              <w:rPr>
                <w:sz w:val="19"/>
              </w:rPr>
              <w:t>DEFAULT 0, NOT NULL</w:t>
            </w:r>
          </w:p>
        </w:tc>
        <w:tc>
          <w:tcPr>
            <w:tcW w:type="dxa" w:w="2880"/>
            <w:tcMar>
              <w:top w:w="80" w:type="dxa"/>
              <w:bottom w:w="80" w:type="dxa"/>
              <w:left w:w="120" w:type="dxa"/>
              <w:right w:w="120" w:type="dxa"/>
            </w:tcMar>
            <w:shd w:fill="F7FAFC"/>
          </w:tcPr>
          <w:p>
            <w:r>
              <w:rPr>
                <w:sz w:val="19"/>
              </w:rPr>
              <w:t>Total aktiva / kekayaan perusahaan (IDR)</w:t>
            </w:r>
          </w:p>
        </w:tc>
      </w:tr>
      <w:tr>
        <w:trPr>
          <w:cantSplit/>
        </w:trPr>
        <w:tc>
          <w:tcPr>
            <w:tcW w:type="dxa" w:w="2160"/>
            <w:tcMar>
              <w:top w:w="80" w:type="dxa"/>
              <w:bottom w:w="80" w:type="dxa"/>
              <w:left w:w="120" w:type="dxa"/>
              <w:right w:w="120" w:type="dxa"/>
            </w:tcMar>
          </w:tcPr>
          <w:p>
            <w:r>
              <w:rPr>
                <w:b/>
                <w:sz w:val="19"/>
              </w:rPr>
              <w:t>liabilities</w:t>
            </w:r>
          </w:p>
        </w:tc>
        <w:tc>
          <w:tcPr>
            <w:tcW w:type="dxa" w:w="1728"/>
            <w:tcMar>
              <w:top w:w="80" w:type="dxa"/>
              <w:bottom w:w="80" w:type="dxa"/>
              <w:left w:w="120" w:type="dxa"/>
              <w:right w:w="120" w:type="dxa"/>
            </w:tcMar>
          </w:tcPr>
          <w:p>
            <w:r>
              <w:rPr>
                <w:sz w:val="19"/>
              </w:rPr>
              <w:t>Decimal(25,2)</w:t>
            </w:r>
          </w:p>
        </w:tc>
        <w:tc>
          <w:tcPr>
            <w:tcW w:type="dxa" w:w="2592"/>
            <w:tcMar>
              <w:top w:w="80" w:type="dxa"/>
              <w:bottom w:w="80" w:type="dxa"/>
              <w:left w:w="120" w:type="dxa"/>
              <w:right w:w="120" w:type="dxa"/>
            </w:tcMar>
          </w:tcPr>
          <w:p>
            <w:r>
              <w:rPr>
                <w:sz w:val="19"/>
              </w:rPr>
              <w:t>DEFAULT 0, NOT NULL</w:t>
            </w:r>
          </w:p>
        </w:tc>
        <w:tc>
          <w:tcPr>
            <w:tcW w:type="dxa" w:w="2880"/>
            <w:tcMar>
              <w:top w:w="80" w:type="dxa"/>
              <w:bottom w:w="80" w:type="dxa"/>
              <w:left w:w="120" w:type="dxa"/>
              <w:right w:w="120" w:type="dxa"/>
            </w:tcMar>
          </w:tcPr>
          <w:p>
            <w:r>
              <w:rPr>
                <w:sz w:val="19"/>
              </w:rPr>
              <w:t>Total kewajiban utang jangka pendek &amp; panjang (IDR)</w:t>
            </w:r>
          </w:p>
        </w:tc>
      </w:tr>
      <w:tr>
        <w:trPr>
          <w:cantSplit/>
        </w:trPr>
        <w:tc>
          <w:tcPr>
            <w:tcW w:type="dxa" w:w="2160"/>
            <w:tcMar>
              <w:top w:w="80" w:type="dxa"/>
              <w:bottom w:w="80" w:type="dxa"/>
              <w:left w:w="120" w:type="dxa"/>
              <w:right w:w="120" w:type="dxa"/>
            </w:tcMar>
            <w:shd w:fill="F7FAFC"/>
          </w:tcPr>
          <w:p>
            <w:r>
              <w:rPr>
                <w:b/>
                <w:sz w:val="19"/>
              </w:rPr>
              <w:t>equity</w:t>
            </w:r>
          </w:p>
        </w:tc>
        <w:tc>
          <w:tcPr>
            <w:tcW w:type="dxa" w:w="1728"/>
            <w:tcMar>
              <w:top w:w="80" w:type="dxa"/>
              <w:bottom w:w="80" w:type="dxa"/>
              <w:left w:w="120" w:type="dxa"/>
              <w:right w:w="120" w:type="dxa"/>
            </w:tcMar>
            <w:shd w:fill="F7FAFC"/>
          </w:tcPr>
          <w:p>
            <w:r>
              <w:rPr>
                <w:sz w:val="19"/>
              </w:rPr>
              <w:t>Decimal(25,2)</w:t>
            </w:r>
          </w:p>
        </w:tc>
        <w:tc>
          <w:tcPr>
            <w:tcW w:type="dxa" w:w="2592"/>
            <w:tcMar>
              <w:top w:w="80" w:type="dxa"/>
              <w:bottom w:w="80" w:type="dxa"/>
              <w:left w:w="120" w:type="dxa"/>
              <w:right w:w="120" w:type="dxa"/>
            </w:tcMar>
            <w:shd w:fill="F7FAFC"/>
          </w:tcPr>
          <w:p>
            <w:r>
              <w:rPr>
                <w:sz w:val="19"/>
              </w:rPr>
              <w:t>DEFAULT 0, NOT NULL</w:t>
            </w:r>
          </w:p>
        </w:tc>
        <w:tc>
          <w:tcPr>
            <w:tcW w:type="dxa" w:w="2880"/>
            <w:tcMar>
              <w:top w:w="80" w:type="dxa"/>
              <w:bottom w:w="80" w:type="dxa"/>
              <w:left w:w="120" w:type="dxa"/>
              <w:right w:w="120" w:type="dxa"/>
            </w:tcMar>
            <w:shd w:fill="F7FAFC"/>
          </w:tcPr>
          <w:p>
            <w:r>
              <w:rPr>
                <w:sz w:val="19"/>
              </w:rPr>
              <w:t>Total modal ekuitas bersih perusahaan (IDR)</w:t>
            </w:r>
          </w:p>
        </w:tc>
      </w:tr>
    </w:tbl>
    <w:p>
      <w:pPr>
        <w:spacing w:after="480"/>
      </w:pPr>
    </w:p>
    <w:p>
      <w:pPr>
        <w:keepNext/>
        <w:spacing w:before="360" w:after="120"/>
      </w:pPr>
      <w:r>
        <w:rPr>
          <w:rFonts w:ascii="Calibri" w:hAnsi="Calibri"/>
          <w:b/>
          <w:color w:val="1B365D"/>
          <w:sz w:val="32"/>
        </w:rPr>
        <w:t>3. METODE YANG DIGUNAKAN (METHODS USED)</w:t>
      </w:r>
    </w:p>
    <w:p>
      <w:pPr>
        <w:keepNext/>
        <w:spacing w:before="240" w:after="80"/>
      </w:pPr>
      <w:r>
        <w:rPr>
          <w:rFonts w:ascii="Calibri" w:hAnsi="Calibri"/>
          <w:b/>
          <w:color w:val="4A5568"/>
          <w:sz w:val="26"/>
        </w:rPr>
        <w:t>A. Algoritma XGBoost Classifier</w:t>
      </w:r>
    </w:p>
    <w:p>
      <w:r>
        <w:t>XGBoost (Extreme Gradient Boosting) dipilih sebagai mesin prediksi utama karena keunggulannya yang superior dalam menangani data tabular terstruktur. Secara akademis, XGBoost merupakan implementasi teroptimasi dari algoritma Gradient Boosted Decision Trees (GBDT). Algoritma ini meminimalkan fungsi kerugian (loss function) melalui penambahan pohon keputusan (decision trees) baru secara berurutan menggunakan teknik optimasi numerik gradient descent.</w:t>
      </w:r>
    </w:p>
    <w:p>
      <w:r>
        <w:t>Secara formal, untuk dataset dengan n sampel dan m fitur, D = {(x_i, y_i)}, prediksi ansambel untuk model aditif dengan K pohon keputusan dirumuskan sebagai:</w:t>
      </w:r>
    </w:p>
    <w:p>
      <w:pPr>
        <w:jc w:val="center"/>
      </w:pPr>
      <w:r>
        <w:rPr>
          <w:b/>
          <w:i/>
        </w:rPr>
        <w:t>y_pred_i = sum_{k=1}^{K} f_k(x_i),   f_k in F</w:t>
      </w:r>
    </w:p>
    <w:p>
      <w:r>
        <w:t>Dimana F adalah ruang dari seluruh pohon regresi keputusan (Regression Trees). Untuk meminimalkan kesalahan prediksi sekaligus mencegah overfitting, XGBoost mengimplementasikan fungsi tujuan (objective function) yang ter-regularisasi sebagai berikut:</w:t>
      </w:r>
    </w:p>
    <w:p>
      <w:pPr>
        <w:jc w:val="center"/>
      </w:pPr>
      <w:r>
        <w:rPr>
          <w:b/>
          <w:i/>
        </w:rPr>
        <w:t>L(phi) = sum_i l(y_i, y_pred_i) + sum_k Omega(f_k)</w:t>
      </w:r>
    </w:p>
    <w:p>
      <w:r>
        <w:t>Dengan bagian regularisasi Omega(f) yang mendefinisikan kompleksitas pohon keputusan:</w:t>
      </w:r>
    </w:p>
    <w:p>
      <w:pPr>
        <w:jc w:val="center"/>
      </w:pPr>
      <w:r>
        <w:rPr>
          <w:b/>
          <w:i/>
        </w:rPr>
        <w:t>Omega(f) = gamma * T + (1/2) * lambda * sum_{j=1}^{T} w_j^2</w:t>
      </w:r>
    </w:p>
    <w:p>
      <w:r>
        <w:t>Dimana T adalah jumlah daun (leaves) pada pohon keputusan, w adalah skor bobot pada setiap daun, serta gamma dan lambda adalah parameter regularisasi untuk mengontrol kompleksitas pohon guna mencegah overfitting pada data bursa yang sangat volatil.</w:t>
      </w:r>
    </w:p>
    <w:p>
      <w:pPr>
        <w:keepNext/>
        <w:spacing w:before="160" w:after="40"/>
      </w:pPr>
      <w:r>
        <w:rPr>
          <w:rFonts w:ascii="Calibri" w:hAnsi="Calibri"/>
          <w:b/>
          <w:i/>
          <w:color w:val="4A5568"/>
          <w:sz w:val="22"/>
        </w:rPr>
        <w:t>Penyelarasan Hiperparameter &amp; Penanganan Imbalance</w:t>
      </w:r>
    </w:p>
    <w:p>
      <w:pPr>
        <w:pStyle w:val="ListBullet"/>
        <w:spacing w:after="60"/>
      </w:pPr>
      <w:r>
        <w:rPr>
          <w:b/>
        </w:rPr>
        <w:t xml:space="preserve">Konfigurasi Hiperparameter: </w:t>
      </w:r>
      <w:r>
        <w:t>Model dilatih menggunakan konfigurasi parameter optimal: n_estimators=150, max_depth=4, learning_rate=0.05, objective='binary:logistic', eval_metric='logloss', dan scale_pos_weight.</w:t>
      </w:r>
    </w:p>
    <w:p>
      <w:pPr>
        <w:pStyle w:val="ListBullet"/>
        <w:spacing w:after="60"/>
      </w:pPr>
      <w:r>
        <w:rPr>
          <w:b/>
        </w:rPr>
        <w:t xml:space="preserve">Imbalance Class Handling: </w:t>
      </w:r>
      <w:r>
        <w:t>Sistem mendeteksi distribusi kelas aktual dan mengatur parameter scale_pos_weight = N_negatif / N_positif secara dinamis. Ini memberikan bobot lebih tinggi pada kelas minoritas (kelas 1 - saham naik &gt;0% dalam 5 hari), sehingga meningkatkan sensitivitas presisi model bursa secara signifikan.</w:t>
      </w:r>
    </w:p>
    <w:p>
      <w:pPr>
        <w:pStyle w:val="ListBullet"/>
        <w:spacing w:after="60"/>
      </w:pPr>
      <w:r>
        <w:rPr>
          <w:b/>
        </w:rPr>
        <w:t xml:space="preserve">Isotonic Probability Calibration: </w:t>
      </w:r>
      <w:r>
        <w:t>Agar luaran model mempresentasikan probabilitas dunia nyata secara akurat (bukan sekadar skor peringkat), model di-wrap dengan CalibratedClassifierCV menggunakan metode Isotonic Regression. Hal ini memastikan output AI Score merepresentasikan probabilitas nyata peluang kenaikan harga saham.</w:t>
      </w:r>
    </w:p>
    <w:p>
      <w:pPr>
        <w:keepNext/>
        <w:spacing w:before="240" w:after="80"/>
      </w:pPr>
      <w:r>
        <w:rPr>
          <w:rFonts w:ascii="Calibri" w:hAnsi="Calibri"/>
          <w:b/>
          <w:color w:val="4A5568"/>
          <w:sz w:val="26"/>
        </w:rPr>
        <w:t>B. Algoritma SHAP (SHapley Additive exPlanations)</w:t>
      </w:r>
    </w:p>
    <w:p>
      <w:r>
        <w:t>Dalam dunia finansial yang sensitif, model kotak hitam (black-box) seperti XGBoost tidak dapat diterima tanpa adanya transparansi keputusan investasi. Oleh karena itu, sistem mengimplementasikan SHAP (SHapley Additive exPlanations).</w:t>
      </w:r>
    </w:p>
    <w:p>
      <w:r>
        <w:t>SHAP didasarkan pada konsep matematis Shapley Values yang berasal dari teori permainan (coalitional game theory). Dalam konteks STOXAREA, fitur-fitur teknikal berperan sebagai pemain, dan perubahan prediksi dibandingkan prediksi rata-rata dasar (Base Value) berperan sebagai hasil permainan (game payout). Kontribusi marjinal rata-rata fitur ke-i dirumuskan secara formal sebagai:</w:t>
      </w:r>
    </w:p>
    <w:p>
      <w:pPr>
        <w:jc w:val="center"/>
      </w:pPr>
      <w:r>
        <w:rPr>
          <w:b/>
          <w:i/>
        </w:rPr>
        <w:t>phi_i(x) = sum_{S in F \ {i}} (|S|!(|F| - |S| - 1)! / |F|!) * [ f_x(S U {i}) - f_x(S) ]</w:t>
      </w:r>
    </w:p>
    <w:p>
      <w:r>
        <w:t>SHAP value menjamin sifat efisiensi, simetri, dan dummy. Sifat efisiensi menjamin prediksi model dapat diuraikan secara linear sebagai jumlahan dari base value dan kontribusi masing-masing fitur:</w:t>
      </w:r>
    </w:p>
    <w:p>
      <w:pPr>
        <w:jc w:val="center"/>
      </w:pPr>
      <w:r>
        <w:rPr>
          <w:b/>
          <w:i/>
        </w:rPr>
        <w:t>Prediction = Base_Value + sum_{i=1}^{M} phi_i</w:t>
      </w:r>
    </w:p>
    <w:p>
      <w:pPr>
        <w:keepNext/>
        <w:spacing w:before="160" w:after="40"/>
      </w:pPr>
      <w:r>
        <w:rPr>
          <w:rFonts w:ascii="Calibri" w:hAnsi="Calibri"/>
          <w:b/>
          <w:i/>
          <w:color w:val="4A5568"/>
          <w:sz w:val="22"/>
        </w:rPr>
        <w:t>Implementasi Teknis SHAP dalam Rekomendasi</w:t>
      </w:r>
    </w:p>
    <w:p>
      <w:pPr>
        <w:pStyle w:val="ListBullet"/>
        <w:spacing w:after="60"/>
      </w:pPr>
      <w:r>
        <w:rPr>
          <w:b/>
        </w:rPr>
        <w:t xml:space="preserve">TreeExplainer Integration: </w:t>
      </w:r>
      <w:r>
        <w:t>Sistem memanfaatkan varian TreeExplainer yang sangat efisien untuk model berbasis pohon keputusan guna mengekstrak kontribusi marginal setiap fitur teknikal harian secara instan.</w:t>
      </w:r>
    </w:p>
    <w:p>
      <w:pPr>
        <w:pStyle w:val="ListBullet"/>
        <w:spacing w:after="60"/>
      </w:pPr>
      <w:r>
        <w:rPr>
          <w:b/>
        </w:rPr>
        <w:t xml:space="preserve">Generasi Insight Bahasa Alami: </w:t>
      </w:r>
      <w:r>
        <w:t>Sistem mengekstrak 3 fitur dengan kontribusi absolut terbesar. Untuk setiap kontributor utama tersebut, jika bernilai positif diubah menjadi kalimat interpretatif 'mendorong naik probabilitas', dan jika bernilai negatif menjadi 'menekan turun probabilitas'. Ini disajikan dalam bentuk Waterfall Chart interaktif di frontend untuk transparansi analisis bagi investor retail.</w:t>
      </w:r>
    </w:p>
    <w:p>
      <w:pPr>
        <w:keepNext/>
        <w:spacing w:before="240" w:after="80"/>
      </w:pPr>
      <w:r>
        <w:rPr>
          <w:rFonts w:ascii="Calibri" w:hAnsi="Calibri"/>
          <w:b/>
          <w:color w:val="4A5568"/>
          <w:sz w:val="26"/>
        </w:rPr>
        <w:t>C. Algoritma Simple Additive Weighting (SAW)</w:t>
      </w:r>
    </w:p>
    <w:p>
      <w:r>
        <w:t>Metode Simple Additive Weighting (SAW), sering juga dikenal sebagai metode penjumlahan terbobot linear, merupakan salah satu algoritma tertua dan paling banyak digunakan dalam penyelesaian masalah Multi-Attribute Decision Making (MADM). Keunggulan utama dari metode SAW adalah kemampuannya untuk mencari penjumlahan terbobot dari rating kinerja pada setiap alternatif di semua kriteria, menjadikannya sangat intuitif untuk diintegrasikan dengan preferensi subjektif pengguna.</w:t>
      </w:r>
    </w:p>
    <w:p>
      <w:r>
        <w:t>Secara matematis, proses SAW terdiri dari dua langkah utama. Langkah pertama adalah melakukan normalisasi matriks keputusan keputusan (X) ke suatu skala yang dapat diperbandingkan dengan semua rating alternatif yang ada. Rumus normalisasi Min-Max yang digunakan disesuaikan dengan sifat masing-masing kriteria (Benefit atau Cost) sebagai berikut:</w:t>
      </w:r>
    </w:p>
    <w:p>
      <w:pPr>
        <w:jc w:val="center"/>
      </w:pPr>
      <w:r>
        <w:rPr>
          <w:b/>
          <w:i/>
        </w:rPr>
        <w:t>r_ij = (x_ij - min_i(x_ij)) / (max_i(x_ij) - min_i(x_ij))   [untuk Benefit]</w:t>
        <w:br/>
        <w:t>r_ij = 1 - (x_ij - min_i(x_ij)) / (max_i(x_ij) - min_i(x_ij))   [untuk Cost]</w:t>
      </w:r>
    </w:p>
    <w:p>
      <w:r>
        <w:t>Langkah kedua adalah melakukan perhitungan nilai preferensi (V_i) untuk setiap alternatif saham dengan cara mengalihkan bobot preferensi (W_j) yang telah diperoleh dari pengisian kuesioner dengan nilai rating ternormalisasi (r_ij):</w:t>
      </w:r>
    </w:p>
    <w:p>
      <w:pPr>
        <w:jc w:val="center"/>
      </w:pPr>
      <w:r>
        <w:rPr>
          <w:b/>
          <w:i/>
        </w:rPr>
        <w:t>V_i = sum_{j=1}^{m} w_j * r_ij</w:t>
      </w:r>
    </w:p>
    <w:p>
      <w:r>
        <w:t>Di mana m melambangkan total kriteria (dalam sistem ini berjumlah 4 kriteria) dan w_j adalah bobot preferensi kriteria ke-j. Alternatif dengan nilai V_i yang lebih tinggi menunjukkan tingkat kesesuaian yang lebih optimal terhadap preferensi investasi personal pengguna.</w:t>
      </w:r>
    </w:p>
    <w:p>
      <w:pPr>
        <w:keepNext/>
        <w:spacing w:before="240" w:after="80"/>
      </w:pPr>
      <w:r>
        <w:rPr>
          <w:rFonts w:ascii="Calibri" w:hAnsi="Calibri"/>
          <w:b/>
          <w:color w:val="4A5568"/>
          <w:sz w:val="26"/>
        </w:rPr>
        <w:t>D. Sistem Pendukung Keputusan Berjenjang (Three-Tier SPK)</w:t>
      </w:r>
    </w:p>
    <w:p>
      <w:r>
        <w:t>STOAXAREA merupakan sebuah Sistem Pendukung Keputusan (SPK) berjenjang tiga lapis (Three-Tier SPK) yang memadukan profil preferensi subjektif pengguna dengan penilaian kuantitatif objektif data pasar. Setiap lapisan dirancang secara formal sebagai berikut:</w:t>
      </w:r>
    </w:p>
    <w:p>
      <w:pPr>
        <w:keepNext/>
        <w:spacing w:before="160" w:after="40"/>
      </w:pPr>
      <w:r>
        <w:rPr>
          <w:rFonts w:ascii="Calibri" w:hAnsi="Calibri"/>
          <w:b/>
          <w:i/>
          <w:color w:val="4A5568"/>
          <w:sz w:val="22"/>
        </w:rPr>
        <w:t>1. Tier 1 - User Profiling (Profil &amp; Bobot Preferensi Pengguna)</w:t>
      </w:r>
    </w:p>
    <w:p>
      <w:r>
        <w:t>Berfungsi mengukur preferensi psikologis pengguna dan menerjemahkannya ke dalam parameter kuantitatif vektor bobot preferensi (W) dan label profil risiko.</w:t>
      </w:r>
    </w:p>
    <w:p>
      <w:pPr>
        <w:pStyle w:val="ListBullet"/>
        <w:spacing w:after="60"/>
      </w:pPr>
      <w:r>
        <w:rPr>
          <w:b/>
        </w:rPr>
        <w:t xml:space="preserve">Input Kuesioner: </w:t>
      </w:r>
      <w:r>
        <w:t>Kuesioner 10 pertanyaan Likert 1-5 mencakup lima dimensi: Ekspektasi Hasil Investasi (K1), Preferensi Kinerja Bisnis (K2), Ketahanan Mental &amp; Risiko (K3), Persepsi Nilai Harga (K4), dan Kapasitas Finansial Nyata (K5). Skor dimensi (K_j) adalah rata-rata kedua pertanyaan per dimensi.</w:t>
      </w:r>
    </w:p>
    <w:p>
      <w:r>
        <w:t>Vektor bobot preferensi (W) dihitung hanya dari dimensi K1 s.d. K4 menggunakan normalisasi proporsional teoretis:</w:t>
      </w:r>
    </w:p>
    <w:p>
      <w:pPr>
        <w:jc w:val="center"/>
      </w:pPr>
      <w:r>
        <w:rPr>
          <w:b/>
          <w:i/>
        </w:rPr>
        <w:t>w_j = K_j / sum_{i=1}^{4} K_i,  j = 1,2,3,4</w:t>
      </w:r>
    </w:p>
    <w:p>
      <w:r>
        <w:t>Mekanisme Safety Net (Veto K5): Jika K5 &lt;= 2 (kapasitas finansial sangat rendah), w_1 dikurangi 50% dan selisihnya dipindahkan penuh ke w_3 (toleransi risiko) lalu dinormalisasi ulang agar total sum(W) = 1. Ini mengimplementasikan konsep risk capacity (kemampuan keuangan objektif) yang membedakannya dengan risk tolerance subjektif.</w:t>
      </w:r>
    </w:p>
    <w:p>
      <w:r>
        <w:t>Penentuan Profil Risiko: Fase pembentukan awal menggunakan K-Means clustering (k=3) dari data minimal 30 pengguna untuk mencari centroid profil: Konservatif, Moderat, dan Agresif. Pada fase operasional harian, pengguna baru dihitung menggunakan Nearest-Centroid (euclidean distance K1-K4 terkecil terhadap centroid profil).</w:t>
      </w:r>
    </w:p>
    <w:p>
      <w:pPr>
        <w:keepNext/>
        <w:spacing w:before="160" w:after="40"/>
      </w:pPr>
      <w:r>
        <w:rPr>
          <w:rFonts w:ascii="Calibri" w:hAnsi="Calibri"/>
          <w:b/>
          <w:i/>
          <w:color w:val="4A5568"/>
          <w:sz w:val="22"/>
        </w:rPr>
        <w:t>2. Tier 2 - Stock Scoring (Penilaian Objektif Seluruh Saham)</w:t>
      </w:r>
    </w:p>
    <w:p>
      <w:r>
        <w:t>Melakukan penilaian kuantitatif objektif terhadap seluruh saham qualified di bursa dengan 4 kriteria terpilih (tidak melakukan eliminasi saham):</w:t>
      </w:r>
    </w:p>
    <w:p>
      <w:pPr>
        <w:pStyle w:val="ListBullet"/>
        <w:spacing w:after="60"/>
      </w:pPr>
      <w:r>
        <w:rPr>
          <w:b/>
        </w:rPr>
        <w:t xml:space="preserve">Kriteria 1: </w:t>
      </w:r>
      <w:r>
        <w:t>AI Score (Benefit): Probabilitas momentum kenaikan harga jangka pendek horizon 7 hari menggunakan model XGBoost Classifier terkalibrasi.</w:t>
      </w:r>
    </w:p>
    <w:p>
      <w:pPr>
        <w:pStyle w:val="ListBullet"/>
        <w:spacing w:after="60"/>
      </w:pPr>
      <w:r>
        <w:rPr>
          <w:b/>
        </w:rPr>
        <w:t xml:space="preserve">Kriteria 2: </w:t>
      </w:r>
      <w:r>
        <w:t>ROE (Benefit): Return on Equity mengukur profitabilitas perusahaan dari laporan keuangan.</w:t>
      </w:r>
    </w:p>
    <w:p>
      <w:pPr>
        <w:pStyle w:val="ListBullet"/>
        <w:spacing w:after="60"/>
      </w:pPr>
      <w:r>
        <w:rPr>
          <w:b/>
        </w:rPr>
        <w:t xml:space="preserve">Kriteria 3: </w:t>
      </w:r>
      <w:r>
        <w:t>DER (Cost): Debt to Equity Ratio mengukur leverage solvabilitas perusahaan.</w:t>
      </w:r>
    </w:p>
    <w:p>
      <w:pPr>
        <w:pStyle w:val="ListBullet"/>
        <w:spacing w:after="60"/>
      </w:pPr>
      <w:r>
        <w:rPr>
          <w:b/>
        </w:rPr>
        <w:t xml:space="preserve">Kriteria 4: </w:t>
      </w:r>
      <w:r>
        <w:t>PBV (Cost): Price to Book Value mengukur valuasi harga buku saham (dipilih menggantikan PER karena lebih stabil saat laba negatif).</w:t>
      </w:r>
    </w:p>
    <w:p>
      <w:r>
        <w:t>Setiap nilai kriteria x_ij saham i dinormalisasi ke rentang [0,1] menggunakan normalisasi Min-Max untuk menyamakan skala kriteria:</w:t>
      </w:r>
    </w:p>
    <w:p>
      <w:pPr>
        <w:jc w:val="center"/>
      </w:pPr>
      <w:r>
        <w:rPr>
          <w:b/>
          <w:i/>
        </w:rPr>
        <w:t>r_ij = (x_ij - min(x_j)) / (max(x_j) - min(x_j))   [untuk Benefit]</w:t>
        <w:br/>
        <w:t>r_ij = 1 - (x_ij - min(x_j)) / (max(x_j) - min(x_j))   [untuk Cost]</w:t>
      </w:r>
    </w:p>
    <w:p>
      <w:r>
        <w:t>Output akhir berupa Matriks Rating R berukuran N x 4 (N = jumlah saham qualified).</w:t>
      </w:r>
    </w:p>
    <w:p>
      <w:pPr>
        <w:keepNext/>
        <w:spacing w:before="160" w:after="40"/>
      </w:pPr>
      <w:r>
        <w:rPr>
          <w:rFonts w:ascii="Calibri" w:hAnsi="Calibri"/>
          <w:b/>
          <w:i/>
          <w:color w:val="4A5568"/>
          <w:sz w:val="22"/>
        </w:rPr>
        <w:t>3. Tier 3 - Integration, Filtering &amp; Ranking (Integrasi &amp; Pemeringkatan)</w:t>
      </w:r>
    </w:p>
    <w:p>
      <w:r>
        <w:t>Menggabungkan preferensi personal pengguna (Tier 1) dengan penilaian objektif saham (Tier 2) untuk menghasilkan rekomendasi akhir:</w:t>
      </w:r>
    </w:p>
    <w:p>
      <w:r>
        <w:t>A. Agregasi SAW (Simple Additive Weighting): Skor kecocokan akhir (V_i) dinyatakan dalam persen (0-100%) dengan perkalian matriks berbobot:</w:t>
      </w:r>
    </w:p>
    <w:p>
      <w:pPr>
        <w:jc w:val="center"/>
      </w:pPr>
      <w:r>
        <w:rPr>
          <w:b/>
          <w:i/>
        </w:rPr>
        <w:t>V_i = sum_{j=1}^{4} w_j * r_ij</w:t>
      </w:r>
    </w:p>
    <w:p>
      <w:r>
        <w:t>B. Penyaringan Berbasis Aturan (Rule-Based Blacklist): Sebelum pemeringkatan, saham yang tidak memenuhi syarat fundamental disingkirkan. Contoh aturan: untuk profil Konservatif, saham dengan rasio DER mentah &gt; 150% langsung dieliminasi dari daftar rekomendasi akhir.</w:t>
      </w:r>
    </w:p>
    <w:p>
      <w:r>
        <w:t>C. Pemeringkatan &amp; Top-N: Saham yang lolos penyaringan diurutkan berdasarkan V_i secara menurun. Sebanyak N saham teratas (contoh: Top-5) dipilih sebagai rekomendasi personal terbaik.</w:t>
      </w:r>
    </w:p>
    <w:p>
      <w:pPr>
        <w:keepNext/>
        <w:spacing w:before="360" w:after="120"/>
      </w:pPr>
      <w:r>
        <w:rPr>
          <w:rFonts w:ascii="Calibri" w:hAnsi="Calibri"/>
          <w:b/>
          <w:color w:val="1B365D"/>
          <w:sz w:val="32"/>
        </w:rPr>
        <w:t>4. DIAGRAM RANCANGAN SISTEM (SYSTEM DIAGRAMS &amp; CARDINALITIES)</w:t>
      </w:r>
    </w:p>
    <w:p>
      <w:r>
        <w:t>Untuk memvisualisasikan arsitektur sistem secara holistik, berikut adalah spesifikasi alur data, hubungan antarentitas database PostgreSQL, serta struktur pemodelan kelas pemrograman (OOP) yang diimplementasikan pada sistem STOXAREA:</w:t>
      </w:r>
    </w:p>
    <w:p>
      <w:pPr>
        <w:keepNext/>
        <w:spacing w:before="240" w:after="80"/>
      </w:pPr>
      <w:r>
        <w:rPr>
          <w:rFonts w:ascii="Calibri" w:hAnsi="Calibri"/>
          <w:b/>
          <w:color w:val="4A5568"/>
          <w:sz w:val="26"/>
        </w:rPr>
        <w:t>A. Diagram Alir Data Level 0 (DFD Level 0 - Context Diagram)</w:t>
      </w:r>
    </w:p>
    <w:p>
      <w:r>
        <w:t>DFD Level 0 menggambarkan interaksi sistem secara eksternal dengan entitas luar (Pengguna, Administrator, dan API Yahoo Finance):</w:t>
      </w:r>
    </w:p>
    <w:p>
      <w:pPr>
        <w:pStyle w:val="ListBullet"/>
        <w:spacing w:after="60"/>
      </w:pPr>
      <w:r>
        <w:rPr>
          <w:b/>
        </w:rPr>
        <w:t xml:space="preserve">Input Pengguna: </w:t>
      </w:r>
      <w:r>
        <w:t>Pengguna memberikan input berupa Pendaftaran Akun, Kuesioner Profil (K1-K5), dan Perintah Transaksi virtual (BELI/JUAL).</w:t>
      </w:r>
    </w:p>
    <w:p>
      <w:pPr>
        <w:pStyle w:val="ListBullet"/>
        <w:spacing w:after="60"/>
      </w:pPr>
      <w:r>
        <w:rPr>
          <w:b/>
        </w:rPr>
        <w:t xml:space="preserve">Output ke Pengguna: </w:t>
      </w:r>
      <w:r>
        <w:t>Sistem mengembalikan hasil berupa Klasifikasi Profil Risiko, Rekomendasi Unggulan (Top Picks SAW), Visualisasi Analisis SHAP, serta data Portofolio &amp; Transaksi.</w:t>
      </w:r>
    </w:p>
    <w:p>
      <w:pPr>
        <w:pStyle w:val="ListBullet"/>
        <w:spacing w:after="60"/>
      </w:pPr>
      <w:r>
        <w:rPr>
          <w:b/>
        </w:rPr>
        <w:t xml:space="preserve">Aliran API Eksternal: </w:t>
      </w:r>
      <w:r>
        <w:t>API Yahoo Finance secara otomatis mengirimkan data mentah riwayat harga saham (OHLCV) dan rasio fundamental (ROE, DER, PBV).</w:t>
      </w:r>
    </w:p>
    <w:p>
      <w:pPr>
        <w:pStyle w:val="ListBullet"/>
        <w:spacing w:after="60"/>
      </w:pPr>
      <w:r>
        <w:rPr>
          <w:b/>
        </w:rPr>
        <w:t xml:space="preserve">Aliran Administrator: </w:t>
      </w:r>
      <w:r>
        <w:t>Administrator melakukan validasi aksi korporasi secara manual dan memicu retrain model ML. Sistem mengirimkan notifikasi deteksi harga ekstrem.</w:t>
      </w:r>
    </w:p>
    <w:p>
      <w:pPr>
        <w:keepNext/>
        <w:spacing w:before="240" w:after="80"/>
      </w:pPr>
      <w:r>
        <w:rPr>
          <w:rFonts w:ascii="Calibri" w:hAnsi="Calibri"/>
          <w:b/>
          <w:color w:val="4A5568"/>
          <w:sz w:val="26"/>
        </w:rPr>
        <w:t>B. Diagram Alir Data Level 1 (DFD Level 1 - Decomposition Diagram)</w:t>
      </w:r>
    </w:p>
    <w:p>
      <w:r>
        <w:t>DFD Level 1 mendekomposisi proses sistem menjadi 5 modul operasional utama yang berinteraksi aktif dengan database:</w:t>
      </w:r>
    </w:p>
    <w:p>
      <w:pPr>
        <w:pStyle w:val="ListBullet"/>
        <w:spacing w:after="60"/>
      </w:pPr>
      <w:r>
        <w:rPr>
          <w:b/>
        </w:rPr>
        <w:t xml:space="preserve">1.0 Penentuan Profil Risiko &amp; Veto: </w:t>
      </w:r>
      <w:r>
        <w:t>Memproses pengisian kuesioner pengguna, mendeteksi aturan Veto finansial, menetapkan profil risiko, serta menyimpannya ke tabel users.</w:t>
      </w:r>
    </w:p>
    <w:p>
      <w:pPr>
        <w:pStyle w:val="ListBullet"/>
        <w:spacing w:after="60"/>
      </w:pPr>
      <w:r>
        <w:rPr>
          <w:b/>
        </w:rPr>
        <w:t xml:space="preserve">2.0 Pembersihan &amp; Pengumpulan Data: </w:t>
      </w:r>
      <w:r>
        <w:t>Secara berkala melakukan ingestion data dari API Yahoo Finance, menyaring saham qualified (is_qualified), serta menyimpan data fundamental ke tabel stocks dan financial_history.</w:t>
      </w:r>
    </w:p>
    <w:p>
      <w:pPr>
        <w:pStyle w:val="ListBullet"/>
        <w:spacing w:after="60"/>
      </w:pPr>
      <w:r>
        <w:rPr>
          <w:b/>
        </w:rPr>
        <w:t xml:space="preserve">3.0 Pemodelan Prediksi &amp; Analisis SHAP: </w:t>
      </w:r>
      <w:r>
        <w:t>Melatih model XGBoost Classifier pada data teknikal, memprediksi AI Score terkalibrasi, menghitung kontribusi fitur harian menggunakan SHAP (TreeExplainer), dan menyimpannya di tabel stocks.</w:t>
      </w:r>
    </w:p>
    <w:p>
      <w:pPr>
        <w:pStyle w:val="ListBullet"/>
        <w:spacing w:after="60"/>
      </w:pPr>
      <w:r>
        <w:rPr>
          <w:b/>
        </w:rPr>
        <w:t xml:space="preserve">4.0 Agregasi &amp; Rekomendasi SAW: </w:t>
      </w:r>
      <w:r>
        <w:t>Menghitung normalisasi SAW untuk kriteria benefit (AI Score &amp; ROE) dan kriteria cost (DER &amp; PBV), mengalikannya dengan bobot profil W, melakukan penyaringan blacklist, dan menyajikan Top Picks ke pengguna.</w:t>
      </w:r>
    </w:p>
    <w:p>
      <w:pPr>
        <w:pStyle w:val="ListBullet"/>
        <w:spacing w:after="60"/>
      </w:pPr>
      <w:r>
        <w:rPr>
          <w:b/>
        </w:rPr>
        <w:t xml:space="preserve">5.0 simulator Transaksi &amp; Aksi Korporasi: </w:t>
      </w:r>
      <w:r>
        <w:t>Mengeksekusi order virtual BUY/SELL, membebankan fee transaksi (0.15% beli, 0.25% jual), memperbarui data kas dan lot di portfolios &amp; transactions, mendeteksi lonjakan harga ekstrem (&gt;35%), serta memicu penyelarasan portofolio saat Stock Split divalidasi.</w:t>
      </w:r>
    </w:p>
    <w:p>
      <w:pPr>
        <w:keepNext/>
        <w:spacing w:before="240" w:after="80"/>
      </w:pPr>
      <w:r>
        <w:rPr>
          <w:rFonts w:ascii="Calibri" w:hAnsi="Calibri"/>
          <w:b/>
          <w:color w:val="4A5568"/>
          <w:sz w:val="26"/>
        </w:rPr>
        <w:t>C. Diagram Kelas UML (UML Class Diagram)</w:t>
      </w:r>
    </w:p>
    <w:p>
      <w:r>
        <w:t>Diagram kelas UML memetakan struktur pemrograman berbasis objek (OOP models) di backend STOXAREA yang mencakup 6 kelas model relasional utama:</w:t>
      </w:r>
    </w:p>
    <w:p>
      <w:pPr>
        <w:pStyle w:val="ListBullet"/>
        <w:spacing w:after="60"/>
      </w:pPr>
      <w:r>
        <w:rPr>
          <w:b/>
        </w:rPr>
        <w:t xml:space="preserve">User: </w:t>
      </w:r>
      <w:r>
        <w:t>Kelas User melacak data identitas pengguna, profil risiko, saldo tunai virtual, serta fungsi pemutakhiran saldo.</w:t>
      </w:r>
    </w:p>
    <w:p>
      <w:pPr>
        <w:pStyle w:val="ListBullet"/>
        <w:spacing w:after="60"/>
      </w:pPr>
      <w:r>
        <w:rPr>
          <w:b/>
        </w:rPr>
        <w:t xml:space="preserve">Stock: </w:t>
      </w:r>
      <w:r>
        <w:t>Kelas Stock menyimpan profil dasar emiten saham, nilai fundamental mentah, status kelayakan filter, serta fungsi pengambilan saham qualified.</w:t>
      </w:r>
    </w:p>
    <w:p>
      <w:pPr>
        <w:pStyle w:val="ListBullet"/>
        <w:spacing w:after="60"/>
      </w:pPr>
      <w:r>
        <w:rPr>
          <w:b/>
        </w:rPr>
        <w:t xml:space="preserve">Portfolio: </w:t>
      </w:r>
      <w:r>
        <w:t>Kelas Portfolio melacak jumlah kepemilikan lembar saham (qty) dan modal harga beli rata-rata (avg_price) per emiten untuk setiap pengguna.</w:t>
      </w:r>
    </w:p>
    <w:p>
      <w:pPr>
        <w:pStyle w:val="ListBullet"/>
        <w:spacing w:after="60"/>
      </w:pPr>
      <w:r>
        <w:rPr>
          <w:b/>
        </w:rPr>
        <w:t xml:space="preserve">Transaction: </w:t>
      </w:r>
      <w:r>
        <w:t>Kelas Transaction menyimpan setiap histori transaksi virtual simulator trading lengkap dengan kuantitas, harga eksekusi, dan komisi sekuritas.</w:t>
      </w:r>
    </w:p>
    <w:p>
      <w:pPr>
        <w:pStyle w:val="ListBullet"/>
        <w:spacing w:after="60"/>
      </w:pPr>
      <w:r>
        <w:rPr>
          <w:b/>
        </w:rPr>
        <w:t xml:space="preserve">CorporateActionFlag: </w:t>
      </w:r>
      <w:r>
        <w:t>Kelas CorporateActionFlag mencatat bendera anomali lompatan harga ekstrem harian serta nilai rasio split saham yang tervalidasi.</w:t>
      </w:r>
    </w:p>
    <w:p>
      <w:pPr>
        <w:pStyle w:val="ListBullet"/>
        <w:spacing w:after="60"/>
      </w:pPr>
      <w:r>
        <w:rPr>
          <w:b/>
        </w:rPr>
        <w:t xml:space="preserve">FinancialHistory: </w:t>
      </w:r>
      <w:r>
        <w:t>Kelas FinancialHistory menyimpan data historis laporan keuangan tahunan mencakup pendapatan, laba bersih, aset, utang, dan ekuitas.</w:t>
      </w:r>
    </w:p>
    <w:p>
      <w:pPr>
        <w:keepNext/>
        <w:spacing w:before="240" w:after="80"/>
      </w:pPr>
      <w:r>
        <w:rPr>
          <w:rFonts w:ascii="Calibri" w:hAnsi="Calibri"/>
          <w:b/>
          <w:color w:val="4A5568"/>
          <w:sz w:val="26"/>
        </w:rPr>
        <w:t>D. Entity Relationship Diagram (ERD) &amp; Penjelasan Kardinalitas</w:t>
      </w:r>
    </w:p>
    <w:p>
      <w:r>
        <w:t>Rancangan ERD database PostgreSQL STOXAREA menggunakan relasi 1-to-Many (Satu ke Banyak) yang terikat secara ketat melalui Foreign Key demi menjamin integritas data relasional:</w:t>
      </w:r>
    </w:p>
    <w:p>
      <w:pPr>
        <w:pStyle w:val="ListBullet"/>
        <w:spacing w:after="60"/>
      </w:pPr>
      <w:r>
        <w:rPr>
          <w:b/>
        </w:rPr>
        <w:t xml:space="preserve">USERS ke PORTFOLIOS (1-to-Many): </w:t>
      </w:r>
      <w:r>
        <w:t>1 User dapat memiliki banyak aset saham di portofolionya. Sebaliknya, setiap baris portofolio hanya merujuk pada tepat 1 user.</w:t>
      </w:r>
    </w:p>
    <w:p>
      <w:pPr>
        <w:pStyle w:val="ListBullet"/>
        <w:spacing w:after="60"/>
      </w:pPr>
      <w:r>
        <w:rPr>
          <w:b/>
        </w:rPr>
        <w:t xml:space="preserve">USERS ke TRANSACTIONS (1-to-Many): </w:t>
      </w:r>
      <w:r>
        <w:t>1 User dapat melakukan banyak aktivitas transaksi beli/jual di simulator. Setiap struk transaksi hanya dilakukan oleh tepat 1 user.</w:t>
      </w:r>
    </w:p>
    <w:p>
      <w:pPr>
        <w:pStyle w:val="ListBullet"/>
        <w:spacing w:after="60"/>
      </w:pPr>
      <w:r>
        <w:rPr>
          <w:b/>
        </w:rPr>
        <w:t xml:space="preserve">STOCKS ke PORTFOLIOS (1-to-Many): </w:t>
      </w:r>
      <w:r>
        <w:t>1 Emiten Saham dapat dimiliki di portofolio oleh banyak user yang berbeda. Setiap baris portofolio hanya terikat ke tepat 1 emiten saham.</w:t>
      </w:r>
    </w:p>
    <w:p>
      <w:pPr>
        <w:pStyle w:val="ListBullet"/>
        <w:spacing w:after="60"/>
      </w:pPr>
      <w:r>
        <w:rPr>
          <w:b/>
        </w:rPr>
        <w:t xml:space="preserve">STOCKS ke TRANSACTIONS (1-to-Many): </w:t>
      </w:r>
      <w:r>
        <w:t>1 Emiten Saham dapat ditransaksikan banyak kali oleh berbagai pengguna. Setiap catatan transaksi terikat ke tepat 1 emiten saham.</w:t>
      </w:r>
    </w:p>
    <w:p>
      <w:pPr>
        <w:pStyle w:val="ListBullet"/>
        <w:spacing w:after="60"/>
      </w:pPr>
      <w:r>
        <w:rPr>
          <w:b/>
        </w:rPr>
        <w:t xml:space="preserve">STOCKS ke CORPORATE_ACTION_FLAGS (1-to-Many): </w:t>
      </w:r>
      <w:r>
        <w:t>1 Emiten Saham dapat mengalami banyak bendera anomali harga sepanjang sejarahnya. Setiap baris anomali hanya melaporkan tepat 1 saham.</w:t>
      </w:r>
    </w:p>
    <w:p>
      <w:pPr>
        <w:pStyle w:val="ListBullet"/>
        <w:spacing w:after="60"/>
      </w:pPr>
      <w:r>
        <w:rPr>
          <w:b/>
        </w:rPr>
        <w:t xml:space="preserve">STOCKS ke FINANCIAL_HISTORY (1-to-Many): </w:t>
      </w:r>
      <w:r>
        <w:t>1 Emiten Saham memiliki banyak tahun pencatatan laporan keuangan historis. Setiap baris laporan keuangan hanya valid untuk tepat 1 saham.</w:t>
      </w:r>
    </w:p>
    <w:p>
      <w:r>
        <w:t>Catatan Hubungan Many-to-Many: Secara logis, terdapat hubungan Banyak-ke-Banyak (Many-to-Many) antara USERS dan STOCKS karena banyak user dapat memiliki banyak saham. Di database PostgreSQL, hubungan ini berhasil dipecah menggunakan tabel perantara PORTFOLIOS dan TRANSACTIONS demi kepatuhan normalisasi database.</w:t>
      </w:r>
    </w:p>
    <w:p>
      <w:pPr>
        <w:spacing w:after="480"/>
      </w:pPr>
    </w:p>
    <w:p>
      <w:pPr>
        <w:jc w:val="right"/>
      </w:pPr>
      <w:r>
        <w:rPr>
          <w:i/>
          <w:color w:val="4A5568"/>
          <w:sz w:val="19"/>
        </w:rPr>
        <w:t>Disusun oleh: Kelompok Proyek Sains Data STOXAREA</w:t>
        <w:br/>
        <w:t>Universitas Putra Bangsa,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