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Improvement over Nash Equilibrium (A Whitepaper)</w:t>
      </w:r>
    </w:p>
    <w:p w:rsidR="00000000" w:rsidDel="00000000" w:rsidP="00000000" w:rsidRDefault="00000000" w:rsidRPr="00000000" w14:paraId="00000002">
      <w:pPr>
        <w:jc w:val="center"/>
        <w:rPr/>
      </w:pPr>
      <w:r w:rsidDel="00000000" w:rsidR="00000000" w:rsidRPr="00000000">
        <w:rPr>
          <w:rtl w:val="0"/>
        </w:rPr>
        <w:t xml:space="preserve">A scalable equation for economical theory research</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rPr>
          <w:i w:val="1"/>
          <w:iCs w:val="1"/>
          <w:sz w:val="24"/>
          <w:szCs w:val="24"/>
          <w:highlight w:val="white"/>
        </w:rPr>
      </w:pPr>
      <w:r w:rsidDel="00000000" w:rsidR="00000000" w:rsidRPr="00000000">
        <w:rPr>
          <w:i w:val="1"/>
          <w:iCs w:val="1"/>
          <w:sz w:val="24"/>
          <w:szCs w:val="24"/>
          <w:highlight w:val="white"/>
          <w:rtl w:val="0"/>
        </w:rPr>
        <w:t xml:space="preserve">Traditional Nash Equilibrium provides a foundational benchmark for strategic stability in non-cooperative settings, but it operates as a static, player-isolated condition that does not model dynamic capital circulation, macroeconomic feedback loops, or policy-driven reallocation at scale. This whitepaper introduces a scalable equilibrium extension designed to simulate how strategic capital participation from high-wealth tiers influences systemic throughput across infrastructure efficiency, public capacity, and equity valuation. By introducing a tunable scaling parameter and interdependent macroeconomic variables, the model transforms static payoff assumptions into a dynamic stress-testing framework for financial architecture and policy calibration.</w:t>
      </w:r>
    </w:p>
    <w:p w:rsidR="00000000" w:rsidDel="00000000" w:rsidP="00000000" w:rsidRDefault="00000000" w:rsidRPr="00000000" w14:paraId="00000006">
      <w:pPr>
        <w:rPr>
          <w:i w:val="1"/>
          <w:iCs w:val="1"/>
          <w:sz w:val="24"/>
          <w:szCs w:val="24"/>
          <w:highlight w:val="white"/>
        </w:rPr>
      </w:pPr>
      <w:r w:rsidDel="00000000" w:rsidR="00000000" w:rsidRPr="00000000">
        <w:rPr>
          <w:i w:val="1"/>
          <w:iCs w:val="1"/>
          <w:sz w:val="24"/>
          <w:szCs w:val="24"/>
          <w:highlight w:val="white"/>
          <w:rtl w:val="0"/>
        </w:rPr>
        <w:t xml:space="preserve">Rather than treating payoffs as isolated strategic outcomes, this model maps interdependent macroeconomic returns across wealth tiers, public capacity, and systemic equity, enabling equilibrium analysis under dynamic capital reallocation.</w:t>
      </w:r>
    </w:p>
    <w:p w:rsidR="00000000" w:rsidDel="00000000" w:rsidP="00000000" w:rsidRDefault="00000000" w:rsidRPr="00000000" w14:paraId="00000007">
      <w:pPr>
        <w:rPr>
          <w:i w:val="1"/>
          <w:iCs w:val="1"/>
          <w:sz w:val="24"/>
          <w:szCs w:val="24"/>
          <w:highlight w:val="white"/>
        </w:rPr>
      </w:pPr>
      <w:r w:rsidDel="00000000" w:rsidR="00000000" w:rsidRPr="00000000">
        <w:rPr>
          <w:i w:val="1"/>
          <w:iCs w:val="1"/>
          <w:sz w:val="24"/>
          <w:szCs w:val="24"/>
          <w:highlight w:val="white"/>
          <w:rtl w:val="0"/>
        </w:rPr>
        <w:t xml:space="preserve">The model stated here is as follows: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Courier New" w:cs="Courier New" w:eastAsia="Courier New" w:hAnsi="Courier New"/>
          <w:sz w:val="24"/>
          <w:szCs w:val="24"/>
          <w:highlight w:val="white"/>
          <w:rtl w:val="0"/>
        </w:rPr>
        <w:t xml:space="preserve">(b/c) · (A/a)^k = X · Y · Z^k</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A:</w:t>
      </w:r>
      <w:r w:rsidDel="00000000" w:rsidR="00000000" w:rsidRPr="00000000">
        <w:rPr>
          <w:rtl w:val="0"/>
        </w:rPr>
        <w:t xml:space="preserve"> Total Corporate/Systemic Mass (Top 100).</w:t>
      </w:r>
    </w:p>
    <w:p w:rsidR="00000000" w:rsidDel="00000000" w:rsidP="00000000" w:rsidRDefault="00000000" w:rsidRPr="00000000" w14:paraId="0000000C">
      <w:pPr>
        <w:rPr/>
      </w:pPr>
      <w:r w:rsidDel="00000000" w:rsidR="00000000" w:rsidRPr="00000000">
        <w:rPr>
          <w:b w:val="1"/>
          <w:bCs w:val="1"/>
          <w:rtl w:val="0"/>
        </w:rPr>
        <w:t xml:space="preserve">a:</w:t>
      </w:r>
      <w:r w:rsidDel="00000000" w:rsidR="00000000" w:rsidRPr="00000000">
        <w:rPr>
          <w:rtl w:val="0"/>
        </w:rPr>
        <w:t xml:space="preserve"> The 1% "Financial Growth" Reallocation.</w:t>
      </w:r>
    </w:p>
    <w:p w:rsidR="00000000" w:rsidDel="00000000" w:rsidP="00000000" w:rsidRDefault="00000000" w:rsidRPr="00000000" w14:paraId="0000000D">
      <w:pPr>
        <w:rPr/>
      </w:pPr>
      <w:r w:rsidDel="00000000" w:rsidR="00000000" w:rsidRPr="00000000">
        <w:rPr>
          <w:b w:val="1"/>
          <w:bCs w:val="1"/>
          <w:rtl w:val="0"/>
        </w:rPr>
        <w:t xml:space="preserve">b:</w:t>
      </w:r>
      <w:r w:rsidDel="00000000" w:rsidR="00000000" w:rsidRPr="00000000">
        <w:rPr>
          <w:rtl w:val="0"/>
        </w:rPr>
        <w:t xml:space="preserve"> Tax/Systemic Growth generated.</w:t>
      </w:r>
    </w:p>
    <w:p w:rsidR="00000000" w:rsidDel="00000000" w:rsidP="00000000" w:rsidRDefault="00000000" w:rsidRPr="00000000" w14:paraId="0000000E">
      <w:pPr>
        <w:rPr/>
      </w:pPr>
      <w:r w:rsidDel="00000000" w:rsidR="00000000" w:rsidRPr="00000000">
        <w:rPr>
          <w:b w:val="1"/>
          <w:bCs w:val="1"/>
          <w:rtl w:val="0"/>
        </w:rPr>
        <w:t xml:space="preserve">c:</w:t>
      </w:r>
      <w:r w:rsidDel="00000000" w:rsidR="00000000" w:rsidRPr="00000000">
        <w:rPr>
          <w:rtl w:val="0"/>
        </w:rPr>
        <w:t xml:space="preserve"> New Public Buying Power.</w:t>
      </w:r>
    </w:p>
    <w:p w:rsidR="00000000" w:rsidDel="00000000" w:rsidP="00000000" w:rsidRDefault="00000000" w:rsidRPr="00000000" w14:paraId="0000000F">
      <w:pPr>
        <w:rPr/>
      </w:pPr>
      <w:r w:rsidDel="00000000" w:rsidR="00000000" w:rsidRPr="00000000">
        <w:rPr>
          <w:b w:val="1"/>
          <w:bCs w:val="1"/>
          <w:rtl w:val="0"/>
        </w:rPr>
        <w:t xml:space="preserve">X:</w:t>
      </w:r>
      <w:r w:rsidDel="00000000" w:rsidR="00000000" w:rsidRPr="00000000">
        <w:rPr>
          <w:rtl w:val="0"/>
        </w:rPr>
        <w:t xml:space="preserve"> Physical Optimization / Infrastructure Improvement.</w:t>
      </w:r>
    </w:p>
    <w:p w:rsidR="00000000" w:rsidDel="00000000" w:rsidP="00000000" w:rsidRDefault="00000000" w:rsidRPr="00000000" w14:paraId="00000010">
      <w:pPr>
        <w:rPr/>
      </w:pPr>
      <w:r w:rsidDel="00000000" w:rsidR="00000000" w:rsidRPr="00000000">
        <w:rPr>
          <w:b w:val="1"/>
          <w:bCs w:val="1"/>
          <w:rtl w:val="0"/>
        </w:rPr>
        <w:t xml:space="preserve">Y:</w:t>
      </w:r>
      <w:r w:rsidDel="00000000" w:rsidR="00000000" w:rsidRPr="00000000">
        <w:rPr>
          <w:rtl w:val="0"/>
        </w:rPr>
        <w:t xml:space="preserve"> Social Interface / Systemic Efficiency.</w:t>
      </w:r>
    </w:p>
    <w:p w:rsidR="00000000" w:rsidDel="00000000" w:rsidP="00000000" w:rsidRDefault="00000000" w:rsidRPr="00000000" w14:paraId="00000011">
      <w:pPr>
        <w:rPr/>
      </w:pPr>
      <w:r w:rsidDel="00000000" w:rsidR="00000000" w:rsidRPr="00000000">
        <w:rPr>
          <w:b w:val="1"/>
          <w:bCs w:val="1"/>
          <w:rtl w:val="0"/>
        </w:rPr>
        <w:t xml:space="preserve">Z^k:</w:t>
      </w:r>
      <w:r w:rsidDel="00000000" w:rsidR="00000000" w:rsidRPr="00000000">
        <w:rPr>
          <w:rtl w:val="0"/>
        </w:rPr>
        <w:t xml:space="preserve"> The Squared Value of the Systemic Equity (The "Money" growing in value).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 w:val="1"/>
          <w:iCs w:val="1"/>
          <w:sz w:val="24"/>
          <w:szCs w:val="24"/>
          <w:highlight w:val="white"/>
        </w:rPr>
      </w:pPr>
      <w:r w:rsidDel="00000000" w:rsidR="00000000" w:rsidRPr="00000000">
        <w:rPr>
          <w:i w:val="1"/>
          <w:iCs w:val="1"/>
          <w:sz w:val="24"/>
          <w:szCs w:val="24"/>
          <w:highlight w:val="white"/>
          <w:rtl w:val="0"/>
        </w:rPr>
        <w:t xml:space="preserve">K</w:t>
      </w:r>
      <w:r w:rsidDel="00000000" w:rsidR="00000000" w:rsidRPr="00000000">
        <w:rPr>
          <w:i w:val="1"/>
          <w:iCs w:val="1"/>
          <w:sz w:val="24"/>
          <w:szCs w:val="24"/>
          <w:highlight w:val="white"/>
          <w:rtl w:val="0"/>
        </w:rPr>
        <w:t xml:space="preserve"> is a tunable scaling exponent representing policy intensity, capital velocity, or time horizon. As k increases, the compounding effect of reallocation on systemic outputs accelerates nonlinearly.</w:t>
      </w:r>
    </w:p>
    <w:p w:rsidR="00000000" w:rsidDel="00000000" w:rsidP="00000000" w:rsidRDefault="00000000" w:rsidRPr="00000000" w14:paraId="00000014">
      <w:pPr>
        <w:rPr>
          <w:i w:val="1"/>
          <w:iCs w:val="1"/>
          <w:sz w:val="24"/>
          <w:szCs w:val="24"/>
          <w:highlight w:val="white"/>
        </w:rPr>
      </w:pPr>
      <w:r w:rsidDel="00000000" w:rsidR="00000000" w:rsidRPr="00000000">
        <w:rPr>
          <w:i w:val="1"/>
          <w:iCs w:val="1"/>
          <w:sz w:val="24"/>
          <w:szCs w:val="24"/>
          <w:highlight w:val="white"/>
          <w:rtl w:val="0"/>
        </w:rPr>
        <w:t xml:space="preserve">Systemic equilibrium is achieved when the left-hand side (capital reallocation efficiency) matches the right-hand side (compounded macroeconomic throughput). Deviations signal over- or under-allocation relative to structural capacity.</w:t>
      </w:r>
      <w:r w:rsidDel="00000000" w:rsidR="00000000" w:rsidRPr="00000000">
        <w:rPr>
          <w:rtl w:val="0"/>
        </w:rPr>
      </w:r>
    </w:p>
    <w:p w:rsidR="00000000" w:rsidDel="00000000" w:rsidP="00000000" w:rsidRDefault="00000000" w:rsidRPr="00000000" w14:paraId="00000015">
      <w:pPr>
        <w:rPr>
          <w:highlight w:val="white"/>
        </w:rPr>
      </w:pPr>
      <w:r w:rsidDel="00000000" w:rsidR="00000000" w:rsidRPr="00000000">
        <w:rPr>
          <w:i w:val="1"/>
          <w:iCs w:val="1"/>
          <w:sz w:val="24"/>
          <w:szCs w:val="24"/>
          <w:highlight w:val="white"/>
          <w:rtl w:val="0"/>
        </w:rPr>
        <w:t xml:space="preserve">The real power of this framework lies in its exponential structure, which models how marginal reallocation from concentrated capital pools generates multiplicative macroeconomic returns. Even a 1% shift from systemic corporate mass (</w:t>
      </w:r>
      <w:r w:rsidDel="00000000" w:rsidR="00000000" w:rsidRPr="00000000">
        <w:rPr>
          <w:rFonts w:ascii="Courier New" w:cs="Courier New" w:eastAsia="Courier New" w:hAnsi="Courier New"/>
          <w:i w:val="1"/>
          <w:iCs w:val="1"/>
          <w:sz w:val="24"/>
          <w:szCs w:val="24"/>
          <w:highlight w:val="white"/>
          <w:rtl w:val="0"/>
        </w:rPr>
        <w:t xml:space="preserve">A</w:t>
      </w:r>
      <w:r w:rsidDel="00000000" w:rsidR="00000000" w:rsidRPr="00000000">
        <w:rPr>
          <w:i w:val="1"/>
          <w:iCs w:val="1"/>
          <w:sz w:val="24"/>
          <w:szCs w:val="24"/>
          <w:highlight w:val="white"/>
          <w:rtl w:val="0"/>
        </w:rPr>
        <w:t xml:space="preserve">) into broad-based reallocation (</w:t>
      </w:r>
      <w:r w:rsidDel="00000000" w:rsidR="00000000" w:rsidRPr="00000000">
        <w:rPr>
          <w:rFonts w:ascii="Courier New" w:cs="Courier New" w:eastAsia="Courier New" w:hAnsi="Courier New"/>
          <w:i w:val="1"/>
          <w:iCs w:val="1"/>
          <w:sz w:val="24"/>
          <w:szCs w:val="24"/>
          <w:highlight w:val="white"/>
          <w:rtl w:val="0"/>
        </w:rPr>
        <w:t xml:space="preserve">a</w:t>
      </w:r>
      <w:r w:rsidDel="00000000" w:rsidR="00000000" w:rsidRPr="00000000">
        <w:rPr>
          <w:i w:val="1"/>
          <w:iCs w:val="1"/>
          <w:sz w:val="24"/>
          <w:szCs w:val="24"/>
          <w:highlight w:val="white"/>
          <w:rtl w:val="0"/>
        </w:rPr>
        <w:t xml:space="preserve">) can initiate a positive feedback loop: increased public liquidity (</w:t>
      </w:r>
      <w:r w:rsidDel="00000000" w:rsidR="00000000" w:rsidRPr="00000000">
        <w:rPr>
          <w:rFonts w:ascii="Courier New" w:cs="Courier New" w:eastAsia="Courier New" w:hAnsi="Courier New"/>
          <w:i w:val="1"/>
          <w:iCs w:val="1"/>
          <w:sz w:val="24"/>
          <w:szCs w:val="24"/>
          <w:highlight w:val="white"/>
          <w:rtl w:val="0"/>
        </w:rPr>
        <w:t xml:space="preserve">c</w:t>
      </w:r>
      <w:r w:rsidDel="00000000" w:rsidR="00000000" w:rsidRPr="00000000">
        <w:rPr>
          <w:i w:val="1"/>
          <w:iCs w:val="1"/>
          <w:sz w:val="24"/>
          <w:szCs w:val="24"/>
          <w:highlight w:val="white"/>
          <w:rtl w:val="0"/>
        </w:rPr>
        <w:t xml:space="preserve">) expands consumption and tax bases (</w:t>
      </w:r>
      <w:r w:rsidDel="00000000" w:rsidR="00000000" w:rsidRPr="00000000">
        <w:rPr>
          <w:rFonts w:ascii="Courier New" w:cs="Courier New" w:eastAsia="Courier New" w:hAnsi="Courier New"/>
          <w:i w:val="1"/>
          <w:iCs w:val="1"/>
          <w:sz w:val="24"/>
          <w:szCs w:val="24"/>
          <w:highlight w:val="white"/>
          <w:rtl w:val="0"/>
        </w:rPr>
        <w:t xml:space="preserve">b</w:t>
      </w:r>
      <w:r w:rsidDel="00000000" w:rsidR="00000000" w:rsidRPr="00000000">
        <w:rPr>
          <w:i w:val="1"/>
          <w:iCs w:val="1"/>
          <w:sz w:val="24"/>
          <w:szCs w:val="24"/>
          <w:highlight w:val="white"/>
          <w:rtl w:val="0"/>
        </w:rPr>
        <w:t xml:space="preserve">), which in turn funds infrastructure optimization (</w:t>
      </w:r>
      <w:r w:rsidDel="00000000" w:rsidR="00000000" w:rsidRPr="00000000">
        <w:rPr>
          <w:rFonts w:ascii="Courier New" w:cs="Courier New" w:eastAsia="Courier New" w:hAnsi="Courier New"/>
          <w:i w:val="1"/>
          <w:iCs w:val="1"/>
          <w:sz w:val="24"/>
          <w:szCs w:val="24"/>
          <w:highlight w:val="white"/>
          <w:rtl w:val="0"/>
        </w:rPr>
        <w:t xml:space="preserve">X</w:t>
      </w:r>
      <w:r w:rsidDel="00000000" w:rsidR="00000000" w:rsidRPr="00000000">
        <w:rPr>
          <w:i w:val="1"/>
          <w:iCs w:val="1"/>
          <w:sz w:val="24"/>
          <w:szCs w:val="24"/>
          <w:highlight w:val="white"/>
          <w:rtl w:val="0"/>
        </w:rPr>
        <w:t xml:space="preserve">) and improves institutional efficiency (</w:t>
      </w:r>
      <w:r w:rsidDel="00000000" w:rsidR="00000000" w:rsidRPr="00000000">
        <w:rPr>
          <w:rFonts w:ascii="Courier New" w:cs="Courier New" w:eastAsia="Courier New" w:hAnsi="Courier New"/>
          <w:i w:val="1"/>
          <w:iCs w:val="1"/>
          <w:sz w:val="24"/>
          <w:szCs w:val="24"/>
          <w:highlight w:val="white"/>
          <w:rtl w:val="0"/>
        </w:rPr>
        <w:t xml:space="preserve">Y</w:t>
      </w:r>
      <w:r w:rsidDel="00000000" w:rsidR="00000000" w:rsidRPr="00000000">
        <w:rPr>
          <w:i w:val="1"/>
          <w:iCs w:val="1"/>
          <w:sz w:val="24"/>
          <w:szCs w:val="24"/>
          <w:highlight w:val="white"/>
          <w:rtl w:val="0"/>
        </w:rPr>
        <w:t xml:space="preserve">). Over time, enhanced capital velocity and reduced wealth stratification strengthen systemic equity (</w:t>
      </w:r>
      <w:r w:rsidDel="00000000" w:rsidR="00000000" w:rsidRPr="00000000">
        <w:rPr>
          <w:rFonts w:ascii="Courier New" w:cs="Courier New" w:eastAsia="Courier New" w:hAnsi="Courier New"/>
          <w:i w:val="1"/>
          <w:iCs w:val="1"/>
          <w:sz w:val="24"/>
          <w:szCs w:val="24"/>
          <w:highlight w:val="white"/>
          <w:rtl w:val="0"/>
        </w:rPr>
        <w:t xml:space="preserve">Z</w:t>
      </w:r>
      <w:r w:rsidDel="00000000" w:rsidR="00000000" w:rsidRPr="00000000">
        <w:rPr>
          <w:i w:val="1"/>
          <w:iCs w:val="1"/>
          <w:sz w:val="24"/>
          <w:szCs w:val="24"/>
          <w:highlight w:val="white"/>
          <w:rtl w:val="0"/>
        </w:rPr>
        <w:t xml:space="preserve">), elevating currency stability, expanding GDP throughput, and improving sovereign debt sustainability through higher organic tax revenue. Rather than capital being idle or concentrated, dynamic circulation transforms static wealth into active economic throughput.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