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2B4C7E"/>
          <w:sz w:val="36"/>
          <w:szCs w:val="36"/>
        </w:rPr>
        <w:t xml:space="preserve">MEMORANDUM</w:t>
      </w:r>
    </w:p>
    <w:p>
      <w:pPr>
        <w:pBdr>
          <w:bottom w:val="single" w:color="2B4C7E" w:sz="8" w:space="8"/>
        </w:pBdr>
        <w:spacing w:after="300"/>
        <w:jc w:val="center"/>
      </w:pPr>
      <w:r>
        <w:rPr>
          <w:rFonts w:ascii="Arial" w:cs="Arial" w:eastAsia="Arial" w:hAnsi="Arial"/>
          <w:color w:val="444444"/>
          <w:sz w:val="24"/>
          <w:szCs w:val="24"/>
        </w:rPr>
        <w:t xml:space="preserve">Fixed Income Product Control – Ongoing Reconciliation and Process Failures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sz="0"/>
              <w:left w:val="none" w:sz="0"/>
              <w:bottom w:val="none" w:sz="0"/>
              <w:right w:val="none" w:sz="0"/>
            </w:tcBorders>
            <w:tcMar>
              <w:top w:type="dxa" w:w="30"/>
              <w:left w:type="dxa" w:w="0"/>
              <w:bottom w:type="dxa" w:w="30"/>
              <w:right w:type="dxa" w:w="80"/>
            </w:tcMar>
          </w:tcPr>
          <w:p>
            <w:pPr>
              <w:spacing w:after="0"/>
            </w:pPr>
            <w:r>
              <w:rPr>
                <w:rFonts w:ascii="Arial" w:cs="Arial" w:eastAsia="Arial" w:hAnsi="Arial"/>
                <w:b/>
                <w:bCs/>
                <w:sz w:val="22"/>
                <w:szCs w:val="22"/>
              </w:rPr>
              <w:t xml:space="preserve">TO:</w:t>
            </w:r>
          </w:p>
        </w:tc>
        <w:tc>
          <w:tcPr>
            <w:tcW w:type="dxa" w:w="7960"/>
            <w:tcBorders>
              <w:top w:val="none" w:sz="0"/>
              <w:left w:val="none" w:sz="0"/>
              <w:bottom w:val="none" w:sz="0"/>
              <w:right w:val="none" w:sz="0"/>
            </w:tcBorders>
            <w:tcMar>
              <w:top w:type="dxa" w:w="30"/>
              <w:left w:type="dxa" w:w="80"/>
              <w:bottom w:type="dxa" w:w="30"/>
              <w:right w:type="dxa" w:w="0"/>
            </w:tcMar>
          </w:tcPr>
          <w:p>
            <w:pPr>
              <w:spacing w:after="0"/>
            </w:pPr>
            <w:r>
              <w:rPr>
                <w:rFonts w:ascii="Arial" w:cs="Arial" w:eastAsia="Arial" w:hAnsi="Arial"/>
                <w:sz w:val="22"/>
                <w:szCs w:val="22"/>
              </w:rPr>
              <w:t xml:space="preserve">Senior Leadership – US Wealth Management Finance</w:t>
            </w:r>
          </w:p>
        </w:tc>
      </w:tr>
      <w:tr>
        <w:tc>
          <w:tcPr>
            <w:tcW w:type="dxa" w:w="1400"/>
            <w:tcBorders>
              <w:top w:val="none" w:sz="0"/>
              <w:left w:val="none" w:sz="0"/>
              <w:bottom w:val="none" w:sz="0"/>
              <w:right w:val="none" w:sz="0"/>
            </w:tcBorders>
            <w:tcMar>
              <w:top w:type="dxa" w:w="30"/>
              <w:left w:type="dxa" w:w="0"/>
              <w:bottom w:type="dxa" w:w="30"/>
              <w:right w:type="dxa" w:w="80"/>
            </w:tcMar>
          </w:tcPr>
          <w:p>
            <w:pPr>
              <w:spacing w:after="0"/>
            </w:pPr>
            <w:r>
              <w:rPr>
                <w:rFonts w:ascii="Arial" w:cs="Arial" w:eastAsia="Arial" w:hAnsi="Arial"/>
                <w:b/>
                <w:bCs/>
                <w:sz w:val="22"/>
                <w:szCs w:val="22"/>
              </w:rPr>
              <w:t xml:space="preserve">FROM:</w:t>
            </w:r>
          </w:p>
        </w:tc>
        <w:tc>
          <w:tcPr>
            <w:tcW w:type="dxa" w:w="7960"/>
            <w:tcBorders>
              <w:top w:val="none" w:sz="0"/>
              <w:left w:val="none" w:sz="0"/>
              <w:bottom w:val="none" w:sz="0"/>
              <w:right w:val="none" w:sz="0"/>
            </w:tcBorders>
            <w:tcMar>
              <w:top w:type="dxa" w:w="30"/>
              <w:left w:type="dxa" w:w="80"/>
              <w:bottom w:type="dxa" w:w="30"/>
              <w:right w:type="dxa" w:w="0"/>
            </w:tcMar>
          </w:tcPr>
          <w:p>
            <w:pPr>
              <w:spacing w:after="0"/>
            </w:pPr>
            <w:r>
              <w:rPr>
                <w:rFonts w:ascii="Arial" w:cs="Arial" w:eastAsia="Arial" w:hAnsi="Arial"/>
                <w:sz w:val="22"/>
                <w:szCs w:val="22"/>
              </w:rPr>
              <w:t xml:space="preserve">US Wealth Management FP&amp;A</w:t>
            </w:r>
          </w:p>
        </w:tc>
      </w:tr>
      <w:tr>
        <w:tc>
          <w:tcPr>
            <w:tcW w:type="dxa" w:w="1400"/>
            <w:tcBorders>
              <w:top w:val="none" w:sz="0"/>
              <w:left w:val="none" w:sz="0"/>
              <w:bottom w:val="none" w:sz="0"/>
              <w:right w:val="none" w:sz="0"/>
            </w:tcBorders>
            <w:tcMar>
              <w:top w:type="dxa" w:w="30"/>
              <w:left w:type="dxa" w:w="0"/>
              <w:bottom w:type="dxa" w:w="30"/>
              <w:right w:type="dxa" w:w="80"/>
            </w:tcMar>
          </w:tcPr>
          <w:p>
            <w:pPr>
              <w:spacing w:after="0"/>
            </w:pPr>
            <w:r>
              <w:rPr>
                <w:rFonts w:ascii="Arial" w:cs="Arial" w:eastAsia="Arial" w:hAnsi="Arial"/>
                <w:b/>
                <w:bCs/>
                <w:sz w:val="22"/>
                <w:szCs w:val="22"/>
              </w:rPr>
              <w:t xml:space="preserve">DATE:</w:t>
            </w:r>
          </w:p>
        </w:tc>
        <w:tc>
          <w:tcPr>
            <w:tcW w:type="dxa" w:w="7960"/>
            <w:tcBorders>
              <w:top w:val="none" w:sz="0"/>
              <w:left w:val="none" w:sz="0"/>
              <w:bottom w:val="none" w:sz="0"/>
              <w:right w:val="none" w:sz="0"/>
            </w:tcBorders>
            <w:tcMar>
              <w:top w:type="dxa" w:w="30"/>
              <w:left w:type="dxa" w:w="80"/>
              <w:bottom w:type="dxa" w:w="30"/>
              <w:right w:type="dxa" w:w="0"/>
            </w:tcMar>
          </w:tcPr>
          <w:p>
            <w:pPr>
              <w:spacing w:after="0"/>
            </w:pPr>
            <w:r>
              <w:rPr>
                <w:rFonts w:ascii="Arial" w:cs="Arial" w:eastAsia="Arial" w:hAnsi="Arial"/>
                <w:sz w:val="22"/>
                <w:szCs w:val="22"/>
              </w:rPr>
              <w:t xml:space="preserve">March 31, 2026</w:t>
            </w:r>
          </w:p>
        </w:tc>
      </w:tr>
      <w:tr>
        <w:tc>
          <w:tcPr>
            <w:tcW w:type="dxa" w:w="1400"/>
            <w:tcBorders>
              <w:top w:val="none" w:sz="0"/>
              <w:left w:val="none" w:sz="0"/>
              <w:bottom w:val="none" w:sz="0"/>
              <w:right w:val="none" w:sz="0"/>
            </w:tcBorders>
            <w:tcMar>
              <w:top w:type="dxa" w:w="30"/>
              <w:left w:type="dxa" w:w="0"/>
              <w:bottom w:type="dxa" w:w="30"/>
              <w:right w:type="dxa" w:w="80"/>
            </w:tcMar>
          </w:tcPr>
          <w:p>
            <w:pPr>
              <w:spacing w:after="0"/>
            </w:pPr>
            <w:r>
              <w:rPr>
                <w:rFonts w:ascii="Arial" w:cs="Arial" w:eastAsia="Arial" w:hAnsi="Arial"/>
                <w:b/>
                <w:bCs/>
                <w:sz w:val="22"/>
                <w:szCs w:val="22"/>
              </w:rPr>
              <w:t xml:space="preserve">RE:</w:t>
            </w:r>
          </w:p>
        </w:tc>
        <w:tc>
          <w:tcPr>
            <w:tcW w:type="dxa" w:w="7960"/>
            <w:tcBorders>
              <w:top w:val="none" w:sz="0"/>
              <w:left w:val="none" w:sz="0"/>
              <w:bottom w:val="none" w:sz="0"/>
              <w:right w:val="none" w:sz="0"/>
            </w:tcBorders>
            <w:tcMar>
              <w:top w:type="dxa" w:w="30"/>
              <w:left w:type="dxa" w:w="80"/>
              <w:bottom w:type="dxa" w:w="30"/>
              <w:right w:type="dxa" w:w="0"/>
            </w:tcMar>
          </w:tcPr>
          <w:p>
            <w:pPr>
              <w:spacing w:after="0"/>
            </w:pPr>
            <w:r>
              <w:rPr>
                <w:rFonts w:ascii="Arial" w:cs="Arial" w:eastAsia="Arial" w:hAnsi="Arial"/>
                <w:sz w:val="22"/>
                <w:szCs w:val="22"/>
              </w:rPr>
              <w:t xml:space="preserve">Escalation – Unresolved Product Control Issues Affecting Fixed Income P&amp;L Accuracy (Transit Accounts 42822 / 42608, Account 9208521)</w:t>
            </w:r>
          </w:p>
        </w:tc>
      </w:tr>
    </w:tbl>
    <w:p>
      <w:pPr>
        <w:spacing w:after="200" w:before="300"/>
      </w:pPr>
    </w:p>
    <w:p>
      <w:pPr>
        <w:pStyle w:val="Heading1"/>
      </w:pPr>
      <w:r>
        <w:t xml:space="preserve">1. Executive Summary</w:t>
      </w:r>
    </w:p>
    <w:p>
      <w:pPr>
        <w:spacing w:after="160"/>
      </w:pPr>
      <w:r>
        <w:rPr>
          <w:rFonts w:ascii="Arial" w:cs="Arial" w:eastAsia="Arial" w:hAnsi="Arial"/>
          <w:sz w:val="22"/>
          <w:szCs w:val="22"/>
        </w:rPr>
        <w:t xml:space="preserve">This memorandum documents a persistent, unresolved failure by the Product Control (“PC”) group to accurately and transparently manage trade date / settle date (“TD/SD”) adjustments and related accrual entries that flow through the US Wealth Management (“WM”) fixed income general ledger. The issues are concentrated in transit accounts 42822 and 42608 under account 9208521.</w:t>
      </w:r>
    </w:p>
    <w:p>
      <w:pPr>
        <w:spacing w:after="160"/>
      </w:pPr>
      <w:r>
        <w:rPr>
          <w:rFonts w:ascii="Arial" w:cs="Arial" w:eastAsia="Arial" w:hAnsi="Arial"/>
          <w:sz w:val="22"/>
          <w:szCs w:val="22"/>
        </w:rPr>
        <w:t xml:space="preserve">Over a period exceeding twelve months, the WM FP&amp;A and Financial Control teams have repeatedly raised concerns, requested documentation, and sought root-cause explanations from the PC team. In nearly every instance, the PC group has either been unresponsive, provided unexplained last-minute corrections during the close cycle, or failed to deliver the process documentation necessary to independently verify the accuracy of their bookings.</w:t>
      </w:r>
    </w:p>
    <w:p>
      <w:pPr>
        <w:spacing w:after="160"/>
      </w:pPr>
      <w:r>
        <w:rPr>
          <w:rFonts w:ascii="Arial" w:cs="Arial" w:eastAsia="Arial" w:hAnsi="Arial"/>
          <w:sz w:val="22"/>
          <w:szCs w:val="22"/>
        </w:rPr>
        <w:t xml:space="preserve">The departures of key PC personnel—most notably Jason Li—have further degraded service quality, and the transition to replacement staff has introduced additional errors. We are unable to confirm the accuracy of monthly P&amp;L results in the fixed income book with confidence, which presents a material risk to the integrity of our financial reporting.</w:t>
      </w:r>
    </w:p>
    <w:p>
      <w:pPr>
        <w:spacing w:after="160"/>
      </w:pPr>
      <w:r>
        <w:rPr>
          <w:rFonts w:ascii="Arial" w:cs="Arial" w:eastAsia="Arial" w:hAnsi="Arial"/>
          <w:sz w:val="22"/>
          <w:szCs w:val="22"/>
        </w:rPr>
        <w:t xml:space="preserve">We are formally requesting that this matter be escalated to the appropriate senior leadership within the Product Control organization to establish accountability, complete a thorough reconciliation, deliver process documentation, and assign a dedicated, responsive point of contact for US WM going forward.</w:t>
      </w:r>
    </w:p>
    <w:p>
      <w:pPr>
        <w:pStyle w:val="Heading1"/>
      </w:pPr>
      <w:r>
        <w:t xml:space="preserve">2. Background</w:t>
      </w:r>
    </w:p>
    <w:p>
      <w:pPr>
        <w:spacing w:after="160"/>
      </w:pPr>
      <w:r>
        <w:rPr>
          <w:rFonts w:ascii="Arial" w:cs="Arial" w:eastAsia="Arial" w:hAnsi="Arial"/>
          <w:sz w:val="22"/>
          <w:szCs w:val="22"/>
        </w:rPr>
        <w:t xml:space="preserve">US Wealth Management does not have a dedicated product control function. The PC support for our fixed income trading desk—headed by Matt Boardman—is provided by a centralized team within RBC Capital Markets, led by Angela Chiu-Pastine. This team is responsible for booking trade date / settle day adjustments, accruals, and reclassifications in the general ledger that correspond to the trading desk’s activity.</w:t>
      </w:r>
    </w:p>
    <w:p>
      <w:pPr>
        <w:spacing w:after="160"/>
      </w:pPr>
      <w:r>
        <w:rPr>
          <w:rFonts w:ascii="Arial" w:cs="Arial" w:eastAsia="Arial" w:hAnsi="Arial"/>
          <w:sz w:val="22"/>
          <w:szCs w:val="22"/>
        </w:rPr>
        <w:t xml:space="preserve">The trading desk maintains its own P&amp;L reporting, which we understand to be largely accurate. However, the entries that the PC team books to the GL—which are supposed to reconcile to the desk’s figures—have consistently exhibited large, unexplained variances. The WM FP&amp;A team has been unable to tie the GL transit activity to the desk’s P&amp;L, and the PC team has not provided the trade-level detail or process documentation necessary to perform that reconciliation independently.</w:t>
      </w:r>
    </w:p>
    <w:p>
      <w:pPr>
        <w:spacing w:after="160"/>
      </w:pPr>
      <w:r>
        <w:rPr>
          <w:rFonts w:ascii="Arial" w:cs="Arial" w:eastAsia="Arial" w:hAnsi="Arial"/>
          <w:sz w:val="22"/>
          <w:szCs w:val="22"/>
        </w:rPr>
        <w:t xml:space="preserve">These TD/SD adjustments are expected to be timing differences that net to zero over time. Instead, we have observed persistent, growing debit balances in the transit accounts—suggesting either errors in the booking process, unexplained permanent items, or both.</w:t>
      </w:r>
    </w:p>
    <w:p>
      <w:pPr>
        <w:pStyle w:val="Heading1"/>
      </w:pPr>
      <w:r>
        <w:t xml:space="preserve">3. Chronology of Issues and Escalation Attempts</w:t>
      </w:r>
    </w:p>
    <w:p>
      <w:pPr>
        <w:spacing w:after="200"/>
      </w:pPr>
      <w:r>
        <w:rPr>
          <w:rFonts w:ascii="Arial" w:cs="Arial" w:eastAsia="Arial" w:hAnsi="Arial"/>
          <w:sz w:val="22"/>
          <w:szCs w:val="22"/>
        </w:rPr>
        <w:t xml:space="preserve">The following table summarizes the documented history of this issue, based on email correspondence among the FP&amp;A, Financial Control, and Product Control teams. This is not exhaustive; additional informal inquiries and verbal follow-ups have occurred throughout this period.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c>
          <w:tcPr>
            <w:tcW w:type="dxa" w:w="1600"/>
            <w:tcBorders>
              <w:top w:val="single" w:color="999999" w:sz="1"/>
              <w:left w:val="single" w:color="999999" w:sz="1"/>
              <w:bottom w:val="single" w:color="999999" w:sz="1"/>
              <w:right w:val="single" w:color="999999" w:sz="1"/>
            </w:tcBorders>
            <w:shd w:fill="2B4C7E" w:val="clear"/>
            <w:tcMar>
              <w:top w:type="dxa" w:w="60"/>
              <w:left w:type="dxa" w:w="100"/>
              <w:bottom w:type="dxa" w:w="60"/>
              <w:right w:type="dxa" w:w="100"/>
            </w:tcMar>
            <w:vAlign w:val="center"/>
          </w:tcPr>
          <w:p>
            <w:r>
              <w:rPr>
                <w:rFonts w:ascii="Arial" w:cs="Arial" w:eastAsia="Arial" w:hAnsi="Arial"/>
                <w:b/>
                <w:bCs/>
                <w:color w:val="FFFFFF"/>
                <w:sz w:val="18"/>
                <w:szCs w:val="18"/>
              </w:rPr>
              <w:t xml:space="preserve">Date</w:t>
            </w:r>
          </w:p>
        </w:tc>
        <w:tc>
          <w:tcPr>
            <w:tcW w:type="dxa" w:w="2200"/>
            <w:tcBorders>
              <w:top w:val="single" w:color="999999" w:sz="1"/>
              <w:left w:val="single" w:color="999999" w:sz="1"/>
              <w:bottom w:val="single" w:color="999999" w:sz="1"/>
              <w:right w:val="single" w:color="999999" w:sz="1"/>
            </w:tcBorders>
            <w:shd w:fill="2B4C7E" w:val="clear"/>
            <w:tcMar>
              <w:top w:type="dxa" w:w="60"/>
              <w:left w:type="dxa" w:w="100"/>
              <w:bottom w:type="dxa" w:w="60"/>
              <w:right w:type="dxa" w:w="100"/>
            </w:tcMar>
            <w:vAlign w:val="center"/>
          </w:tcPr>
          <w:p>
            <w:r>
              <w:rPr>
                <w:rFonts w:ascii="Arial" w:cs="Arial" w:eastAsia="Arial" w:hAnsi="Arial"/>
                <w:b/>
                <w:bCs/>
                <w:color w:val="FFFFFF"/>
                <w:sz w:val="18"/>
                <w:szCs w:val="18"/>
              </w:rPr>
              <w:t xml:space="preserve">Raised By</w:t>
            </w:r>
          </w:p>
        </w:tc>
        <w:tc>
          <w:tcPr>
            <w:tcW w:type="dxa" w:w="5560"/>
            <w:tcBorders>
              <w:top w:val="single" w:color="999999" w:sz="1"/>
              <w:left w:val="single" w:color="999999" w:sz="1"/>
              <w:bottom w:val="single" w:color="999999" w:sz="1"/>
              <w:right w:val="single" w:color="999999" w:sz="1"/>
            </w:tcBorders>
            <w:shd w:fill="2B4C7E" w:val="clear"/>
            <w:tcMar>
              <w:top w:type="dxa" w:w="60"/>
              <w:left w:type="dxa" w:w="100"/>
              <w:bottom w:type="dxa" w:w="60"/>
              <w:right w:type="dxa" w:w="100"/>
            </w:tcMar>
            <w:vAlign w:val="center"/>
          </w:tcPr>
          <w:p>
            <w:r>
              <w:rPr>
                <w:rFonts w:ascii="Arial" w:cs="Arial" w:eastAsia="Arial" w:hAnsi="Arial"/>
                <w:b/>
                <w:bCs/>
                <w:color w:val="FFFFFF"/>
                <w:sz w:val="18"/>
                <w:szCs w:val="18"/>
              </w:rPr>
              <w:t xml:space="preserve">Issue / Action</w:t>
            </w:r>
          </w:p>
        </w:tc>
      </w:tr>
      <w:tr>
        <w:tc>
          <w:tcPr>
            <w:tcW w:type="dxa" w:w="16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spacing w:after="0"/>
            </w:pPr>
            <w:r>
              <w:rPr>
                <w:rFonts w:ascii="Arial" w:cs="Arial" w:eastAsia="Arial" w:hAnsi="Arial"/>
                <w:sz w:val="18"/>
                <w:szCs w:val="18"/>
              </w:rPr>
              <w:t xml:space="preserve">Mar–Apr 2025</w:t>
            </w:r>
          </w:p>
        </w:tc>
        <w:tc>
          <w:tcPr>
            <w:tcW w:type="dxa" w:w="2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spacing w:after="0"/>
            </w:pPr>
            <w:r>
              <w:rPr>
                <w:rFonts w:ascii="Arial" w:cs="Arial" w:eastAsia="Arial" w:hAnsi="Arial"/>
                <w:sz w:val="18"/>
                <w:szCs w:val="18"/>
              </w:rPr>
              <w:t xml:space="preserve">Eric Roggeman</w:t>
            </w:r>
          </w:p>
        </w:tc>
        <w:tc>
          <w:tcPr>
            <w:tcW w:type="dxa" w:w="55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spacing w:after="0"/>
            </w:pPr>
            <w:r>
              <w:rPr>
                <w:rFonts w:ascii="Arial" w:cs="Arial" w:eastAsia="Arial" w:hAnsi="Arial"/>
                <w:sz w:val="18"/>
                <w:szCs w:val="18"/>
              </w:rPr>
              <w:t xml:space="preserve">Raised initial concerns about March fixed income results and transit account 42634 discrepancies. Lidia Podyma (FC) investigated mapping changes and reclasses in ICI; identified balance sitting in incorrect entity/channel needing reclassification.</w:t>
            </w:r>
          </w:p>
        </w:tc>
      </w:tr>
      <w:tr>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Arial" w:cs="Arial" w:eastAsia="Arial" w:hAnsi="Arial"/>
                <w:sz w:val="18"/>
                <w:szCs w:val="18"/>
              </w:rPr>
              <w:t xml:space="preserve">May 5, 2025</w:t>
            </w:r>
          </w:p>
        </w:tc>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Arial" w:cs="Arial" w:eastAsia="Arial" w:hAnsi="Arial"/>
                <w:sz w:val="18"/>
                <w:szCs w:val="18"/>
              </w:rPr>
              <w:t xml:space="preserve">Lidia Podyma</w:t>
            </w:r>
          </w:p>
        </w:tc>
        <w:tc>
          <w:tcPr>
            <w:tcW w:type="dxa" w:w="55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Arial" w:cs="Arial" w:eastAsia="Arial" w:hAnsi="Arial"/>
                <w:sz w:val="18"/>
                <w:szCs w:val="18"/>
              </w:rPr>
              <w:t xml:space="preserve">Refreshed total P&amp;L spreadsheet for transit 42634. Confirmed YTD results ($12.6M) and quarterly figures looked materially correct across Trading, Interest, and IB buckets, but noted month-over-month variances driven by unexplained reclasses between Interest and U/W, and a missed entry for new channel 069 in March. Asked PC to confirm alignment with their desk submission.</w:t>
            </w:r>
          </w:p>
        </w:tc>
      </w:tr>
      <w:tr>
        <w:tc>
          <w:tcPr>
            <w:tcW w:type="dxa" w:w="16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spacing w:after="0"/>
            </w:pPr>
            <w:r>
              <w:rPr>
                <w:rFonts w:ascii="Arial" w:cs="Arial" w:eastAsia="Arial" w:hAnsi="Arial"/>
                <w:sz w:val="18"/>
                <w:szCs w:val="18"/>
              </w:rPr>
              <w:t xml:space="preserve">Jun 5, 2025</w:t>
            </w:r>
          </w:p>
        </w:tc>
        <w:tc>
          <w:tcPr>
            <w:tcW w:type="dxa" w:w="2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spacing w:after="0"/>
            </w:pPr>
            <w:r>
              <w:rPr>
                <w:rFonts w:ascii="Arial" w:cs="Arial" w:eastAsia="Arial" w:hAnsi="Arial"/>
                <w:sz w:val="18"/>
                <w:szCs w:val="18"/>
              </w:rPr>
              <w:t xml:space="preserve">Eric Roggeman</w:t>
            </w:r>
          </w:p>
        </w:tc>
        <w:tc>
          <w:tcPr>
            <w:tcW w:type="dxa" w:w="55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spacing w:after="0"/>
            </w:pPr>
            <w:r>
              <w:rPr>
                <w:rFonts w:ascii="Arial" w:cs="Arial" w:eastAsia="Arial" w:hAnsi="Arial"/>
                <w:sz w:val="18"/>
                <w:szCs w:val="18"/>
              </w:rPr>
              <w:t xml:space="preserve">Identified unusual debit in transit 42608—approximately $5M lower than prior month. Flagged as likely requiring a correction entry. Asked if anyone had line of sight on transit 42608. Jason Li (PC) confirmed an adjustment would be forthcoming for 42608. No root cause or documentation provided.</w:t>
            </w:r>
          </w:p>
        </w:tc>
      </w:tr>
      <w:tr>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Arial" w:cs="Arial" w:eastAsia="Arial" w:hAnsi="Arial"/>
                <w:sz w:val="18"/>
                <w:szCs w:val="18"/>
              </w:rPr>
              <w:t xml:space="preserve">Jul 16, 2025</w:t>
            </w:r>
          </w:p>
        </w:tc>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Arial" w:cs="Arial" w:eastAsia="Arial" w:hAnsi="Arial"/>
                <w:sz w:val="18"/>
                <w:szCs w:val="18"/>
              </w:rPr>
              <w:t xml:space="preserve">Kasia Kozlowski</w:t>
            </w:r>
          </w:p>
        </w:tc>
        <w:tc>
          <w:tcPr>
            <w:tcW w:type="dxa" w:w="55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Arial" w:cs="Arial" w:eastAsia="Arial" w:hAnsi="Arial"/>
                <w:sz w:val="18"/>
                <w:szCs w:val="18"/>
              </w:rPr>
              <w:t xml:space="preserve">Kasia (Senior Accountant, FC) and Lidia discussed the ongoing lack of feedback from PC. Scheduled a call with Angela Chiu-Pastine to discuss how the debit balance was being created in Transit 42822 and which transit account should receive the reclassification. Eric Roggeman asked to be included.</w:t>
            </w:r>
          </w:p>
        </w:tc>
      </w:tr>
      <w:tr>
        <w:tc>
          <w:tcPr>
            <w:tcW w:type="dxa" w:w="16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spacing w:after="0"/>
            </w:pPr>
            <w:r>
              <w:rPr>
                <w:rFonts w:ascii="Arial" w:cs="Arial" w:eastAsia="Arial" w:hAnsi="Arial"/>
                <w:sz w:val="18"/>
                <w:szCs w:val="18"/>
              </w:rPr>
              <w:t xml:space="preserve">Aug 20, 2025</w:t>
            </w:r>
          </w:p>
        </w:tc>
        <w:tc>
          <w:tcPr>
            <w:tcW w:type="dxa" w:w="2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spacing w:after="0"/>
            </w:pPr>
            <w:r>
              <w:rPr>
                <w:rFonts w:ascii="Arial" w:cs="Arial" w:eastAsia="Arial" w:hAnsi="Arial"/>
                <w:sz w:val="18"/>
                <w:szCs w:val="18"/>
              </w:rPr>
              <w:t xml:space="preserve">Eric Roggeman</w:t>
            </w:r>
          </w:p>
        </w:tc>
        <w:tc>
          <w:tcPr>
            <w:tcW w:type="dxa" w:w="55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spacing w:after="0"/>
            </w:pPr>
            <w:r>
              <w:rPr>
                <w:rFonts w:ascii="Arial" w:cs="Arial" w:eastAsia="Arial" w:hAnsi="Arial"/>
                <w:sz w:val="18"/>
                <w:szCs w:val="18"/>
              </w:rPr>
              <w:t xml:space="preserve">Brought thread to top of all recipients’ inboxes. Through July, WM was still showing approximately $4M YTD debit in the transit account. Noted that open questions about non-reversing (permanent) entries remained unanswered. Asked whether documentation had been completed for non-reversing entries, as these were likely the source of the YTD variance.</w:t>
            </w:r>
          </w:p>
        </w:tc>
      </w:tr>
      <w:tr>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Arial" w:cs="Arial" w:eastAsia="Arial" w:hAnsi="Arial"/>
                <w:sz w:val="18"/>
                <w:szCs w:val="18"/>
              </w:rPr>
              <w:t xml:space="preserve">Aug 29, 2025</w:t>
            </w:r>
          </w:p>
        </w:tc>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Arial" w:cs="Arial" w:eastAsia="Arial" w:hAnsi="Arial"/>
                <w:sz w:val="18"/>
                <w:szCs w:val="18"/>
              </w:rPr>
              <w:t xml:space="preserve">Jason Li (PC)</w:t>
            </w:r>
          </w:p>
        </w:tc>
        <w:tc>
          <w:tcPr>
            <w:tcW w:type="dxa" w:w="55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Arial" w:cs="Arial" w:eastAsia="Arial" w:hAnsi="Arial"/>
                <w:sz w:val="18"/>
                <w:szCs w:val="18"/>
              </w:rPr>
              <w:t xml:space="preserve">Acknowledged that ADP TDSD records from November 2024 through July 2025 contained mapping errors in the source file used by Sepideh (PC) to post entries for transit 42608. Stated incorrect entries cascaded through subsequent months. Committed to a $4M adjustment to transit 42822 in the upcoming month-end. No formal root cause documentation provided.</w:t>
            </w:r>
          </w:p>
        </w:tc>
      </w:tr>
      <w:tr>
        <w:tc>
          <w:tcPr>
            <w:tcW w:type="dxa" w:w="16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spacing w:after="0"/>
            </w:pPr>
            <w:r>
              <w:rPr>
                <w:rFonts w:ascii="Arial" w:cs="Arial" w:eastAsia="Arial" w:hAnsi="Arial"/>
                <w:sz w:val="18"/>
                <w:szCs w:val="18"/>
              </w:rPr>
              <w:t xml:space="preserve">Sep 4, 2025</w:t>
            </w:r>
          </w:p>
        </w:tc>
        <w:tc>
          <w:tcPr>
            <w:tcW w:type="dxa" w:w="2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spacing w:after="0"/>
            </w:pPr>
            <w:r>
              <w:rPr>
                <w:rFonts w:ascii="Arial" w:cs="Arial" w:eastAsia="Arial" w:hAnsi="Arial"/>
                <w:sz w:val="18"/>
                <w:szCs w:val="18"/>
              </w:rPr>
              <w:t xml:space="preserve">Angela Chiu-Pastine (PC)</w:t>
            </w:r>
          </w:p>
        </w:tc>
        <w:tc>
          <w:tcPr>
            <w:tcW w:type="dxa" w:w="55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spacing w:after="0"/>
            </w:pPr>
            <w:r>
              <w:rPr>
                <w:rFonts w:ascii="Arial" w:cs="Arial" w:eastAsia="Arial" w:hAnsi="Arial"/>
                <w:sz w:val="18"/>
                <w:szCs w:val="18"/>
              </w:rPr>
              <w:t xml:space="preserve">Informed the group that PC would NOT be processing any entries for August month-end. Stated they needed additional time to thoroughly investigate and ensure all necessary components were captured. A follow-up meeting was to be scheduled after their review. This delayed the close.</w:t>
            </w:r>
          </w:p>
        </w:tc>
      </w:tr>
      <w:tr>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Arial" w:cs="Arial" w:eastAsia="Arial" w:hAnsi="Arial"/>
                <w:sz w:val="18"/>
                <w:szCs w:val="18"/>
              </w:rPr>
              <w:t xml:space="preserve">Oct 15, 2025</w:t>
            </w:r>
          </w:p>
        </w:tc>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Arial" w:cs="Arial" w:eastAsia="Arial" w:hAnsi="Arial"/>
                <w:sz w:val="18"/>
                <w:szCs w:val="18"/>
              </w:rPr>
              <w:t xml:space="preserve">Jason Li (PC)</w:t>
            </w:r>
          </w:p>
        </w:tc>
        <w:tc>
          <w:tcPr>
            <w:tcW w:type="dxa" w:w="55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Arial" w:cs="Arial" w:eastAsia="Arial" w:hAnsi="Arial"/>
                <w:sz w:val="18"/>
                <w:szCs w:val="18"/>
              </w:rPr>
              <w:t xml:space="preserve">Posted a permanent adjustment to correct the reversing balance in ME September 2025: Account 42608/9208521 credit of ($1,366,151.77) and account 42822/9208521 debit of $1,366,151.77. No explanation of what caused the original error or how it was validated. WM FP&amp;A noted: “It remains unclear to me what the issue was. PC claims they fixed it, but I have no way to confirm accuracy even after the fix. No details were provided.”</w:t>
            </w:r>
          </w:p>
        </w:tc>
      </w:tr>
      <w:tr>
        <w:tc>
          <w:tcPr>
            <w:tcW w:type="dxa" w:w="16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spacing w:after="0"/>
            </w:pPr>
            <w:r>
              <w:rPr>
                <w:rFonts w:ascii="Arial" w:cs="Arial" w:eastAsia="Arial" w:hAnsi="Arial"/>
                <w:sz w:val="18"/>
                <w:szCs w:val="18"/>
              </w:rPr>
              <w:t xml:space="preserve">Jan 7, 2026</w:t>
            </w:r>
          </w:p>
        </w:tc>
        <w:tc>
          <w:tcPr>
            <w:tcW w:type="dxa" w:w="2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spacing w:after="0"/>
            </w:pPr>
            <w:r>
              <w:rPr>
                <w:rFonts w:ascii="Arial" w:cs="Arial" w:eastAsia="Arial" w:hAnsi="Arial"/>
                <w:sz w:val="18"/>
                <w:szCs w:val="18"/>
              </w:rPr>
              <w:t xml:space="preserve">Eric Roggeman</w:t>
            </w:r>
          </w:p>
        </w:tc>
        <w:tc>
          <w:tcPr>
            <w:tcW w:type="dxa" w:w="55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spacing w:after="0"/>
            </w:pPr>
            <w:r>
              <w:rPr>
                <w:rFonts w:ascii="Arial" w:cs="Arial" w:eastAsia="Arial" w:hAnsi="Arial"/>
                <w:sz w:val="18"/>
                <w:szCs w:val="18"/>
              </w:rPr>
              <w:t xml:space="preserve">Noted that Jason Li’s email was no longer active (departure from firm). Identified a $16M debit balance in account 42822-9208521 as of that morning. Highlighted consecutive monthly debits of $1.5M and $1M over prior two months. Asked whether Angela’s team would be booking entries to clear the balance, and requested clarification on whether items beyond TD/SD timing adjustments were being posted.</w:t>
            </w:r>
          </w:p>
        </w:tc>
      </w:tr>
      <w:tr>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Arial" w:cs="Arial" w:eastAsia="Arial" w:hAnsi="Arial"/>
                <w:sz w:val="18"/>
                <w:szCs w:val="18"/>
              </w:rPr>
              <w:t xml:space="preserve">Jan 8, 2026</w:t>
            </w:r>
          </w:p>
        </w:tc>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Arial" w:cs="Arial" w:eastAsia="Arial" w:hAnsi="Arial"/>
                <w:sz w:val="18"/>
                <w:szCs w:val="18"/>
              </w:rPr>
              <w:t xml:space="preserve">Angela Chiu-Pastine (PC)</w:t>
            </w:r>
          </w:p>
        </w:tc>
        <w:tc>
          <w:tcPr>
            <w:tcW w:type="dxa" w:w="55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Arial" w:cs="Arial" w:eastAsia="Arial" w:hAnsi="Arial"/>
                <w:sz w:val="18"/>
                <w:szCs w:val="18"/>
              </w:rPr>
              <w:t xml:space="preserve">Responded: “The reclasses have been processed this morning.” No details provided—no explanation of what was reclassed, the root cause, the dollar amount, or the process going forward. This was the entirety of her response.</w:t>
            </w:r>
          </w:p>
        </w:tc>
      </w:tr>
      <w:tr>
        <w:tc>
          <w:tcPr>
            <w:tcW w:type="dxa" w:w="16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spacing w:after="0"/>
            </w:pPr>
            <w:r>
              <w:rPr>
                <w:rFonts w:ascii="Arial" w:cs="Arial" w:eastAsia="Arial" w:hAnsi="Arial"/>
                <w:sz w:val="18"/>
                <w:szCs w:val="18"/>
              </w:rPr>
              <w:t xml:space="preserve">Jan 8, 2026</w:t>
            </w:r>
          </w:p>
        </w:tc>
        <w:tc>
          <w:tcPr>
            <w:tcW w:type="dxa" w:w="2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spacing w:after="0"/>
            </w:pPr>
            <w:r>
              <w:rPr>
                <w:rFonts w:ascii="Arial" w:cs="Arial" w:eastAsia="Arial" w:hAnsi="Arial"/>
                <w:sz w:val="18"/>
                <w:szCs w:val="18"/>
              </w:rPr>
              <w:t xml:space="preserve">Rob Giegerich (MD/CFO, RBC CM LLC)</w:t>
            </w:r>
          </w:p>
        </w:tc>
        <w:tc>
          <w:tcPr>
            <w:tcW w:type="dxa" w:w="55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spacing w:after="0"/>
            </w:pPr>
            <w:r>
              <w:rPr>
                <w:rFonts w:ascii="Arial" w:cs="Arial" w:eastAsia="Arial" w:hAnsi="Arial"/>
                <w:sz w:val="18"/>
                <w:szCs w:val="18"/>
              </w:rPr>
              <w:t xml:space="preserve">Asked for an update on the research, noting that WM Finance colleagues were also being asked about potential journals that still needed processing. This indicates the issue has visibility at the MD/CFO level within Capital Markets.</w:t>
            </w:r>
          </w:p>
        </w:tc>
      </w:tr>
    </w:tbl>
    <w:p>
      <w:pPr>
        <w:spacing w:after="60" w:before="60"/>
      </w:pPr>
    </w:p>
    <w:p>
      <w:pPr>
        <w:pStyle w:val="Heading1"/>
      </w:pPr>
      <w:r>
        <w:t xml:space="preserve">4. Core Concerns</w:t>
      </w:r>
    </w:p>
    <w:p>
      <w:pPr>
        <w:pStyle w:val="Heading2"/>
      </w:pPr>
      <w:r>
        <w:t xml:space="preserve">4.1 Inability to Verify P&amp;L Accuracy</w:t>
      </w:r>
    </w:p>
    <w:p>
      <w:pPr>
        <w:spacing w:after="160"/>
      </w:pPr>
      <w:r>
        <w:rPr>
          <w:rFonts w:ascii="Arial" w:cs="Arial" w:eastAsia="Arial" w:hAnsi="Arial"/>
          <w:sz w:val="22"/>
          <w:szCs w:val="22"/>
        </w:rPr>
        <w:t xml:space="preserve">The WM FP&amp;A team cannot independently tie the general ledger transit account activity to the trading desk’s P&amp;L. The PC team has not provided trade-level data, booking methodology documentation, or a clear reconciliation between their entries and the desk’s reported results. Without this, we cannot confirm whether the P&amp;L we report each month is materially accurate.</w:t>
      </w:r>
    </w:p>
    <w:p>
      <w:pPr>
        <w:pStyle w:val="Heading2"/>
      </w:pPr>
      <w:r>
        <w:t xml:space="preserve">4.2 Unexplained and Growing Balances</w:t>
      </w:r>
    </w:p>
    <w:p>
      <w:pPr>
        <w:spacing w:after="160"/>
      </w:pPr>
      <w:r>
        <w:rPr>
          <w:rFonts w:ascii="Arial" w:cs="Arial" w:eastAsia="Arial" w:hAnsi="Arial"/>
          <w:sz w:val="22"/>
          <w:szCs w:val="22"/>
        </w:rPr>
        <w:t xml:space="preserve">TD/SD adjustments should be timing differences that net to zero. We have instead observed persistent debit balances—reaching $16M in January 2026—with no documentation explaining whether these represent legitimate accruals, booking errors, or something else. The possibility that an unexplained accrual is accumulating on the balance sheet is a significant control concern.</w:t>
      </w:r>
    </w:p>
    <w:p>
      <w:pPr>
        <w:pStyle w:val="Heading2"/>
      </w:pPr>
      <w:r>
        <w:t xml:space="preserve">4.3 Last-Minute Corrections During Close</w:t>
      </w:r>
    </w:p>
    <w:p>
      <w:pPr>
        <w:spacing w:after="160"/>
      </w:pPr>
      <w:r>
        <w:rPr>
          <w:rFonts w:ascii="Arial" w:cs="Arial" w:eastAsia="Arial" w:hAnsi="Arial"/>
          <w:sz w:val="22"/>
          <w:szCs w:val="22"/>
        </w:rPr>
        <w:t xml:space="preserve">Repeatedly, large-dollar discrepancies ($4M–$16M+) have surfaced during the close cycle and been corrected at the last minute with no explanation. This pattern puts our team in the position of certifying monthly results under time pressure without the ability to validate the entries being posted. The January 2026 instance—where a $16M balance was identified on GV5 and Angela’s team simply responded “the reclasses have been processed”—is representative of this pattern.</w:t>
      </w:r>
    </w:p>
    <w:p>
      <w:pPr>
        <w:pStyle w:val="Heading2"/>
      </w:pPr>
      <w:r>
        <w:t xml:space="preserve">4.4 Personnel Transition Risk</w:t>
      </w:r>
    </w:p>
    <w:p>
      <w:pPr>
        <w:spacing w:after="160"/>
      </w:pPr>
      <w:r>
        <w:rPr>
          <w:rFonts w:ascii="Arial" w:cs="Arial" w:eastAsia="Arial" w:hAnsi="Arial"/>
          <w:sz w:val="22"/>
          <w:szCs w:val="22"/>
        </w:rPr>
        <w:t xml:space="preserve">Jason Li, the primary PC contact for this process, has left the firm. His replacement has not been identified to us, and the transition has coincided with increased errors and further degradation in responsiveness. Additionally, the trading desk head’s institutional knowledge represents a single point of failure—if this individual were to depart, there would be no clear owner of the P&amp;L process from either side.</w:t>
      </w:r>
    </w:p>
    <w:p>
      <w:pPr>
        <w:pStyle w:val="Heading2"/>
      </w:pPr>
      <w:r>
        <w:t xml:space="preserve">4.5 Monthly Attestation Risk</w:t>
      </w:r>
    </w:p>
    <w:p>
      <w:pPr>
        <w:spacing w:after="160"/>
      </w:pPr>
      <w:r>
        <w:rPr>
          <w:rFonts w:ascii="Arial" w:cs="Arial" w:eastAsia="Arial" w:hAnsi="Arial"/>
          <w:sz w:val="22"/>
          <w:szCs w:val="22"/>
        </w:rPr>
        <w:t xml:space="preserve">Finance is required to attest monthly that we are not aware of material errors in the reported results. While technically accurate—we are not aware of specific errors—the inability to verify the accuracy of a meaningful revenue stream creates exposure. An internal audit inquiry into this area would likely surface the gap, and the documented history of unresolved concerns would raise questions about whether the attestation was made in good faith.</w:t>
      </w:r>
    </w:p>
    <w:p>
      <w:pPr>
        <w:pStyle w:val="Heading1"/>
      </w:pPr>
      <w:r>
        <w:t xml:space="preserve">5. Requested Actions</w:t>
      </w:r>
    </w:p>
    <w:p>
      <w:pPr>
        <w:spacing w:after="120"/>
      </w:pPr>
      <w:r>
        <w:rPr>
          <w:rFonts w:ascii="Arial" w:cs="Arial" w:eastAsia="Arial" w:hAnsi="Arial"/>
          <w:sz w:val="22"/>
          <w:szCs w:val="22"/>
        </w:rPr>
        <w:t xml:space="preserve">We respectfully request the following from senior leadership within the Product Control organization:</w:t>
      </w:r>
    </w:p>
    <w:p>
      <w:pPr>
        <w:pStyle w:val="ListParagraph"/>
        <w:numPr>
          <w:ilvl w:val="0"/>
          <w:numId w:val="2"/>
        </w:numPr>
        <w:spacing w:after="100"/>
      </w:pPr>
      <w:r>
        <w:rPr>
          <w:rFonts w:ascii="Arial" w:cs="Arial" w:eastAsia="Arial" w:hAnsi="Arial"/>
          <w:b/>
          <w:bCs/>
          <w:sz w:val="22"/>
          <w:szCs w:val="22"/>
        </w:rPr>
        <w:t xml:space="preserve">Assign a Named Point of Contact. </w:t>
      </w:r>
      <w:r>
        <w:rPr>
          <w:rFonts w:ascii="Arial" w:cs="Arial" w:eastAsia="Arial" w:hAnsi="Arial"/>
          <w:sz w:val="22"/>
          <w:szCs w:val="22"/>
        </w:rPr>
        <w:t xml:space="preserve">Identify the individual who has replaced Jason Li and establish them as the primary contact for US WM fixed income product control matters. This person should be introduced to the WM FP&amp;A and FC teams.</w:t>
      </w:r>
    </w:p>
    <w:p>
      <w:pPr>
        <w:pStyle w:val="ListParagraph"/>
        <w:numPr>
          <w:ilvl w:val="0"/>
          <w:numId w:val="2"/>
        </w:numPr>
        <w:spacing w:after="100"/>
      </w:pPr>
      <w:r>
        <w:rPr>
          <w:rFonts w:ascii="Arial" w:cs="Arial" w:eastAsia="Arial" w:hAnsi="Arial"/>
          <w:b/>
          <w:bCs/>
          <w:sz w:val="22"/>
          <w:szCs w:val="22"/>
        </w:rPr>
        <w:t xml:space="preserve">Deliver Process Documentation. </w:t>
      </w:r>
      <w:r>
        <w:rPr>
          <w:rFonts w:ascii="Arial" w:cs="Arial" w:eastAsia="Arial" w:hAnsi="Arial"/>
          <w:sz w:val="22"/>
          <w:szCs w:val="22"/>
        </w:rPr>
        <w:t xml:space="preserve">Provide a written description of the TD/SD adjustment process, including: the source data used, the booking methodology, the expected behavior of the transit accounts, and the reconciliation process to the desk’s P&amp;L. This should be delivered within 30 calendar days.</w:t>
      </w:r>
    </w:p>
    <w:p>
      <w:pPr>
        <w:pStyle w:val="ListParagraph"/>
        <w:numPr>
          <w:ilvl w:val="0"/>
          <w:numId w:val="2"/>
        </w:numPr>
        <w:spacing w:after="100"/>
      </w:pPr>
      <w:r>
        <w:rPr>
          <w:rFonts w:ascii="Arial" w:cs="Arial" w:eastAsia="Arial" w:hAnsi="Arial"/>
          <w:b/>
          <w:bCs/>
          <w:sz w:val="22"/>
          <w:szCs w:val="22"/>
        </w:rPr>
        <w:t xml:space="preserve">Complete a Full Reconciliation. </w:t>
      </w:r>
      <w:r>
        <w:rPr>
          <w:rFonts w:ascii="Arial" w:cs="Arial" w:eastAsia="Arial" w:hAnsi="Arial"/>
          <w:sz w:val="22"/>
          <w:szCs w:val="22"/>
        </w:rPr>
        <w:t xml:space="preserve">Perform and share with WM Finance a complete reconciliation of transit accounts 42822 and 42608 (account 9208521) from January 2025 through the current period, including identification and explanation of all non-reversing/permanent entries.</w:t>
      </w:r>
    </w:p>
    <w:p>
      <w:pPr>
        <w:pStyle w:val="ListParagraph"/>
        <w:numPr>
          <w:ilvl w:val="0"/>
          <w:numId w:val="2"/>
        </w:numPr>
        <w:spacing w:after="100"/>
      </w:pPr>
      <w:r>
        <w:rPr>
          <w:rFonts w:ascii="Arial" w:cs="Arial" w:eastAsia="Arial" w:hAnsi="Arial"/>
          <w:b/>
          <w:bCs/>
          <w:sz w:val="22"/>
          <w:szCs w:val="22"/>
        </w:rPr>
        <w:t xml:space="preserve">Establish a Recurring Review Cadence. </w:t>
      </w:r>
      <w:r>
        <w:rPr>
          <w:rFonts w:ascii="Arial" w:cs="Arial" w:eastAsia="Arial" w:hAnsi="Arial"/>
          <w:sz w:val="22"/>
          <w:szCs w:val="22"/>
        </w:rPr>
        <w:t xml:space="preserve">Institute a monthly touchpoint between the PC team and WM Finance (FP&amp;A and FC) to review transit account activity, confirm entries are booked timely, and resolve discrepancies before the close deadline.</w:t>
      </w:r>
    </w:p>
    <w:p>
      <w:pPr>
        <w:pStyle w:val="ListParagraph"/>
        <w:numPr>
          <w:ilvl w:val="0"/>
          <w:numId w:val="2"/>
        </w:numPr>
        <w:spacing w:after="100"/>
      </w:pPr>
      <w:r>
        <w:rPr>
          <w:rFonts w:ascii="Arial" w:cs="Arial" w:eastAsia="Arial" w:hAnsi="Arial"/>
          <w:b/>
          <w:bCs/>
          <w:sz w:val="22"/>
          <w:szCs w:val="22"/>
        </w:rPr>
        <w:t xml:space="preserve">Acknowledge and Respond. </w:t>
      </w:r>
      <w:r>
        <w:rPr>
          <w:rFonts w:ascii="Arial" w:cs="Arial" w:eastAsia="Arial" w:hAnsi="Arial"/>
          <w:sz w:val="22"/>
          <w:szCs w:val="22"/>
        </w:rPr>
        <w:t xml:space="preserve">We request a written acknowledgment of this memorandum and a proposed remediation timeline within 10 business days.</w:t>
      </w:r>
    </w:p>
    <w:p>
      <w:pPr>
        <w:spacing w:after="60" w:before="60"/>
      </w:pPr>
    </w:p>
    <w:p>
      <w:pPr>
        <w:pStyle w:val="Heading1"/>
      </w:pPr>
      <w:r>
        <w:t xml:space="preserve">6. Conclusion</w:t>
      </w:r>
    </w:p>
    <w:p>
      <w:pPr>
        <w:spacing w:after="160"/>
      </w:pPr>
      <w:r>
        <w:rPr>
          <w:rFonts w:ascii="Arial" w:cs="Arial" w:eastAsia="Arial" w:hAnsi="Arial"/>
          <w:sz w:val="22"/>
          <w:szCs w:val="22"/>
        </w:rPr>
        <w:t xml:space="preserve">This issue has persisted for over a year despite repeated good-faith efforts by the WM FP&amp;A and Financial Control teams to resolve it directly with the PC group. The pattern of unresponsiveness, unexplained corrections, and lack of documentation has not improved—and has in fact worsened following personnel changes on the PC team. We believe formal escalation is now necessary to protect the integrity of our financial reporting and to ensure appropriate controls are in place.</w:t>
      </w:r>
    </w:p>
    <w:p>
      <w:pPr>
        <w:spacing w:after="200"/>
      </w:pPr>
      <w:r>
        <w:rPr>
          <w:rFonts w:ascii="Arial" w:cs="Arial" w:eastAsia="Arial" w:hAnsi="Arial"/>
          <w:sz w:val="22"/>
          <w:szCs w:val="22"/>
        </w:rPr>
        <w:t xml:space="preserve">We are prepared to support any investigation or remediation effort and welcome the opportunity to work constructively with the PC team to establish a sustainable process going forward.</w:t>
      </w:r>
    </w:p>
    <w:p>
      <w:pPr>
        <w:pBdr>
          <w:top w:val="single" w:color="CCCCCC" w:sz="4" w:space="8"/>
        </w:pBdr>
        <w:spacing w:after="120" w:before="400"/>
      </w:pPr>
      <w:r>
        <w:rPr>
          <w:rFonts w:ascii="Arial" w:cs="Arial" w:eastAsia="Arial" w:hAnsi="Arial"/>
          <w:b/>
          <w:bCs/>
          <w:color w:val="666666"/>
          <w:sz w:val="20"/>
          <w:szCs w:val="20"/>
        </w:rPr>
        <w:t xml:space="preserve">Prepared by:</w:t>
      </w:r>
      <w:r>
        <w:rPr>
          <w:rFonts w:ascii="Arial" w:cs="Arial" w:eastAsia="Arial" w:hAnsi="Arial"/>
          <w:color w:val="666666"/>
          <w:sz w:val="20"/>
          <w:szCs w:val="20"/>
        </w:rPr>
        <w:t xml:space="preserve">  US Wealth Management FP&amp;A</w:t>
      </w:r>
    </w:p>
    <w:p>
      <w:pPr>
        <w:spacing w:after="60"/>
      </w:pPr>
      <w:r>
        <w:rPr>
          <w:rFonts w:ascii="Arial" w:cs="Arial" w:eastAsia="Arial" w:hAnsi="Arial"/>
          <w:b/>
          <w:bCs/>
          <w:color w:val="666666"/>
          <w:sz w:val="20"/>
          <w:szCs w:val="20"/>
        </w:rPr>
        <w:t xml:space="preserve">Distribution:</w:t>
      </w:r>
      <w:r>
        <w:rPr>
          <w:rFonts w:ascii="Arial" w:cs="Arial" w:eastAsia="Arial" w:hAnsi="Arial"/>
          <w:color w:val="666666"/>
          <w:sz w:val="20"/>
          <w:szCs w:val="20"/>
        </w:rPr>
        <w:t xml:space="preserve">  [To be confirmed prior to issuance]</w:t>
      </w:r>
    </w:p>
    <w:p>
      <w:pPr>
        <w:spacing w:after="60"/>
      </w:pPr>
      <w:r>
        <w:rPr>
          <w:rFonts w:ascii="Arial" w:cs="Arial" w:eastAsia="Arial" w:hAnsi="Arial"/>
          <w:b/>
          <w:bCs/>
          <w:color w:val="666666"/>
          <w:sz w:val="20"/>
          <w:szCs w:val="20"/>
        </w:rPr>
        <w:t xml:space="preserve">Supporting Documentation:</w:t>
      </w:r>
      <w:r>
        <w:rPr>
          <w:rFonts w:ascii="Arial" w:cs="Arial" w:eastAsia="Arial" w:hAnsi="Arial"/>
          <w:color w:val="666666"/>
          <w:sz w:val="20"/>
          <w:szCs w:val="20"/>
        </w:rPr>
        <w:t xml:space="preserve">  Email correspondence chain (March 2025 – January 2026) available upon request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0"/>
    </w:pPr>
    <w:r>
      <w:rPr>
        <w:rFonts w:ascii="Arial" w:cs="Arial" w:eastAsia="Arial" w:hAnsi="Arial"/>
        <w:i/>
        <w:iCs/>
        <w:color w:val="999999"/>
        <w:sz w:val="14"/>
        <w:szCs w:val="14"/>
      </w:rPr>
      <w:t xml:space="preserve">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B4C7E" w:sz="6" w:space="4"/>
      </w:pBdr>
      <w:tabs>
        <w:tab w:val="right" w:pos="9026"/>
      </w:tabs>
      <w:spacing w:after="0"/>
    </w:pPr>
    <w:r>
      <w:rPr>
        <w:rFonts w:ascii="Arial" w:cs="Arial" w:eastAsia="Arial" w:hAnsi="Arial"/>
        <w:b/>
        <w:bCs/>
        <w:color w:val="CC0000"/>
        <w:sz w:val="16"/>
        <w:szCs w:val="16"/>
      </w:rPr>
      <w:t xml:space="preserve">CONFIDENTIAL</w:t>
    </w:r>
    <w:r>
      <w:rPr>
        <w:rFonts w:ascii="Arial" w:cs="Arial" w:eastAsia="Arial" w:hAnsi="Arial"/>
        <w:color w:val="666666"/>
        <w:sz w:val="16"/>
        <w:szCs w:val="16"/>
      </w:rPr>
      <w:t xml:space="preserve">	RBC Wealth Management – US FP&amp;A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B4C7E"/>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B4C7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2026-03-27T20:16:21.239Z</dcterms:created>
  <dcterms:modified xsi:type="dcterms:W3CDTF">2026-03-27T20:16:21.240Z</dcterms:modified>
</cp:coreProperties>
</file>

<file path=docProps/custom.xml><?xml version="1.0" encoding="utf-8"?>
<Properties xmlns="http://schemas.openxmlformats.org/officeDocument/2006/custom-properties" xmlns:vt="http://schemas.openxmlformats.org/officeDocument/2006/docPropsVTypes"/>
</file>