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BF8A9" w14:textId="4E9E0DBD" w:rsidR="00660005" w:rsidRPr="0042082E" w:rsidRDefault="00AB59D9">
      <w:pPr>
        <w:rPr>
          <w:b/>
          <w:bCs/>
          <w:sz w:val="32"/>
          <w:szCs w:val="32"/>
        </w:rPr>
      </w:pPr>
      <w:r>
        <w:rPr>
          <w:b/>
          <w:bCs/>
          <w:sz w:val="32"/>
          <w:szCs w:val="32"/>
        </w:rPr>
        <w:t xml:space="preserve">Tactile and </w:t>
      </w:r>
      <w:r w:rsidR="0042082E" w:rsidRPr="0042082E">
        <w:rPr>
          <w:b/>
          <w:bCs/>
          <w:sz w:val="32"/>
          <w:szCs w:val="32"/>
        </w:rPr>
        <w:t>Auditory psychophysics experiments for LEAP3</w:t>
      </w:r>
    </w:p>
    <w:p w14:paraId="0845EC2E" w14:textId="3636EE7C" w:rsidR="00804BDB" w:rsidRDefault="00804BDB"/>
    <w:p w14:paraId="2576CDE1" w14:textId="1D098FC0" w:rsidR="00BC10A6" w:rsidRPr="00804BDB" w:rsidRDefault="00BC10A6" w:rsidP="00BC10A6">
      <w:pPr>
        <w:rPr>
          <w:b/>
          <w:bCs/>
        </w:rPr>
      </w:pPr>
      <w:r>
        <w:rPr>
          <w:b/>
          <w:bCs/>
        </w:rPr>
        <w:t>1. Tactile psychophysics experiments</w:t>
      </w:r>
    </w:p>
    <w:p w14:paraId="7467D3E0" w14:textId="4E38277E" w:rsidR="00BC10A6" w:rsidRDefault="00BC10A6"/>
    <w:p w14:paraId="5B4FF4FF" w14:textId="4E8033BA" w:rsidR="00BC10A6" w:rsidRDefault="00BC10A6" w:rsidP="00BC10A6">
      <w:pPr>
        <w:pStyle w:val="ListParagraph"/>
        <w:numPr>
          <w:ilvl w:val="1"/>
          <w:numId w:val="11"/>
        </w:numPr>
      </w:pPr>
      <w:r>
        <w:t>Background</w:t>
      </w:r>
    </w:p>
    <w:p w14:paraId="780F6B73" w14:textId="3B4FB903" w:rsidR="00BC10A6" w:rsidRPr="00307217" w:rsidRDefault="00BC10A6" w:rsidP="00BC10A6">
      <w:pPr>
        <w:pStyle w:val="Corps"/>
      </w:pPr>
      <w:r>
        <w:t xml:space="preserve">The proposed work is based a battery of vibrotactile tasks that was developed to objectively assess low-level tactile function in pediatric cohorts (including those with neurodevelopmental disorders). The tasks are reliant on GABAergic function and have been validated between children and adults </w:t>
      </w:r>
      <w:r w:rsidR="00307217">
        <w:fldChar w:fldCharType="begin" w:fldLock="1"/>
      </w:r>
      <w:r w:rsidR="00307217">
        <w:instrText>ADDIN CSL_CITATION {"citationItems":[{"id":"ITEM-1","itemData":{"DOI":"10.1016/j.jneumeth.2013.04.012","ISBN":"1872-678X (Electronic) 0165-0270 (Linking)","PMID":"23660524","author":[{"dropping-particle":"","family":"Puts","given":"Nicolaas A. J.","non-dropping-particle":"","parse-names":false,"suffix":""},{"dropping-particle":"","family":"Edden","given":"Richard A.E.","non-dropping-particle":"","parse-names":false,"suffix":""},{"dropping-particle":"","family":"Wodka","given":"Ericka L.","non-dropping-particle":"","parse-names":false,"suffix":""},{"dropping-particle":"","family":"Mostofsky","given":"Stewart H.","non-dropping-particle":"","parse-names":false,"suffix":""},{"dropping-particle":"","family":"Tommerdahl","given":"M","non-dropping-particle":"","parse-names":false,"suffix":""}],"container-title":"Journal of Neuroscience Methods","id":"ITEM-1","issue":"1","issued":{"date-parts":[["2013"]]},"note":"Puts, Nicolaas A J\nEdden, Richard A E\nWodka, Ericka L\nMostofsky, Stewart H\nTommerdahl, Mark\neng\n2 R01 MH078160/MH/NIMH NIH HHS/\n2 R01 NS048527-08/NS/NINDS NIH HHS/\nP41 EB015909/EB/NIBIB NIH HHS/\nUL1 RR025005/RR/NCRR NIH HHS/\nResearch Support, N.I.H., Extramural\nResearch Support, Non-U.S. Gov't\nNetherlands\n2013/05/11 06:00\nJ Neurosci Methods. 2013 Aug 15;218(1):39-47. doi: 10.1016/j.jneumeth.2013.04.012. Epub 2013 May 6.","page":"39-47","title":"A vibrotactile behavioral battery for investigating somatosensory processing in children and adults","type":"article-journal","volume":"218"},"uris":["http://www.mendeley.com/documents/?uuid=a669091c-a95e-426f-aba9-89448efd3bcf"]}],"mendeley":{"formattedCitation":"(Puts et al., 2013)","plainTextFormattedCitation":"(Puts et al., 2013)","previouslyFormattedCitation":"(Puts et al., 2013)"},"properties":{"noteIndex":0},"schema":"https://github.com/citation-style-language/schema/raw/master/csl-citation.json"}</w:instrText>
      </w:r>
      <w:r w:rsidR="00307217">
        <w:fldChar w:fldCharType="separate"/>
      </w:r>
      <w:r w:rsidR="00307217" w:rsidRPr="00307217">
        <w:rPr>
          <w:noProof/>
        </w:rPr>
        <w:t>(Puts et al., 2013)</w:t>
      </w:r>
      <w:r w:rsidR="00307217">
        <w:fldChar w:fldCharType="end"/>
      </w:r>
      <w:r w:rsidR="00307217">
        <w:t xml:space="preserve">. </w:t>
      </w:r>
      <w:r>
        <w:t xml:space="preserve">In particular, in prior work we have shown that reduced GABA levels are associated with abnormal vibrotactile detection thresholds </w:t>
      </w:r>
      <w:r w:rsidR="00307217">
        <w:fldChar w:fldCharType="begin" w:fldLock="1"/>
      </w:r>
      <w:r w:rsidR="00307217">
        <w:instrText>ADDIN CSL_CITATION {"citationItems":[{"id":"ITEM-1","itemData":{"DOI":"10.1002/aur.1691","ISBN":"1939-3806 (Electronic)\r1939-3806 (Linking)","ISSN":"19393792","PMID":"27611990","abstract":"Sensory (e.g., touch) abnormalities are common in children with autism spectrum disorder (ASD). In previous work we have shown that children with ASD have altered sensitivity to touch. This altered sensitivity is specific to tasks that involve filtering and habituation to touch. GABA is the main inhibitory neurotransmitter in the human brain, and plays a key role in encoding touch. Previous studies suggest that the GABA system is altered in ASD. Using magnetic resonance spectroscopy (MRS), it is now possible to measure GABA levels in the human brain. Recent MRS work suggests that GABA levels are reduced in ASD. In this study we investigated whether brain GABA levels are altered in ASD and whether changes in brain GABA levels can predict differences in tactile sensitivity. Our results suggest that GABA levels are reduced in sensorimotor areas, but not in occipital visual areas. Lower GABA levels are associated with less \"filtering\" of touch information, and are not associated with habituation in ASD, whereas they are in typically developing children. Further research is necessary to elucidate the specific GABAergic mechanisms altered in ASD. Our results suggest that reduced brain GABA levels could underlie altered tactile function in ASD, and that altered GABA function in ASD disrupts the link between GABA and behavior. Understanding the link between brain GABA and tactile behavior is an important step in understanding brain behavior links in ASD, potentially leading to future therapies to reduce the severity of sensory symptoms.","author":[{"dropping-particle":"","family":"Puts","given":"Nicolaas A.J.","non-dropping-particle":"","parse-names":false,"suffix":""},{"dropping-particle":"","family":"Wodka","given":"Ericka L.","non-dropping-particle":"","parse-names":false,"suffix":""},{"dropping-particle":"","family":"Harris","given":"Ashley D.","non-dropping-particle":"","parse-names":false,"suffix":""},{"dropping-particle":"","family":"Crocetti","given":"Deana","non-dropping-particle":"","parse-names":false,"suffix":""},{"dropping-particle":"","family":"Tommerdahl","given":"Mark","non-dropping-particle":"","parse-names":false,"suffix":""},{"dropping-particle":"","family":"Mostofsky","given":"Stewart H.","non-dropping-particle":"","parse-names":false,"suffix":""},{"dropping-particle":"","family":"Edden","given":"Richard A.E.","non-dropping-particle":"","parse-names":false,"suffix":""}],"container-title":"Autism Res","id":"ITEM-1","issue":"4","issued":{"date-parts":[["2016","4"]]},"note":"From Duplicate 1 (Reduced GABA and altered somatosensory function in children with autism spectrum disorder - Puts, N A; Wodka, E L; Harris, A D; Crocetti, D; Tommerdahl, M; Mostofsky, S H; Edden, R A)\n\nPuts, Nicolaas A J\nWodka, Ericka L\nHarris, Ashley D\nCrocetti, Deana\nTommerdahl, Mark\nMostofsky, Stewart H\nEdden, Richard A E\nENG\n2016/09/10 06:00\nAutism Res. 2016 Sep 9. doi: 10.1002/aur.1691.","page":"608-619","title":"Reduced GABA and altered somatosensory function in children with autism spectrum disorder","type":"article-journal","volume":"10"},"uris":["http://www.mendeley.com/documents/?uuid=347c01e0-6657-478b-860f-6a1d2846a9ba"]}],"mendeley":{"formattedCitation":"(Puts et al., 2016)","plainTextFormattedCitation":"(Puts et al., 2016)","previouslyFormattedCitation":"(Puts et al., 2016)"},"properties":{"noteIndex":0},"schema":"https://github.com/citation-style-language/schema/raw/master/csl-citation.json"}</w:instrText>
      </w:r>
      <w:r w:rsidR="00307217">
        <w:fldChar w:fldCharType="separate"/>
      </w:r>
      <w:r w:rsidR="00307217" w:rsidRPr="00307217">
        <w:rPr>
          <w:noProof/>
        </w:rPr>
        <w:t>(Puts et al., 2016)</w:t>
      </w:r>
      <w:r w:rsidR="00307217">
        <w:fldChar w:fldCharType="end"/>
      </w:r>
      <w:r w:rsidR="00307217">
        <w:t xml:space="preserve">, </w:t>
      </w:r>
      <w:r>
        <w:t xml:space="preserve">and </w:t>
      </w:r>
      <w:r w:rsidR="00307217">
        <w:t xml:space="preserve">we and others have shown </w:t>
      </w:r>
      <w:r>
        <w:t>that children with ASD show abnormal detection threshold, abnormal modulation of detection threshold (a measure of feedforward inhibition/sensory gating) and abnormal amplitude discrimination threshold</w:t>
      </w:r>
      <w:r w:rsidR="00307217">
        <w:t xml:space="preserve"> </w:t>
      </w:r>
      <w:r w:rsidR="00307217">
        <w:fldChar w:fldCharType="begin" w:fldLock="1"/>
      </w:r>
      <w:r w:rsidR="00841859">
        <w:instrText>ADDIN CSL_CITATION {"citationItems":[{"id":"ITEM-1","itemData":{"DOI":"10.1152/jn.00890.2013","ISBN":"1522-1598 (Electronic)\r0022-3077 (Linking)","PMID":"24523518","author":[{"dropping-particle":"","family":"Puts","given":"N A","non-dropping-particle":"","parse-names":false,"suffix":""},{"dropping-particle":"","family":"Wodka","given":"E L","non-dropping-particle":"","parse-names":false,"suffix":""},{"dropping-particle":"","family":"Tommerdahl","given":"M","non-dropping-particle":"","parse-names":false,"suffix":""},{"dropping-particle":"","family":"Mostofsky","given":"S H","non-dropping-particle":"","parse-names":false,"suffix":""},{"dropping-particle":"","family":"Edden","given":"R A","non-dropping-particle":"","parse-names":false,"suffix":""}],"container-title":"Journal of Neurophysiology","id":"ITEM-1","issue":"9","issued":{"date-parts":[["2014"]]},"note":"Puts, Nicolaas A J\nWodka, Ericka L\nTommerdahl, Mark\nMostofsky, Stewart H\nEdden, Richard A E\neng\n2-R01-MH-078160-06A1/MH/NIMH NIH HHS/\n2-R01-NS-048527-08/NS/NINDS NIH HHS/\nP41-EB-015909/EB/NIBIB NIH HHS/\nR01 MH078160/MH/NIMH NIH HHS/\nR01 MH085328/MH/NIMH NIH HHS/\nR01 NS048527/NS/NINDS NIH HHS/\nR21 MH098228/MH/NIMH NIH HHS/\nR21-MH-098228/MH/NIMH NIH HHS/\nUL1-RR-025005/RR/NCRR NIH HHS/\nResearch Support, N.I.H., Extramural\n2014/02/14 06:00\nJ Neurophysiol. 2014 May;111(9):1803-11. doi: 10.1152/jn.00890.2013. Epub 2014 Feb 12.","page":"1803-1811","title":"Impaired tactile processing in children with Autism Spectrum Disorder","type":"article-journal","volume":"111"},"uris":["http://www.mendeley.com/documents/?uuid=2eeb614d-008a-427d-9167-07220b840d4b"]},{"id":"ITEM-2","itemData":{"DOI":"10.1002/aur.1563","ISBN":"1939-3806 (Electronic)\r1939-3806 (Linking)","PMID":"26568449","abstract":"Although tactile reactivity issues are commonly reported in children with autism spectrum disorder (ASD), the underlying mechanisms are poorly understood. Less feed-forward inhibition has been proposed as a potential mechanism for some symptoms of ASD. We tested static and dynamic tactile thresholds as a behavioral proxy of feed-forward inhibition in 42 children (21 children with ASD and 21 typically developing [TD] children). Subthreshold conditioning typically raises the dynamic detection threshold, thus comparison of the dynamic to the static threshold generates a metric that predicts gamma-aminobutyric acid (GABA) mediated feed-forward inhibition. Children with ASD had marginally higher static thresholds and a significantly lower ratio between thresholds as compared with TD children. The lower ratio, only seen in children with ASD, might be indicative of less inhibition. Static thresholds were correlated with autism spectrum quotient scores, indicating the higher the tactile threshold, the more ASD traits. The amount of feed-forward inhibition (ratio between dynamic/static) was negatively correlated with autism diagnostic observation schedule repetitive behavior scores, meaning the less inhibition the more ASD symptoms. In summary, children with ASD showed altered tactile processing compared with TD children; thus measuring static and dynamic thresholds could be a potential biomarker for ASD and might be useful for prediction of treatment response with therapeutics, including those that target the GABAergic system. Autism Res 2016, 9: 616-620. (c) 2015 International Society for Autism Research, Wiley Periodicals, Inc.","author":[{"dropping-particle":"","family":"Tavassoli","given":"T","non-dropping-particle":"","parse-names":false,"suffix":""},{"dropping-particle":"","family":"Bellesheim","given":"K","non-dropping-particle":"","parse-names":false,"suffix":""},{"dropping-particle":"","family":"Tommerdahl","given":"M","non-dropping-particle":"","parse-names":false,"suffix":""},{"dropping-particle":"","family":"Holden","given":"J M","non-dropping-particle":"","parse-names":false,"suffix":""},{"dropping-particle":"","family":"Kolevzon","given":"A","non-dropping-particle":"","parse-names":false,"suffix":""},{"dropping-particle":"","family":"Buxbaum","given":"J D","non-dropping-particle":"","parse-names":false,"suffix":""}],"container-title":"Autism Res","id":"ITEM-2","issue":"6","issued":{"date-parts":[["2016"]]},"note":"Tavassoli, Teresa\nBellesheim, Katherine\nTommerdahl, Mark\nHolden, Jameson M\nKolevzon, Alexander\nBuxbaum, Joseph D\neng\n2015/11/17 06:00\nAutism Res. 2016 Jun;9(6):616-20. doi: 10.1002/aur.1563. Epub 2015 Nov 16.","page":"616-620","title":"Altered tactile processing in children with autism spectrum disorder","type":"article-journal","volume":"9"},"uris":["http://www.mendeley.com/documents/?uuid=aca95a27-ab67-4efd-9040-af4044bb5d1a"]}],"mendeley":{"formattedCitation":"(Puts et al., 2014; Tavassoli et al., 2016)","plainTextFormattedCitation":"(Puts et al., 2014; Tavassoli et al., 2016)","previouslyFormattedCitation":"(Puts et al., 2014; Tavassoli et al., 2016)"},"properties":{"noteIndex":0},"schema":"https://github.com/citation-style-language/schema/raw/master/csl-citation.json"}</w:instrText>
      </w:r>
      <w:r w:rsidR="00307217">
        <w:fldChar w:fldCharType="separate"/>
      </w:r>
      <w:r w:rsidR="00307217" w:rsidRPr="00307217">
        <w:rPr>
          <w:noProof/>
        </w:rPr>
        <w:t>(Puts et al., 2014; Tavassoli et al., 2016)</w:t>
      </w:r>
      <w:r w:rsidR="00307217">
        <w:fldChar w:fldCharType="end"/>
      </w:r>
      <w:r>
        <w:t>. Finally, our recent work (under review) shows that abnormal tactile function strongly correlates with clinical scores of sensory hypersensitivity</w:t>
      </w:r>
      <w:r w:rsidR="00841859">
        <w:t xml:space="preserve"> and touch avoidance</w:t>
      </w:r>
      <w:r>
        <w:t xml:space="preserve">, and potentially allows </w:t>
      </w:r>
      <w:r w:rsidRPr="00307217">
        <w:t xml:space="preserve">for separation based on diagnosis (ASD and ADHD). </w:t>
      </w:r>
    </w:p>
    <w:p w14:paraId="6D37DEDC" w14:textId="77777777" w:rsidR="00BC10A6" w:rsidRPr="00307217" w:rsidRDefault="00BC10A6" w:rsidP="00BC10A6">
      <w:pPr>
        <w:pStyle w:val="Corps"/>
      </w:pPr>
    </w:p>
    <w:p w14:paraId="6C305EB7" w14:textId="2668B97E" w:rsidR="00BC10A6" w:rsidRPr="00307217" w:rsidRDefault="00BC10A6" w:rsidP="00BC10A6">
      <w:pPr>
        <w:pStyle w:val="Corps"/>
        <w:numPr>
          <w:ilvl w:val="1"/>
          <w:numId w:val="11"/>
        </w:numPr>
      </w:pPr>
      <w:r w:rsidRPr="00307217">
        <w:t xml:space="preserve"> Approach </w:t>
      </w:r>
    </w:p>
    <w:p w14:paraId="0D3AF701" w14:textId="0CAAC1F9" w:rsidR="00BC10A6" w:rsidRDefault="00BC10A6" w:rsidP="00BC10A6">
      <w:pPr>
        <w:pStyle w:val="Corps"/>
      </w:pPr>
      <w:r w:rsidRPr="00307217">
        <w:t xml:space="preserve">All stimulation will be applied on </w:t>
      </w:r>
      <w:r w:rsidR="00C954C4">
        <w:t xml:space="preserve">the left index and middle finger using </w:t>
      </w:r>
      <w:r w:rsidRPr="00307217">
        <w:t>a Cortical Metrics vibrotactile device.</w:t>
      </w:r>
      <w:r>
        <w:t xml:space="preserve"> </w:t>
      </w:r>
      <w:r w:rsidR="00002A4F">
        <w:t xml:space="preserve">Visual feedback will be provided to indicate intervals, no right/wrong feedback will be given. Each task is preceded by three practice trials. </w:t>
      </w:r>
    </w:p>
    <w:p w14:paraId="02882016" w14:textId="77777777" w:rsidR="00BC10A6" w:rsidRDefault="00BC10A6" w:rsidP="00BC10A6">
      <w:pPr>
        <w:pStyle w:val="Corps"/>
      </w:pPr>
    </w:p>
    <w:p w14:paraId="0CA3630C" w14:textId="5C2C1AAD" w:rsidR="00BC10A6" w:rsidRPr="00BC10A6" w:rsidRDefault="00BC10A6" w:rsidP="007A4695">
      <w:pPr>
        <w:pStyle w:val="Corps"/>
        <w:numPr>
          <w:ilvl w:val="2"/>
          <w:numId w:val="11"/>
        </w:numPr>
        <w:rPr>
          <w:i/>
          <w:iCs/>
        </w:rPr>
      </w:pPr>
      <w:r w:rsidRPr="00BC10A6">
        <w:rPr>
          <w:i/>
          <w:iCs/>
        </w:rPr>
        <w:t>Required equipment</w:t>
      </w:r>
    </w:p>
    <w:p w14:paraId="731B799B" w14:textId="289D03AA" w:rsidR="00BC10A6" w:rsidRDefault="00BC10A6" w:rsidP="00BC10A6">
      <w:pPr>
        <w:pStyle w:val="Corps"/>
      </w:pPr>
      <w:r>
        <w:t xml:space="preserve">The stimulator to be used is a Cortical Metrics </w:t>
      </w:r>
      <w:proofErr w:type="spellStart"/>
      <w:r>
        <w:t>Braingauge</w:t>
      </w:r>
      <w:proofErr w:type="spellEnd"/>
      <w:r>
        <w:t xml:space="preserve"> Pro. The </w:t>
      </w:r>
      <w:proofErr w:type="spellStart"/>
      <w:r>
        <w:t>Braingauge</w:t>
      </w:r>
      <w:proofErr w:type="spellEnd"/>
      <w:r>
        <w:t xml:space="preserve"> Pro has two probes located on a mouse-like device that can present stimuli (with </w:t>
      </w:r>
      <w:r>
        <w:rPr>
          <w:rFonts w:ascii="Symbol" w:hAnsi="Symbol"/>
        </w:rPr>
        <w:t></w:t>
      </w:r>
      <w:r>
        <w:t xml:space="preserve">m-accuracy and ms-accuracy) to the index and middle fingers. Control and user interface are run through the </w:t>
      </w:r>
      <w:proofErr w:type="spellStart"/>
      <w:r>
        <w:t>Braingauge</w:t>
      </w:r>
      <w:proofErr w:type="spellEnd"/>
      <w:r>
        <w:t xml:space="preserve"> app. Raw data can be extracted and analyzed. The device is connected to a laptop through USB. The UI is child friendly and responses can be obtained using a wired mouse. In addition to the </w:t>
      </w:r>
      <w:proofErr w:type="spellStart"/>
      <w:r>
        <w:t>Braingauge</w:t>
      </w:r>
      <w:proofErr w:type="spellEnd"/>
      <w:r>
        <w:t xml:space="preserve"> Pro, sites require a PC desktop or laptop with internet connectivity, with at least two free USB ports, a screen, and a wired mouse.</w:t>
      </w:r>
      <w:r w:rsidR="00C954C4">
        <w:t xml:space="preserve"> </w:t>
      </w:r>
    </w:p>
    <w:p w14:paraId="00151CA2" w14:textId="301D9740" w:rsidR="00BC10A6" w:rsidRDefault="00BC10A6" w:rsidP="00BC10A6">
      <w:pPr>
        <w:pStyle w:val="Corps"/>
        <w:jc w:val="center"/>
      </w:pPr>
    </w:p>
    <w:p w14:paraId="7A4036A8" w14:textId="5F842B3C" w:rsidR="00BC10A6" w:rsidRPr="00BC10A6" w:rsidRDefault="00BC10A6" w:rsidP="007A4695">
      <w:pPr>
        <w:pStyle w:val="Corps"/>
        <w:numPr>
          <w:ilvl w:val="2"/>
          <w:numId w:val="11"/>
        </w:numPr>
        <w:rPr>
          <w:i/>
          <w:iCs/>
        </w:rPr>
      </w:pPr>
      <w:r w:rsidRPr="00BC10A6">
        <w:rPr>
          <w:i/>
          <w:iCs/>
        </w:rPr>
        <w:t>Tasks</w:t>
      </w:r>
    </w:p>
    <w:p w14:paraId="76EAEE3D" w14:textId="209C70AC" w:rsidR="00BC10A6" w:rsidRDefault="00BC10A6" w:rsidP="00BC10A6">
      <w:pPr>
        <w:pStyle w:val="Corps"/>
        <w:rPr>
          <w:u w:val="single"/>
        </w:rPr>
      </w:pPr>
      <w:r>
        <w:rPr>
          <w:u w:val="single"/>
        </w:rPr>
        <w:t>Static and Dynamic Detection threshold</w:t>
      </w:r>
      <w:r w:rsidR="007A4695">
        <w:rPr>
          <w:u w:val="single"/>
        </w:rPr>
        <w:t xml:space="preserve"> (~15 min)</w:t>
      </w:r>
    </w:p>
    <w:p w14:paraId="2DC296EB" w14:textId="08D5A236" w:rsidR="00BC10A6" w:rsidRDefault="00BC10A6" w:rsidP="00BC10A6">
      <w:pPr>
        <w:pStyle w:val="Corps"/>
      </w:pPr>
      <w:r>
        <w:t xml:space="preserve">Static Detection threshold will be measured under four conditions. Modulating detection threshold is thought to provide a measure of feed-forward inhibition. </w:t>
      </w:r>
    </w:p>
    <w:p w14:paraId="1D24797C" w14:textId="77777777" w:rsidR="00BC10A6" w:rsidRDefault="00BC10A6" w:rsidP="00BC10A6">
      <w:pPr>
        <w:pStyle w:val="Corps"/>
      </w:pPr>
    </w:p>
    <w:p w14:paraId="1B5541CC" w14:textId="32CC4DAC" w:rsidR="00BC10A6" w:rsidRDefault="00BC10A6" w:rsidP="00BC10A6">
      <w:pPr>
        <w:pStyle w:val="Corps"/>
      </w:pPr>
      <w:r>
        <w:rPr>
          <w:i/>
          <w:iCs/>
          <w:lang w:val="da-DK"/>
        </w:rPr>
        <w:t>Baseline:</w:t>
      </w:r>
      <w:r>
        <w:t xml:space="preserve"> In the baseline task, participants have to judge on which of two fingers they received a stimulus (25 Hz, 500 ms, starting amplitude 20 </w:t>
      </w:r>
      <w:r>
        <w:rPr>
          <w:rFonts w:ascii="Symbol" w:hAnsi="Symbol"/>
        </w:rPr>
        <w:t></w:t>
      </w:r>
      <w:r>
        <w:t xml:space="preserve">m, 35 trials). </w:t>
      </w:r>
    </w:p>
    <w:p w14:paraId="30C9E7FB" w14:textId="77777777" w:rsidR="00BC10A6" w:rsidRDefault="00BC10A6" w:rsidP="00BC10A6">
      <w:pPr>
        <w:pStyle w:val="Corps"/>
      </w:pPr>
    </w:p>
    <w:p w14:paraId="4CD55CDA" w14:textId="5D447218" w:rsidR="00BC10A6" w:rsidRDefault="00BC10A6" w:rsidP="00BC10A6">
      <w:pPr>
        <w:pStyle w:val="Corps"/>
      </w:pPr>
      <w:r>
        <w:rPr>
          <w:i/>
          <w:iCs/>
        </w:rPr>
        <w:t>Short-paired (SP-DT) and long-paired (LP-DT):</w:t>
      </w:r>
      <w:r>
        <w:t xml:space="preserve"> In the second and third task, each of the trials as presented in the baseline measure (also 30 trials), is preceded by a brief (40 ms) sub-threshold (3 </w:t>
      </w:r>
      <w:r>
        <w:rPr>
          <w:rFonts w:ascii="Symbol" w:hAnsi="Symbol"/>
        </w:rPr>
        <w:t></w:t>
      </w:r>
      <w:r>
        <w:t xml:space="preserve">m) stimulus thought to engage inhibitory interneurons therefore modulating threshold. Our current data suggests that children with ASD get better when there is a pre-stimulus present. </w:t>
      </w:r>
      <w:r>
        <w:lastRenderedPageBreak/>
        <w:t>The pre-pulse is presented either 30 ms (short; SP-DT) or 100 ms (long, LP-DT) prior to the test stimulus</w:t>
      </w:r>
    </w:p>
    <w:p w14:paraId="25D9E2C7" w14:textId="32DDC0E3" w:rsidR="00C954C4" w:rsidRDefault="00C954C4" w:rsidP="00BC10A6">
      <w:pPr>
        <w:pStyle w:val="Corps"/>
      </w:pPr>
    </w:p>
    <w:p w14:paraId="003DA115" w14:textId="146B942F" w:rsidR="00C954C4" w:rsidRDefault="00C954C4" w:rsidP="00BC10A6">
      <w:pPr>
        <w:pStyle w:val="Corps"/>
      </w:pPr>
      <w:r>
        <w:t xml:space="preserve">The baseline and paired tasks are 2-alternative forced choice task with staircase tracking. Responses are made using the right hand on a mouse button. The left mouse button corresponds to the left middle finger, the right mouse button to the left index finger. Participants are asked to indicate on which finger they felt a stimulus. </w:t>
      </w:r>
    </w:p>
    <w:p w14:paraId="3057FAC7" w14:textId="77777777" w:rsidR="00BC10A6" w:rsidRDefault="00BC10A6" w:rsidP="00BC10A6">
      <w:pPr>
        <w:pStyle w:val="Corps"/>
      </w:pPr>
    </w:p>
    <w:p w14:paraId="3A3C6721" w14:textId="7EACECDD" w:rsidR="00BC10A6" w:rsidRDefault="00BC10A6" w:rsidP="00BC10A6">
      <w:pPr>
        <w:pStyle w:val="Corps"/>
      </w:pPr>
      <w:r>
        <w:rPr>
          <w:i/>
          <w:iCs/>
        </w:rPr>
        <w:t>Dynamic:</w:t>
      </w:r>
      <w:r>
        <w:t xml:space="preserve"> In the dynamic detection threshold task, stimulus level starts at zero or at twenty </w:t>
      </w:r>
      <w:r>
        <w:rPr>
          <w:rFonts w:ascii="Symbol" w:hAnsi="Symbol"/>
        </w:rPr>
        <w:t></w:t>
      </w:r>
      <w:r>
        <w:t xml:space="preserve">m. In half the trials, children have to press a button when they feel the stimulus (dynamic-UP) and in half the trials kids have to indicate when they </w:t>
      </w:r>
      <w:r>
        <w:rPr>
          <w:u w:val="single"/>
          <w:lang w:val="da-DK"/>
        </w:rPr>
        <w:t xml:space="preserve">stop </w:t>
      </w:r>
      <w:r w:rsidR="00841859">
        <w:t>feeling</w:t>
      </w:r>
      <w:r>
        <w:t xml:space="preserve"> the stimulus (dynamic-DOWN, 10 trials per condition). </w:t>
      </w:r>
      <w:r w:rsidR="00C954C4">
        <w:t xml:space="preserve">Participants are asked to press a button (indicating which finger, as above) as soon as they feel the stimulus. </w:t>
      </w:r>
    </w:p>
    <w:p w14:paraId="3A4D37BA" w14:textId="77777777" w:rsidR="00BC10A6" w:rsidRDefault="00BC10A6" w:rsidP="00BC10A6">
      <w:pPr>
        <w:pStyle w:val="Corps"/>
      </w:pPr>
    </w:p>
    <w:p w14:paraId="3F5FB323" w14:textId="77777777" w:rsidR="00BC10A6" w:rsidRDefault="00BC10A6" w:rsidP="00BC10A6">
      <w:pPr>
        <w:pStyle w:val="Corps"/>
        <w:rPr>
          <w:i/>
          <w:iCs/>
        </w:rPr>
      </w:pPr>
      <w:r>
        <w:rPr>
          <w:i/>
          <w:iCs/>
        </w:rPr>
        <w:t>Primary outcome measures</w:t>
      </w:r>
    </w:p>
    <w:p w14:paraId="55681404" w14:textId="77777777" w:rsidR="00BC10A6" w:rsidRDefault="00BC10A6" w:rsidP="00BC10A6">
      <w:pPr>
        <w:pStyle w:val="ListParagraph"/>
        <w:numPr>
          <w:ilvl w:val="0"/>
          <w:numId w:val="4"/>
        </w:numPr>
      </w:pPr>
      <w:r>
        <w:t xml:space="preserve">Detection thresholds for the baseline, SP-DT, LP-DT, dynamic-UP and dynamic-DOWN tasks. For the first three, threshold is calculated based on the average of the last 5 trials. For the dynamic tasks, threshold is calculated based on the average of correctly answered trials. </w:t>
      </w:r>
    </w:p>
    <w:p w14:paraId="14D4B02D" w14:textId="71A4D34D" w:rsidR="00BC10A6" w:rsidRDefault="00BC10A6" w:rsidP="00BC10A6">
      <w:pPr>
        <w:pStyle w:val="ListParagraph"/>
        <w:numPr>
          <w:ilvl w:val="0"/>
          <w:numId w:val="4"/>
        </w:numPr>
      </w:pPr>
      <w:r>
        <w:t xml:space="preserve">Difference metrics. Absolute and percentage difference between baseline and all other </w:t>
      </w:r>
      <w:r w:rsidR="003F3414">
        <w:t>thresholds</w:t>
      </w:r>
      <w:r>
        <w:t xml:space="preserve"> will be calculated. </w:t>
      </w:r>
    </w:p>
    <w:p w14:paraId="3DD57FA7" w14:textId="41A4E6FE" w:rsidR="003F3414" w:rsidRDefault="003F3414" w:rsidP="003F3414">
      <w:pPr>
        <w:pStyle w:val="ListParagraph"/>
        <w:numPr>
          <w:ilvl w:val="0"/>
          <w:numId w:val="4"/>
        </w:numPr>
      </w:pPr>
      <w:r>
        <w:t xml:space="preserve">A confidence measure for each condition (based on Response Time for each trial for each condition).  </w:t>
      </w:r>
    </w:p>
    <w:p w14:paraId="3E777634" w14:textId="77777777" w:rsidR="00BC10A6" w:rsidRDefault="00BC10A6" w:rsidP="00BC10A6">
      <w:pPr>
        <w:pStyle w:val="Corps"/>
      </w:pPr>
    </w:p>
    <w:p w14:paraId="07FE8A27" w14:textId="77777777" w:rsidR="00BC10A6" w:rsidRDefault="00BC10A6" w:rsidP="00BC10A6">
      <w:pPr>
        <w:pStyle w:val="Corps"/>
        <w:rPr>
          <w:i/>
          <w:iCs/>
        </w:rPr>
      </w:pPr>
      <w:r>
        <w:rPr>
          <w:i/>
          <w:iCs/>
        </w:rPr>
        <w:t>Secondary outcome measures</w:t>
      </w:r>
    </w:p>
    <w:p w14:paraId="4B06A4CD" w14:textId="77777777" w:rsidR="00BC10A6" w:rsidRDefault="00BC10A6" w:rsidP="00BC10A6">
      <w:pPr>
        <w:pStyle w:val="ListParagraph"/>
        <w:numPr>
          <w:ilvl w:val="0"/>
          <w:numId w:val="6"/>
        </w:numPr>
      </w:pPr>
      <w:r>
        <w:t>D-prime to assess finger preference</w:t>
      </w:r>
    </w:p>
    <w:p w14:paraId="58ED33DF" w14:textId="77777777" w:rsidR="00BC10A6" w:rsidRDefault="00BC10A6" w:rsidP="00BC10A6">
      <w:pPr>
        <w:pStyle w:val="ListParagraph"/>
        <w:numPr>
          <w:ilvl w:val="0"/>
          <w:numId w:val="6"/>
        </w:numPr>
      </w:pPr>
      <w:r>
        <w:t>Average and variability in Response Time</w:t>
      </w:r>
    </w:p>
    <w:p w14:paraId="1EEBE554" w14:textId="77777777" w:rsidR="00BC10A6" w:rsidRDefault="00BC10A6" w:rsidP="00BC10A6">
      <w:pPr>
        <w:pStyle w:val="ListParagraph"/>
        <w:numPr>
          <w:ilvl w:val="0"/>
          <w:numId w:val="6"/>
        </w:numPr>
      </w:pPr>
      <w:r>
        <w:t>Accuracy (by fitting a power law curve)</w:t>
      </w:r>
    </w:p>
    <w:p w14:paraId="4B7869B8" w14:textId="77777777" w:rsidR="007A4695" w:rsidRDefault="007A4695" w:rsidP="00BC10A6">
      <w:pPr>
        <w:pStyle w:val="Corps"/>
        <w:rPr>
          <w:u w:val="single"/>
        </w:rPr>
      </w:pPr>
    </w:p>
    <w:p w14:paraId="5AC98FE5" w14:textId="0F05D1F4" w:rsidR="00BC10A6" w:rsidRDefault="00BC10A6" w:rsidP="00BC10A6">
      <w:pPr>
        <w:pStyle w:val="Corps"/>
        <w:rPr>
          <w:u w:val="single"/>
        </w:rPr>
      </w:pPr>
      <w:r>
        <w:rPr>
          <w:u w:val="single"/>
        </w:rPr>
        <w:t>Amplitude discrimination with and without an adaptation component</w:t>
      </w:r>
      <w:r w:rsidR="007A4695">
        <w:rPr>
          <w:u w:val="single"/>
        </w:rPr>
        <w:t xml:space="preserve"> (~</w:t>
      </w:r>
      <w:r w:rsidR="003844A4">
        <w:rPr>
          <w:u w:val="single"/>
        </w:rPr>
        <w:t>7 min)</w:t>
      </w:r>
    </w:p>
    <w:p w14:paraId="01A22FDE" w14:textId="77777777" w:rsidR="00BC10A6" w:rsidRDefault="00BC10A6" w:rsidP="00BC10A6">
      <w:pPr>
        <w:pStyle w:val="Corps"/>
      </w:pPr>
      <w:r>
        <w:t xml:space="preserve">Amplitude discrimination with- and without adaptation can be used to measuring adaptation/habituation and have been linked to lateral inhibition. We find that amplitude discrimination is impaired in ASD and that children with ASD do not adapt. Participants are asked to discriminate which of two stimuli is the strongest. </w:t>
      </w:r>
    </w:p>
    <w:p w14:paraId="63B87B22" w14:textId="657CA7DC" w:rsidR="00BC10A6" w:rsidRDefault="00BC10A6" w:rsidP="00BC10A6">
      <w:pPr>
        <w:pStyle w:val="Corps"/>
      </w:pPr>
      <w:r>
        <w:br/>
      </w:r>
      <w:r>
        <w:rPr>
          <w:i/>
          <w:iCs/>
        </w:rPr>
        <w:t>Sequential amplitude discrimination:</w:t>
      </w:r>
      <w:r>
        <w:t xml:space="preserve"> Two sequential stimuli are applied (25 Hz, all supra-threshold, 500 ms duration, 500 ms ISI, 30 trials) and participants are asked which finger received the strongest stimulus. </w:t>
      </w:r>
    </w:p>
    <w:p w14:paraId="3758AD7B" w14:textId="77777777" w:rsidR="00BC10A6" w:rsidRDefault="00BC10A6" w:rsidP="00BC10A6">
      <w:pPr>
        <w:pStyle w:val="Corps"/>
      </w:pPr>
    </w:p>
    <w:p w14:paraId="60041143" w14:textId="77777777" w:rsidR="00BC10A6" w:rsidRDefault="00BC10A6" w:rsidP="00BC10A6">
      <w:pPr>
        <w:pStyle w:val="Corps"/>
      </w:pPr>
      <w:r>
        <w:rPr>
          <w:i/>
          <w:iCs/>
        </w:rPr>
        <w:t>Simultaneous amplitude discrimination:</w:t>
      </w:r>
      <w:r>
        <w:t xml:space="preserve"> Same parameters, but stimuli are applied simultaneously. </w:t>
      </w:r>
    </w:p>
    <w:p w14:paraId="17171F6B" w14:textId="77777777" w:rsidR="00BC10A6" w:rsidRDefault="00BC10A6" w:rsidP="00BC10A6">
      <w:pPr>
        <w:pStyle w:val="Corps"/>
      </w:pPr>
    </w:p>
    <w:p w14:paraId="6D1D0ACF" w14:textId="0DE01566" w:rsidR="00BC10A6" w:rsidRDefault="00BC10A6" w:rsidP="00BC10A6">
      <w:pPr>
        <w:pStyle w:val="Corps"/>
      </w:pPr>
      <w:r>
        <w:rPr>
          <w:i/>
          <w:iCs/>
        </w:rPr>
        <w:lastRenderedPageBreak/>
        <w:t>Simultaneous amplitude discrimination with adaptation:</w:t>
      </w:r>
      <w:r>
        <w:t xml:space="preserve"> The instruction is the same, but each trial is preceded by an 'adapting' stimulus (100 </w:t>
      </w:r>
      <w:r>
        <w:rPr>
          <w:rFonts w:ascii="Symbol" w:hAnsi="Symbol"/>
        </w:rPr>
        <w:t></w:t>
      </w:r>
      <w:r>
        <w:t xml:space="preserve">m, 1 second, 500 ms ISI) which modulates perception of the two subsequent stimuli, making people better, or worse. </w:t>
      </w:r>
    </w:p>
    <w:p w14:paraId="68A19669" w14:textId="1A14285E" w:rsidR="00002A4F" w:rsidRDefault="00002A4F" w:rsidP="00BC10A6">
      <w:pPr>
        <w:pStyle w:val="Corps"/>
      </w:pPr>
    </w:p>
    <w:p w14:paraId="222DCBFF" w14:textId="5F7D9C86" w:rsidR="00002A4F" w:rsidRDefault="00002A4F" w:rsidP="00002A4F">
      <w:pPr>
        <w:pStyle w:val="Corps"/>
      </w:pPr>
      <w:r>
        <w:t xml:space="preserve">All tasks are 2-alternative forced choice task with staircase tracking. Responses are made using the right hand on a mouse button. The left mouse button corresponds to the left middle finger, the right mouse button to the left index finger. Participants are asked to indicate which finger received the strongest stimulus. </w:t>
      </w:r>
    </w:p>
    <w:p w14:paraId="0E349738" w14:textId="77777777" w:rsidR="00BC10A6" w:rsidRDefault="00BC10A6" w:rsidP="00BC10A6">
      <w:pPr>
        <w:pStyle w:val="Corps"/>
      </w:pPr>
    </w:p>
    <w:p w14:paraId="129A081A" w14:textId="77777777" w:rsidR="00BC10A6" w:rsidRDefault="00BC10A6" w:rsidP="00BC10A6">
      <w:pPr>
        <w:pStyle w:val="Corps"/>
        <w:rPr>
          <w:i/>
          <w:iCs/>
        </w:rPr>
      </w:pPr>
      <w:r>
        <w:rPr>
          <w:i/>
          <w:iCs/>
        </w:rPr>
        <w:t>Primary outcome measures</w:t>
      </w:r>
    </w:p>
    <w:p w14:paraId="3A358F3C" w14:textId="77777777" w:rsidR="00BC10A6" w:rsidRDefault="00BC10A6" w:rsidP="00BC10A6">
      <w:pPr>
        <w:pStyle w:val="ListParagraph"/>
        <w:numPr>
          <w:ilvl w:val="0"/>
          <w:numId w:val="8"/>
        </w:numPr>
      </w:pPr>
      <w:r>
        <w:t xml:space="preserve">Amplitude discrimination thresholds for each task. Threshold is calculated based on the average intensity of the last 5 trials. </w:t>
      </w:r>
    </w:p>
    <w:p w14:paraId="58749206" w14:textId="290CD21F" w:rsidR="007A4695" w:rsidRDefault="00BC10A6" w:rsidP="00BC10A6">
      <w:pPr>
        <w:pStyle w:val="ListParagraph"/>
        <w:numPr>
          <w:ilvl w:val="0"/>
          <w:numId w:val="8"/>
        </w:numPr>
      </w:pPr>
      <w:r>
        <w:t>Difference metrics. Absolute and percentage difference between simultaneous and sequential</w:t>
      </w:r>
      <w:r w:rsidR="003F3414">
        <w:t xml:space="preserve"> threshold</w:t>
      </w:r>
      <w:r>
        <w:t xml:space="preserve">, and between simultaneous with- and without adaptation </w:t>
      </w:r>
      <w:r w:rsidR="003F3414">
        <w:t xml:space="preserve">thresholds </w:t>
      </w:r>
      <w:r>
        <w:t xml:space="preserve">will be calculated. </w:t>
      </w:r>
    </w:p>
    <w:p w14:paraId="6D0028CD" w14:textId="77777777" w:rsidR="003F3414" w:rsidRDefault="003F3414" w:rsidP="003F3414">
      <w:pPr>
        <w:pStyle w:val="ListParagraph"/>
        <w:numPr>
          <w:ilvl w:val="0"/>
          <w:numId w:val="8"/>
        </w:numPr>
      </w:pPr>
      <w:r>
        <w:t xml:space="preserve">A confidence measure for each condition (based on Response Time for each trial for each condition).  </w:t>
      </w:r>
    </w:p>
    <w:p w14:paraId="1CA2034A" w14:textId="77777777" w:rsidR="00BC10A6" w:rsidRDefault="00BC10A6" w:rsidP="00BC10A6">
      <w:pPr>
        <w:pStyle w:val="Corps"/>
      </w:pPr>
    </w:p>
    <w:p w14:paraId="0E64F6F1" w14:textId="77777777" w:rsidR="00BC10A6" w:rsidRDefault="00BC10A6" w:rsidP="00BC10A6">
      <w:pPr>
        <w:pStyle w:val="Corps"/>
        <w:rPr>
          <w:i/>
          <w:iCs/>
        </w:rPr>
      </w:pPr>
      <w:r>
        <w:rPr>
          <w:i/>
          <w:iCs/>
        </w:rPr>
        <w:t>Secondary outcome measures</w:t>
      </w:r>
    </w:p>
    <w:p w14:paraId="526232D9" w14:textId="77777777" w:rsidR="00BC10A6" w:rsidRDefault="00BC10A6" w:rsidP="00BC10A6">
      <w:pPr>
        <w:pStyle w:val="ListParagraph"/>
        <w:numPr>
          <w:ilvl w:val="0"/>
          <w:numId w:val="10"/>
        </w:numPr>
      </w:pPr>
      <w:r>
        <w:t>D-prime to assess finger preference</w:t>
      </w:r>
    </w:p>
    <w:p w14:paraId="1C458A9F" w14:textId="77777777" w:rsidR="00BC10A6" w:rsidRDefault="00BC10A6" w:rsidP="00BC10A6">
      <w:pPr>
        <w:pStyle w:val="ListParagraph"/>
        <w:numPr>
          <w:ilvl w:val="0"/>
          <w:numId w:val="10"/>
        </w:numPr>
      </w:pPr>
      <w:r>
        <w:t>Average and variability in response time</w:t>
      </w:r>
    </w:p>
    <w:p w14:paraId="25961F66" w14:textId="334E03B4" w:rsidR="00AB59D9" w:rsidRDefault="00BC10A6" w:rsidP="007A4695">
      <w:pPr>
        <w:pStyle w:val="ListParagraph"/>
        <w:numPr>
          <w:ilvl w:val="0"/>
          <w:numId w:val="10"/>
        </w:numPr>
      </w:pPr>
      <w:r>
        <w:t>Accuracy</w:t>
      </w:r>
    </w:p>
    <w:p w14:paraId="52F0D88C" w14:textId="77777777" w:rsidR="007A4695" w:rsidRPr="007A4695" w:rsidRDefault="007A4695" w:rsidP="007A4695">
      <w:pPr>
        <w:pStyle w:val="ListParagraph"/>
      </w:pPr>
    </w:p>
    <w:p w14:paraId="194EDE36" w14:textId="77777777" w:rsidR="00AB59D9" w:rsidRDefault="00AB59D9">
      <w:pPr>
        <w:rPr>
          <w:b/>
          <w:bCs/>
        </w:rPr>
      </w:pPr>
    </w:p>
    <w:p w14:paraId="4B447D4A" w14:textId="246C923C" w:rsidR="0042082E" w:rsidRPr="00A01267" w:rsidRDefault="00767EF1" w:rsidP="00A01267">
      <w:pPr>
        <w:pStyle w:val="ListParagraph"/>
        <w:numPr>
          <w:ilvl w:val="0"/>
          <w:numId w:val="11"/>
        </w:numPr>
        <w:rPr>
          <w:b/>
          <w:bCs/>
        </w:rPr>
      </w:pPr>
      <w:r w:rsidRPr="00A01267">
        <w:rPr>
          <w:b/>
          <w:bCs/>
        </w:rPr>
        <w:t>Simultaneous and backward auditory masking</w:t>
      </w:r>
    </w:p>
    <w:p w14:paraId="27EA8562" w14:textId="77777777" w:rsidR="00AB59D9" w:rsidRDefault="00AB59D9" w:rsidP="00AB59D9"/>
    <w:p w14:paraId="3CC00127" w14:textId="085D9562" w:rsidR="00AB59D9" w:rsidRDefault="007A4695" w:rsidP="00AB59D9">
      <w:r>
        <w:t xml:space="preserve">2.2. </w:t>
      </w:r>
      <w:r w:rsidR="00AB59D9">
        <w:t>Background</w:t>
      </w:r>
    </w:p>
    <w:p w14:paraId="15B3EBA7" w14:textId="2E0D3998" w:rsidR="00767EF1" w:rsidRPr="00AB59D9" w:rsidRDefault="00AB59D9">
      <w:pPr>
        <w:rPr>
          <w:i/>
          <w:iCs/>
        </w:rPr>
      </w:pPr>
      <w:r>
        <w:t xml:space="preserve">Similar to the vibrotactile paradigms, we aim to use an auditory detection task, which includes modulation of auditory detection to probe sensory gating. The tasks involve absolute auditory threshold, and two additional conditions with both backward and forward masking (known to engage thalamocortical sensory gating mechanisms and modulate perception of auditory tones. These tasks are based upon prior work </w:t>
      </w:r>
      <w:r w:rsidR="00841859">
        <w:fldChar w:fldCharType="begin" w:fldLock="1"/>
      </w:r>
      <w:r w:rsidR="00E43A5A">
        <w:instrText>ADDIN CSL_CITATION {"citationItems":[{"id":"ITEM-1","itemData":{"DOI":"10.1044/1092-4388(2009/08-0114)","ISSN":"1092-4388","author":[{"dropping-particle":"","family":"Rosen","given":"Stuart","non-dropping-particle":"","parse-names":false,"suffix":""},{"dropping-particle":"","family":"Adlard","given":"Alan","non-dropping-particle":"","parse-names":false,"suffix":""},{"dropping-particle":"","family":"Lely","given":"Heather K. J.","non-dropping-particle":"van der","parse-names":false,"suffix":""}],"container-title":"Journal of Speech, Language, and Hearing Research","id":"ITEM-1","issue":"2","issued":{"date-parts":[["2009","4"]]},"page":"396-411","title":"Backward and Simultaneous Masking in Children With Grammatical Specific Language Impairment: No Simple Link Between Auditory and Language Abilities","type":"article-journal","volume":"52"},"uris":["http://www.mendeley.com/documents/?uuid=d6b603bb-7187-3d52-8ed9-0a2559052b96"]},{"id":"ITEM-2","itemData":{"DOI":"10.1038/387176a0","ISSN":"0028-0836","PMID":"9144287","abstract":"Between 3 and 6 per cent of children who are otherwise unimpaired have extreme difficulties producing and understanding spoken language. This disorder is typically labelled specific language impairment. Children diagnosed with specific language impairment often have accompanying reading difficulties (dyslexia), but not all children with reading difficulties have specific language impairment. Some researchers claim that language impairment arises from failures specific to language or cognitive processing. Others hold that language impairment results from a more elemental problem that makes affected children unable to hear the acoustic distinctions among successive brief sounds in speech. Here we report the results of psychophysical tests employing simple tones and noises showing that children with specific language impairment have severe auditory perceptual deficits for brief but not long tones in particular sound contexts. Our data support the view that language difficulties result from problems in auditory perception, and provide further information about the nature of these perceptual problems that should contribute to improving the diagnosis and treatment of language impairment and related disorders.","author":[{"dropping-particle":"","family":"Wright","given":"Beverly A.","non-dropping-particle":"","parse-names":false,"suffix":""},{"dropping-particle":"","family":"Lombardino","given":"Linda J.","non-dropping-particle":"","parse-names":false,"suffix":""},{"dropping-particle":"","family":"King","given":"Wayne M.","non-dropping-particle":"","parse-names":false,"suffix":""},{"dropping-particle":"","family":"Puranik","given":"Cynthia S.","non-dropping-particle":"","parse-names":false,"suffix":""},{"dropping-particle":"","family":"Leonard","given":"Christiana M.","non-dropping-particle":"","parse-names":false,"suffix":""},{"dropping-particle":"","family":"Merzenich","given":"Michael M.","non-dropping-particle":"","parse-names":false,"suffix":""}],"container-title":"Nature","id":"ITEM-2","issue":"6629","issued":{"date-parts":[["1997","5","8"]]},"page":"176-178","title":"Deficits in auditory temporal and spectral resolution in language-impaired children","type":"article-journal","volume":"387"},"uris":["http://www.mendeley.com/documents/?uuid=513b1144-f749-3ff8-b4ac-3efe48de6ff2"]}],"mendeley":{"formattedCitation":"(Rosen et al., 2009; Wright et al., 1997)","plainTextFormattedCitation":"(Rosen et al., 2009; Wright et al., 1997)","previouslyFormattedCitation":"(Rosen et al., 2009; Wright et al., 1997)"},"properties":{"noteIndex":0},"schema":"https://github.com/citation-style-language/schema/raw/master/csl-citation.json"}</w:instrText>
      </w:r>
      <w:r w:rsidR="00841859">
        <w:fldChar w:fldCharType="separate"/>
      </w:r>
      <w:r w:rsidR="00841859" w:rsidRPr="00841859">
        <w:rPr>
          <w:noProof/>
        </w:rPr>
        <w:t>(Rosen et al., 2009; Wright et al., 1997)</w:t>
      </w:r>
      <w:r w:rsidR="00841859">
        <w:fldChar w:fldCharType="end"/>
      </w:r>
      <w:r w:rsidR="00841859">
        <w:t xml:space="preserve"> </w:t>
      </w:r>
      <w:r>
        <w:t xml:space="preserve">that have established that this work is </w:t>
      </w:r>
      <w:r w:rsidR="00767EF1">
        <w:t xml:space="preserve">appropriate for pediatric cohorts. </w:t>
      </w:r>
    </w:p>
    <w:p w14:paraId="4A8616A3" w14:textId="151F3ADE" w:rsidR="00AB59D9" w:rsidRDefault="00AB59D9"/>
    <w:p w14:paraId="6A220D58" w14:textId="505CA76C" w:rsidR="00AB59D9" w:rsidRDefault="00AB59D9">
      <w:r>
        <w:t>2.2. Approach</w:t>
      </w:r>
    </w:p>
    <w:p w14:paraId="12056601" w14:textId="70279E83" w:rsidR="007A4695" w:rsidRPr="007A4695" w:rsidRDefault="007A4695">
      <w:pPr>
        <w:rPr>
          <w:i/>
          <w:iCs/>
        </w:rPr>
      </w:pPr>
      <w:r w:rsidRPr="007A4695">
        <w:rPr>
          <w:i/>
          <w:iCs/>
        </w:rPr>
        <w:t>2.2.1. Required equipment</w:t>
      </w:r>
    </w:p>
    <w:p w14:paraId="0D8FAC22" w14:textId="7CB0499F" w:rsidR="00AB59D9" w:rsidRDefault="00AB59D9">
      <w:r>
        <w:t xml:space="preserve">All sites will need a computer with audio output, an over-ear headphone, and a wired mouse for responses. </w:t>
      </w:r>
    </w:p>
    <w:p w14:paraId="45C3CDE5" w14:textId="0938753F" w:rsidR="00767EF1" w:rsidRDefault="00767EF1"/>
    <w:p w14:paraId="55F69E8B" w14:textId="79F70195" w:rsidR="007A4695" w:rsidRPr="007A4695" w:rsidRDefault="007A4695">
      <w:pPr>
        <w:rPr>
          <w:i/>
          <w:iCs/>
        </w:rPr>
      </w:pPr>
      <w:r w:rsidRPr="007A4695">
        <w:rPr>
          <w:i/>
          <w:iCs/>
        </w:rPr>
        <w:t>2.2.2. Task</w:t>
      </w:r>
      <w:r w:rsidR="001E58A1">
        <w:rPr>
          <w:i/>
          <w:iCs/>
        </w:rPr>
        <w:t xml:space="preserve"> (~10 min)</w:t>
      </w:r>
    </w:p>
    <w:p w14:paraId="5F67E61F" w14:textId="72B99859" w:rsidR="00767EF1" w:rsidRDefault="00AB59D9">
      <w:r>
        <w:t>Auditory t</w:t>
      </w:r>
      <w:r w:rsidR="00767EF1">
        <w:t>one detection thresholds will be determined under three conditions, quiet, simultaneous masking, and backward masking</w:t>
      </w:r>
      <w:r>
        <w:t>,</w:t>
      </w:r>
      <w:r w:rsidR="00767EF1">
        <w:t xml:space="preserve"> using adaptive tracking. A 2AFC approach will be used. Measurements will be made </w:t>
      </w:r>
      <w:r>
        <w:t>for</w:t>
      </w:r>
      <w:r w:rsidR="00767EF1">
        <w:t xml:space="preserve"> the right ear.</w:t>
      </w:r>
      <w:r>
        <w:t xml:space="preserve"> For each condition, a</w:t>
      </w:r>
      <w:r w:rsidR="00767EF1">
        <w:t xml:space="preserve">n adaptive procedure (PEST) will be used to track </w:t>
      </w:r>
      <w:r>
        <w:t>75</w:t>
      </w:r>
      <w:r w:rsidR="00767EF1">
        <w:t>% correct by varying the amplitude of a 20 ms 1 kHz tone</w:t>
      </w:r>
      <w:r>
        <w:t xml:space="preserve"> (the </w:t>
      </w:r>
      <w:r>
        <w:lastRenderedPageBreak/>
        <w:t>test tone)</w:t>
      </w:r>
      <w:r w:rsidR="00767EF1">
        <w:t xml:space="preserve">. The maximum step size </w:t>
      </w:r>
      <w:r>
        <w:t>will be</w:t>
      </w:r>
      <w:r w:rsidR="00767EF1">
        <w:t xml:space="preserve"> 8.6 dB between trials. Three suprathreshold stimuli will be applied as a practice</w:t>
      </w:r>
      <w:r>
        <w:t xml:space="preserve"> for each condition</w:t>
      </w:r>
      <w:r w:rsidR="00767EF1">
        <w:t>.</w:t>
      </w:r>
    </w:p>
    <w:p w14:paraId="4308D4B3" w14:textId="77777777" w:rsidR="00767EF1" w:rsidRDefault="00767EF1"/>
    <w:p w14:paraId="7250E07C" w14:textId="1C456160" w:rsidR="00767EF1" w:rsidRDefault="00767EF1">
      <w:r>
        <w:t xml:space="preserve">In each </w:t>
      </w:r>
      <w:r w:rsidR="00AB59D9">
        <w:t xml:space="preserve">individual </w:t>
      </w:r>
      <w:r>
        <w:t xml:space="preserve">trial, there will be two intervals, indicated visually by a </w:t>
      </w:r>
      <w:r w:rsidR="00515684">
        <w:t>flashing blinking light and a number (1, or 2; the original paper used faces opening their mouth, but this is a social construct best to avoid in ASD)</w:t>
      </w:r>
      <w:r>
        <w:t xml:space="preserve">. The participant needs to indicate whether </w:t>
      </w:r>
      <w:r w:rsidR="00AB59D9">
        <w:t>the test</w:t>
      </w:r>
      <w:r>
        <w:t xml:space="preserve"> tone occurred in synchrony with the first (left) or second (right) </w:t>
      </w:r>
      <w:r w:rsidR="00515684">
        <w:t>flashing light</w:t>
      </w:r>
      <w:r>
        <w:t xml:space="preserve">.  </w:t>
      </w:r>
    </w:p>
    <w:p w14:paraId="4F46289A" w14:textId="51906D04" w:rsidR="00767EF1" w:rsidRDefault="00767EF1"/>
    <w:p w14:paraId="4B831E5F" w14:textId="0407ACE8" w:rsidR="00804BDB" w:rsidRDefault="00AB59D9">
      <w:r>
        <w:t>In</w:t>
      </w:r>
      <w:r w:rsidR="00767EF1">
        <w:t xml:space="preserve"> the quiet </w:t>
      </w:r>
      <w:r>
        <w:t>condition</w:t>
      </w:r>
      <w:r w:rsidR="00767EF1">
        <w:t xml:space="preserve">, no additional noise bursts are given, and thus allows for determining absolute auditory amplitude </w:t>
      </w:r>
      <w:r w:rsidR="00D6321B">
        <w:t>detectio</w:t>
      </w:r>
      <w:r w:rsidR="00767EF1">
        <w:t>n threshold</w:t>
      </w:r>
      <w:r>
        <w:t xml:space="preserve"> for the test tone</w:t>
      </w:r>
      <w:r w:rsidR="00767EF1">
        <w:t xml:space="preserve">. </w:t>
      </w:r>
      <w:r>
        <w:t xml:space="preserve"> </w:t>
      </w:r>
      <w:r w:rsidR="00767EF1">
        <w:t xml:space="preserve">In the two masking conditions, in both intervals, </w:t>
      </w:r>
      <w:r w:rsidR="00804BDB">
        <w:t xml:space="preserve">300 ms bursts of masking noise will be given (bandpass 0.6-1.4 kHz at 40 dB SPL (ISI 340 ms). In the simultaneous masking </w:t>
      </w:r>
      <w:r>
        <w:t>condition,</w:t>
      </w:r>
      <w:r w:rsidR="00804BDB">
        <w:t xml:space="preserve"> the probe </w:t>
      </w:r>
      <w:r>
        <w:t>will occur</w:t>
      </w:r>
      <w:r w:rsidR="00804BDB">
        <w:t xml:space="preserve"> 200 ms after mask onset. In the backward masking condition, the probe occurs 20 ms prior to the start of the masking (no overlap).</w:t>
      </w:r>
      <w:r>
        <w:t xml:space="preserve"> </w:t>
      </w:r>
      <w:r w:rsidR="00804BDB">
        <w:t>All stimuli are gated with a 10 ms cosine wave envelop (ramp up and down)</w:t>
      </w:r>
      <w:r>
        <w:t xml:space="preserve"> and each condition will consist of 40</w:t>
      </w:r>
      <w:r w:rsidR="00804BDB">
        <w:t xml:space="preserve"> trials per task (~</w:t>
      </w:r>
      <w:r>
        <w:t>8</w:t>
      </w:r>
      <w:r w:rsidR="00804BDB">
        <w:t xml:space="preserve"> min of testing)</w:t>
      </w:r>
    </w:p>
    <w:p w14:paraId="54AF18A1" w14:textId="77777777" w:rsidR="007A4695" w:rsidRDefault="007A4695"/>
    <w:p w14:paraId="7650DD78" w14:textId="77777777" w:rsidR="007A4695" w:rsidRDefault="007A4695" w:rsidP="007A4695">
      <w:pPr>
        <w:pStyle w:val="Corps"/>
        <w:rPr>
          <w:i/>
          <w:iCs/>
        </w:rPr>
      </w:pPr>
      <w:r>
        <w:rPr>
          <w:i/>
          <w:iCs/>
        </w:rPr>
        <w:t>Primary outcome measures</w:t>
      </w:r>
    </w:p>
    <w:p w14:paraId="174D373D" w14:textId="1A99ADD8" w:rsidR="007A4695" w:rsidRDefault="007A4695" w:rsidP="003F3414">
      <w:pPr>
        <w:pStyle w:val="ListParagraph"/>
        <w:numPr>
          <w:ilvl w:val="0"/>
          <w:numId w:val="12"/>
        </w:numPr>
      </w:pPr>
      <w:r>
        <w:t xml:space="preserve">Auditory detection thresholds for each task. Threshold is calculated based on the average intensity of the last 5 trials. </w:t>
      </w:r>
    </w:p>
    <w:p w14:paraId="084CCF58" w14:textId="74751301" w:rsidR="007A4695" w:rsidRDefault="007A4695" w:rsidP="003F3414">
      <w:pPr>
        <w:pStyle w:val="ListParagraph"/>
        <w:numPr>
          <w:ilvl w:val="0"/>
          <w:numId w:val="12"/>
        </w:numPr>
      </w:pPr>
      <w:r>
        <w:t xml:space="preserve">Difference metrics. Absolute and percentage difference between </w:t>
      </w:r>
      <w:r w:rsidR="003F3414">
        <w:t>Quiet</w:t>
      </w:r>
      <w:r>
        <w:t xml:space="preserve"> and </w:t>
      </w:r>
      <w:r w:rsidR="003F3414">
        <w:t>backward</w:t>
      </w:r>
      <w:r>
        <w:t xml:space="preserve">, and between </w:t>
      </w:r>
      <w:r w:rsidR="003F3414">
        <w:t xml:space="preserve">Quiet, and Simultaneous masking thresholds. </w:t>
      </w:r>
      <w:r>
        <w:t xml:space="preserve"> </w:t>
      </w:r>
    </w:p>
    <w:p w14:paraId="05BB0E95" w14:textId="77777777" w:rsidR="007A4695" w:rsidRDefault="007A4695" w:rsidP="003F3414">
      <w:pPr>
        <w:pStyle w:val="ListParagraph"/>
        <w:numPr>
          <w:ilvl w:val="0"/>
          <w:numId w:val="12"/>
        </w:numPr>
      </w:pPr>
      <w:r>
        <w:t xml:space="preserve">A confidence measure (based on Response Time for each trial).  </w:t>
      </w:r>
    </w:p>
    <w:p w14:paraId="2D43E9FF" w14:textId="77777777" w:rsidR="003F3414" w:rsidRDefault="003F3414" w:rsidP="003F3414">
      <w:pPr>
        <w:pStyle w:val="Corps"/>
      </w:pPr>
    </w:p>
    <w:p w14:paraId="3377E7DD" w14:textId="215AA3A0" w:rsidR="007A4695" w:rsidRDefault="007A4695" w:rsidP="003F3414">
      <w:pPr>
        <w:pStyle w:val="Corps"/>
        <w:rPr>
          <w:i/>
          <w:iCs/>
        </w:rPr>
      </w:pPr>
      <w:r>
        <w:rPr>
          <w:i/>
          <w:iCs/>
        </w:rPr>
        <w:t>Secondary outcome measures</w:t>
      </w:r>
    </w:p>
    <w:p w14:paraId="1A06D68A" w14:textId="574E830D" w:rsidR="007A4695" w:rsidRDefault="007A4695" w:rsidP="003F3414">
      <w:pPr>
        <w:pStyle w:val="ListParagraph"/>
        <w:numPr>
          <w:ilvl w:val="0"/>
          <w:numId w:val="12"/>
        </w:numPr>
      </w:pPr>
      <w:r>
        <w:t xml:space="preserve">D-prime to assess </w:t>
      </w:r>
      <w:r w:rsidR="003F3414">
        <w:t>order</w:t>
      </w:r>
      <w:r>
        <w:t xml:space="preserve"> preference</w:t>
      </w:r>
    </w:p>
    <w:p w14:paraId="13612A07" w14:textId="77777777" w:rsidR="007A4695" w:rsidRDefault="007A4695" w:rsidP="003F3414">
      <w:pPr>
        <w:pStyle w:val="ListParagraph"/>
        <w:numPr>
          <w:ilvl w:val="0"/>
          <w:numId w:val="12"/>
        </w:numPr>
      </w:pPr>
      <w:r>
        <w:t>Average and variability in response time</w:t>
      </w:r>
    </w:p>
    <w:p w14:paraId="1196035F" w14:textId="77777777" w:rsidR="007A4695" w:rsidRDefault="007A4695" w:rsidP="003F3414">
      <w:pPr>
        <w:pStyle w:val="ListParagraph"/>
        <w:numPr>
          <w:ilvl w:val="0"/>
          <w:numId w:val="12"/>
        </w:numPr>
      </w:pPr>
      <w:r>
        <w:t>Accuracy</w:t>
      </w:r>
    </w:p>
    <w:p w14:paraId="1BC07938" w14:textId="77777777" w:rsidR="00A01267" w:rsidRDefault="00A01267" w:rsidP="00A01267"/>
    <w:p w14:paraId="2FEF2B95" w14:textId="459E058D" w:rsidR="00454253" w:rsidRDefault="00454253" w:rsidP="00A01267">
      <w:pPr>
        <w:pStyle w:val="ListParagraph"/>
        <w:numPr>
          <w:ilvl w:val="0"/>
          <w:numId w:val="11"/>
        </w:numPr>
        <w:rPr>
          <w:b/>
          <w:bCs/>
        </w:rPr>
      </w:pPr>
      <w:r w:rsidRPr="00A01267">
        <w:rPr>
          <w:b/>
          <w:bCs/>
        </w:rPr>
        <w:t>Visual processing</w:t>
      </w:r>
      <w:r w:rsidR="00A01267">
        <w:rPr>
          <w:b/>
          <w:bCs/>
        </w:rPr>
        <w:t xml:space="preserve"> of local and global content in goal-directed and spontaneous vision</w:t>
      </w:r>
    </w:p>
    <w:p w14:paraId="5A47C6BE" w14:textId="77777777" w:rsidR="00494C0A" w:rsidRDefault="00494C0A" w:rsidP="00494C0A">
      <w:pPr>
        <w:pStyle w:val="ListParagraph"/>
        <w:ind w:left="360"/>
        <w:rPr>
          <w:b/>
          <w:bCs/>
        </w:rPr>
      </w:pPr>
    </w:p>
    <w:p w14:paraId="3037B261" w14:textId="00B2B4D8" w:rsidR="00A01267" w:rsidRDefault="00A01267" w:rsidP="00A01267">
      <w:pPr>
        <w:pStyle w:val="ListParagraph"/>
        <w:numPr>
          <w:ilvl w:val="1"/>
          <w:numId w:val="11"/>
        </w:numPr>
      </w:pPr>
      <w:r>
        <w:t>Background</w:t>
      </w:r>
    </w:p>
    <w:p w14:paraId="0183CC9C" w14:textId="34DAB6A7" w:rsidR="00494C0A" w:rsidRDefault="00A01267" w:rsidP="00A01267">
      <w:r>
        <w:t>The assessment of visual perception is based on a task developed by Campana et al</w:t>
      </w:r>
      <w:r w:rsidR="00E43A5A">
        <w:t xml:space="preserve"> </w:t>
      </w:r>
      <w:r w:rsidR="00E43A5A">
        <w:fldChar w:fldCharType="begin" w:fldLock="1"/>
      </w:r>
      <w:r w:rsidR="00494C0A">
        <w:instrText>ADDIN CSL_CITATION {"citationItems":[{"id":"ITEM-1","itemData":{"DOI":"10.1523/JNEUROSCI.3619-15.2016","ISSN":"1529-2401","PMID":"27170119","abstract":"UNLABELLED The reverse hierarchy theory (Hochstein and Ahissar, 2002) makes strong, but so far untested, predictions on conscious vision. In this theory, local details encoded in lower-order visual areas are unconsciously processed before being automatically and rapidly combined into global information in higher-order visual areas, where conscious percepts emerge. Contingent on current goals, local details can afterward be consciously retrieved. This model therefore predicts that (1) global information is perceived faster than local details, (2) global information is computed regardless of task demands during early visual processing, and (3) spontaneous vision is dominated by global percepts. We designed novel textured stimuli that are, as opposed to the classic Navon's letters, truly hierarchical (i.e., where global information is solely defined by local information but where local and global orientations can still be manipulated separately). In line with the predictions, observers were systematically faster reporting global than local properties of those stimuli. Second, global information could be decoded from magneto-encephalographic data during early visual processing regardless of task demands. Last, spontaneous subjective reports were dominated by global information and the frequency and speed of spontaneous global perception correlated with the accuracy and speed in the global task. No such correlation was observed for local information. We therefore show that information at different levels of the visual hierarchy is not equally likely to become conscious; rather, conscious percepts emerge preferentially at a global level. We further show that spontaneous reports can be reliable and are tightly linked to objective performance at the global level. SIGNIFICANCE STATEMENT Is information encoded at different levels of the visual system (local details in low-level areas vs global shapes in high-level areas) equally likely to become conscious? We designed new hierarchical stimuli and provide the first empirical evidence based on behavioral and MEG data that global information encoded at high levels of the visual hierarchy dominates perception. This result held both in the presence and in the absence of task demands. The preferential emergence of percepts at high levels can account for two properties of conscious vision, namely, the dominance of global percepts and the feeling of visual richness reported independently of the perception of local details.","author":[{"dropping-particle":"","family":"Campana","given":"Florence","non-dropping-particle":"","parse-names":false,"suffix":""},{"dropping-particle":"","family":"Rebollo","given":"Ignacio","non-dropping-particle":"","parse-names":false,"suffix":""},{"dropping-particle":"","family":"Urai","given":"Anne","non-dropping-particle":"","parse-names":false,"suffix":""},{"dropping-particle":"","family":"Wyart","given":"Valentin","non-dropping-particle":"","parse-names":false,"suffix":""},{"dropping-particle":"","family":"Tallon-Baudry","given":"Catherine","non-dropping-particle":"","parse-names":false,"suffix":""}],"container-title":"The Journal of neuroscience : the official journal of the Society for Neuroscience","id":"ITEM-1","issue":"19","issued":{"date-parts":[["2016","5","11"]]},"page":"5200-13","title":"Conscious Vision Proceeds from Global to Local Content in Goal-Directed Tasks and Spontaneous Vision.","type":"article-journal","volume":"36"},"uris":["http://www.mendeley.com/documents/?uuid=105efdf5-e245-330c-8c4c-e395d086a703"]}],"mendeley":{"formattedCitation":"(Campana et al., 2016)","plainTextFormattedCitation":"(Campana et al., 2016)","previouslyFormattedCitation":"(Campana et al., 2016)"},"properties":{"noteIndex":0},"schema":"https://github.com/citation-style-language/schema/raw/master/csl-citation.json"}</w:instrText>
      </w:r>
      <w:r w:rsidR="00E43A5A">
        <w:fldChar w:fldCharType="separate"/>
      </w:r>
      <w:r w:rsidR="00E43A5A" w:rsidRPr="00E43A5A">
        <w:rPr>
          <w:noProof/>
        </w:rPr>
        <w:t>(Campana et al., 2016)</w:t>
      </w:r>
      <w:r w:rsidR="00E43A5A">
        <w:fldChar w:fldCharType="end"/>
      </w:r>
      <w:r>
        <w:t xml:space="preserve"> . This study predicts that global visual information is perceived faster than local visual information and that global information is encoded regardless of task-demand. Finally, </w:t>
      </w:r>
      <w:r w:rsidR="00E43A5A">
        <w:t xml:space="preserve">the authors suggest </w:t>
      </w:r>
      <w:r>
        <w:t>that spontaneous vision is dominated by global visual percepts. The spontaneous task will be utilized for this study</w:t>
      </w:r>
      <w:r w:rsidR="00E43A5A">
        <w:t xml:space="preserve">. The debate concerning visual perception in ASD is often described </w:t>
      </w:r>
      <w:r w:rsidR="00494C0A">
        <w:t xml:space="preserve">by </w:t>
      </w:r>
      <w:r>
        <w:t>children with ASD show</w:t>
      </w:r>
      <w:r w:rsidR="00494C0A">
        <w:t>ing</w:t>
      </w:r>
      <w:r>
        <w:t xml:space="preserve"> </w:t>
      </w:r>
      <w:r w:rsidR="00494C0A">
        <w:t xml:space="preserve">superior local, but inferior global visual perception </w:t>
      </w:r>
      <w:r w:rsidR="00494C0A">
        <w:fldChar w:fldCharType="begin" w:fldLock="1"/>
      </w:r>
      <w:r w:rsidR="00494C0A">
        <w:instrText>ADDIN CSL_CITATION {"citationItems":[{"id":"ITEM-1","itemData":{"DOI":"10.1007/s10803-019-04194-8","ISSN":"0162-3257","PMID":"31489542","abstract":"Visual perception in individuals with autism spectrum disorder (ASD) is often debated in terms of enhanced local and impaired global perception. Deficits in global motion perception seem to support this characterization, although the evidence is inconsistent. We conducted a large meta-analysis on global motion, combining 48 articles on biological and coherent motion. Results provide evidence for a small global motion processing deficit in individuals with ASD compared to controls in both biological and coherent motion. This deficit appears to be present independent of the paradigm, task, dependent variable, age or IQ of the groups. Results indicate that individuals with ASD are less sensitive to these types of global motion, although the difference in neural mechanisms underlying this behavioral difference remains unclear.","author":[{"dropping-particle":"","family":"Hallen","given":"Ruth","non-dropping-particle":"Van der","parse-names":false,"suffix":""},{"dropping-particle":"","family":"Manning","given":"Catherine","non-dropping-particle":"","parse-names":false,"suffix":""},{"dropping-particle":"","family":"Evers","given":"Kris","non-dropping-particle":"","parse-names":false,"suffix":""},{"dropping-particle":"","family":"Wagemans","given":"Johan","non-dropping-particle":"","parse-names":false,"suffix":""}],"container-title":"Journal of Autism and Developmental Disorders","id":"ITEM-1","issued":{"date-parts":[["2019","9","6"]]},"title":"Global Motion Perception in Autism Spectrum Disorder: A Meta-Analysis","type":"article-journal"},"uris":["http://www.mendeley.com/documents/?uuid=b2a47c85-94ea-34d9-be79-d4e0809df090"]}],"mendeley":{"formattedCitation":"(Van der Hallen et al., 2019)","plainTextFormattedCitation":"(Van der Hallen et al., 2019)","previouslyFormattedCitation":"(Van der Hallen et al., 2019)"},"properties":{"noteIndex":0},"schema":"https://github.com/citation-style-language/schema/raw/master/csl-citation.json"}</w:instrText>
      </w:r>
      <w:r w:rsidR="00494C0A">
        <w:fldChar w:fldCharType="separate"/>
      </w:r>
      <w:r w:rsidR="00494C0A" w:rsidRPr="00494C0A">
        <w:rPr>
          <w:noProof/>
        </w:rPr>
        <w:t>(Van der Hallen et al., 2019)</w:t>
      </w:r>
      <w:r w:rsidR="00494C0A">
        <w:fldChar w:fldCharType="end"/>
      </w:r>
      <w:r w:rsidR="00494C0A">
        <w:t xml:space="preserve">, and indeed, studies suggest that children with ASD have poorer sensory information gating (e.g. information flow from local to global) with prior work suggesting that children with ASD may be more detail oriented e.g. </w:t>
      </w:r>
      <w:r w:rsidR="00494C0A">
        <w:fldChar w:fldCharType="begin" w:fldLock="1"/>
      </w:r>
      <w:r w:rsidR="00494C0A">
        <w:instrText>ADDIN CSL_CITATION {"citationItems":[{"id":"ITEM-1","itemData":{"DOI":"10.1016/j.cub.2015.05.011","ISSN":"1879-0445","PMID":"26073135","abstract":"In addition to core symptoms, i.e., social interaction and communication difficulties and restricted and repetitive behaviors, autism is also characterized by aspects of superior perception. One well-replicated finding is that of superior performance in visual search tasks, in which participants have to indicate the presence of an odd-one-out element among a number of foils. Whether these aspects of superior perception contribute to the emergence of core autism symptoms remains debated. Perceptual and social interaction atypicalities could reflect co-expressed but biologically independent pathologies, as suggested by a \"fractionable\" phenotype model of autism. A developmental test of this hypothesis is now made possible by longitudinal cohorts of infants at high risk, such as of younger siblings of children with autism spectrum disorder (ASD). Around 20% of younger siblings are diagnosed with autism themselves, and up to another 30% manifest elevated levels of autism symptoms. We used eye tracking to measure spontaneous orienting to letter targets (O, S, V, and +) presented among distractors (the letter X; Figure 1). At 9 and 15 months, emerging autism symptoms were assessed using the Autism Observation Scale for Infants (AOSI;), and at 2 years of age, they were assessed using the Autism Diagnostic Observation Schedule (ADOS;). Enhanced visual search performance at 9 months predicted a higher level of autism symptoms at 15 months and at 2 years. Infant perceptual atypicalities are thus intrinsically linked to the emerging autism phenotype.","author":[{"dropping-particle":"","family":"Gliga","given":"Teodora","non-dropping-particle":"","parse-names":false,"suffix":""},{"dropping-particle":"","family":"Bedford","given":"Rachael","non-dropping-particle":"","parse-names":false,"suffix":""},{"dropping-particle":"","family":"Charman","given":"Tony","non-dropping-particle":"","parse-names":false,"suffix":""},{"dropping-particle":"","family":"Johnson","given":"Mark H","non-dropping-particle":"","parse-names":false,"suffix":""},{"dropping-particle":"","family":"BASIS Team","given":"Simon","non-dropping-particle":"","parse-names":false,"suffix":""},{"dropping-particle":"","family":"Bolton","given":"Patrick","non-dropping-particle":"","parse-names":false,"suffix":""},{"dropping-particle":"","family":"Cheung","given":"Celeste","non-dropping-particle":"","parse-names":false,"suffix":""},{"dropping-particle":"","family":"Davies","given":"Kim","non-dropping-particle":"","parse-names":false,"suffix":""},{"dropping-particle":"","family":"Liew","given":"Michelle","non-dropping-particle":"","parse-names":false,"suffix":""},{"dropping-particle":"","family":"Fernandes","given":"Janice","non-dropping-particle":"","parse-names":false,"suffix":""},{"dropping-particle":"","family":"Gammer","given":"Issy","non-dropping-particle":"","parse-names":false,"suffix":""},{"dropping-particle":"","family":"Maris","given":"Helen","non-dropping-particle":"","parse-names":false,"suffix":""},{"dropping-particle":"","family":"Salomone","given":"Erica","non-dropping-particle":"","parse-names":false,"suffix":""},{"dropping-particle":"","family":"Pasco","given":"Greg","non-dropping-particle":"","parse-names":false,"suffix":""},{"dropping-particle":"","family":"Pickles","given":"Andrew","non-dropping-particle":"","parse-names":false,"suffix":""},{"dropping-particle":"","family":"Ribeiro","given":"Helena","non-dropping-particle":"","parse-names":false,"suffix":""},{"dropping-particle":"","family":"Tucker","given":"Leslie","non-dropping-particle":"","parse-names":false,"suffix":""}],"container-title":"Current biology : CB","id":"ITEM-1","issue":"13","issued":{"date-parts":[["2015","6","29"]]},"page":"1727-30","title":"Enhanced Visual Search in Infancy Predicts Emerging Autism Symptoms.","type":"article-journal","volume":"25"},"uris":["http://www.mendeley.com/documents/?uuid=09bdd356-0317-3d58-85d3-6cbcf9794b53"]},{"id":"ITEM-2","itemData":{"DOI":"10.1038/srep04301","ISSN":"2045-2322","PMID":"24603348","abstract":"Research on the neural underpinnings of Autism Spectrum Disorder (ASD) has focussed primarily on impairments of social interaction and communication. Less is known though about the second diagnostic criterion of restricted behaviors and interests. Uniquely in this domain, alongside impairments stands an 'ASD advantage' characterised by superior performance on many visual tasks. We recently found that 2-year-olds with ASD dramatically outperform age-matched, typically developing controls on visual search. Here we use task-evoked, phasic pupil responses--a sensitive, involuntary measure of effort and a biomarker of the locus coeruleus-norepinephrine (LC-NE) system's modulation of attention--to isolate a causal factor: a 'hyperphasic' LC-NE system compels (here, advantageously) focussed attention. However, this focussed attention in other contexts may contribute to restricted behaviors and interests.","author":[{"dropping-particle":"","family":"Blaser","given":"Erik","non-dropping-particle":"","parse-names":false,"suffix":""},{"dropping-particle":"","family":"Eglington","given":"Luke","non-dropping-particle":"","parse-names":false,"suffix":""},{"dropping-particle":"","family":"Carter","given":"Alice S","non-dropping-particle":"","parse-names":false,"suffix":""},{"dropping-particle":"","family":"Kaldy","given":"Zsuzsa","non-dropping-particle":"","parse-names":false,"suffix":""}],"container-title":"Scientific reports","id":"ITEM-2","issue":"1","issued":{"date-parts":[["2014","3","7"]]},"page":"4301","title":"Pupillometry reveals a mechanism for the Autism Spectrum Disorder (ASD) advantage in visual tasks.","type":"article-journal","volume":"4"},"uris":["http://www.mendeley.com/documents/?uuid=faab155a-fe42-301b-94ef-96f2abdb2142"]}],"mendeley":{"formattedCitation":"(Blaser et al., 2014; Gliga et al., 2015)","plainTextFormattedCitation":"(Blaser et al., 2014; Gliga et al., 2015)"},"properties":{"noteIndex":0},"schema":"https://github.com/citation-style-language/schema/raw/master/csl-citation.json"}</w:instrText>
      </w:r>
      <w:r w:rsidR="00494C0A">
        <w:fldChar w:fldCharType="separate"/>
      </w:r>
      <w:r w:rsidR="00494C0A" w:rsidRPr="00494C0A">
        <w:rPr>
          <w:noProof/>
        </w:rPr>
        <w:t>(Blaser et al., 2014; Gliga et al., 2015)</w:t>
      </w:r>
      <w:r w:rsidR="00494C0A">
        <w:fldChar w:fldCharType="end"/>
      </w:r>
      <w:r w:rsidR="00494C0A">
        <w:t xml:space="preserve">. </w:t>
      </w:r>
    </w:p>
    <w:p w14:paraId="17E6B30A" w14:textId="086F4C52" w:rsidR="00A01267" w:rsidRDefault="00A01267" w:rsidP="00A01267"/>
    <w:p w14:paraId="30CFA1EC" w14:textId="33852687" w:rsidR="00A01267" w:rsidRDefault="00A01267" w:rsidP="00A01267">
      <w:pPr>
        <w:pStyle w:val="ListParagraph"/>
        <w:numPr>
          <w:ilvl w:val="1"/>
          <w:numId w:val="11"/>
        </w:numPr>
      </w:pPr>
      <w:r>
        <w:t>Approach</w:t>
      </w:r>
    </w:p>
    <w:p w14:paraId="1623E668" w14:textId="3077F938" w:rsidR="00A01267" w:rsidRDefault="00A01267" w:rsidP="00A01267">
      <w:pPr>
        <w:pStyle w:val="ListParagraph"/>
        <w:numPr>
          <w:ilvl w:val="2"/>
          <w:numId w:val="11"/>
        </w:numPr>
      </w:pPr>
      <w:commentRangeStart w:id="0"/>
      <w:r>
        <w:t>Required equipment</w:t>
      </w:r>
      <w:commentRangeEnd w:id="0"/>
      <w:r w:rsidR="00303076">
        <w:rPr>
          <w:rStyle w:val="CommentReference"/>
          <w:rFonts w:asciiTheme="minorHAnsi" w:eastAsiaTheme="minorEastAsia" w:hAnsiTheme="minorHAnsi" w:cstheme="minorBidi"/>
          <w:color w:val="auto"/>
          <w:bdr w:val="none" w:sz="0" w:space="0" w:color="auto"/>
        </w:rPr>
        <w:commentReference w:id="0"/>
      </w:r>
    </w:p>
    <w:p w14:paraId="05A0B941" w14:textId="01EFB946" w:rsidR="00D419FD" w:rsidRDefault="00D419FD" w:rsidP="00D419FD">
      <w:pPr>
        <w:pStyle w:val="ListParagraph"/>
        <w:ind w:left="360"/>
      </w:pPr>
    </w:p>
    <w:p w14:paraId="64A370EB" w14:textId="361C173E" w:rsidR="00D419FD" w:rsidRDefault="00D419FD" w:rsidP="00D419FD">
      <w:pPr>
        <w:pStyle w:val="ListParagraph"/>
        <w:numPr>
          <w:ilvl w:val="2"/>
          <w:numId w:val="11"/>
        </w:numPr>
      </w:pPr>
      <w:commentRangeStart w:id="1"/>
      <w:r>
        <w:t>Task</w:t>
      </w:r>
      <w:commentRangeEnd w:id="1"/>
      <w:r w:rsidR="00303076">
        <w:rPr>
          <w:rStyle w:val="CommentReference"/>
          <w:rFonts w:asciiTheme="minorHAnsi" w:eastAsiaTheme="minorEastAsia" w:hAnsiTheme="minorHAnsi" w:cstheme="minorBidi"/>
          <w:color w:val="auto"/>
          <w:bdr w:val="none" w:sz="0" w:space="0" w:color="auto"/>
        </w:rPr>
        <w:commentReference w:id="1"/>
      </w:r>
    </w:p>
    <w:p w14:paraId="6EB477F1" w14:textId="3C4ADB71" w:rsidR="00D419FD" w:rsidRDefault="00D419FD" w:rsidP="00D419FD">
      <w:r>
        <w:t>Stimuli consist of circular textures (diameter 7.4</w:t>
      </w:r>
      <w:r w:rsidRPr="00D419FD">
        <w:rPr>
          <w:vertAlign w:val="superscript"/>
        </w:rPr>
        <w:t>o</w:t>
      </w:r>
      <w:r>
        <w:t xml:space="preserve"> </w:t>
      </w:r>
      <w:proofErr w:type="gramStart"/>
      <w:r>
        <w:t xml:space="preserve">angle) </w:t>
      </w:r>
      <w:r>
        <w:rPr>
          <w:vertAlign w:val="superscript"/>
        </w:rPr>
        <w:t xml:space="preserve"> </w:t>
      </w:r>
      <w:r>
        <w:t>made</w:t>
      </w:r>
      <w:proofErr w:type="gramEnd"/>
      <w:r>
        <w:t xml:space="preserve"> of oriented lines (line length 0.18</w:t>
      </w:r>
      <w:r w:rsidR="00303076" w:rsidRPr="00303076">
        <w:rPr>
          <w:vertAlign w:val="superscript"/>
        </w:rPr>
        <w:t>o</w:t>
      </w:r>
      <w:r>
        <w:t>, distance between lines 0.2</w:t>
      </w:r>
      <w:r w:rsidR="00303076" w:rsidRPr="00303076">
        <w:rPr>
          <w:vertAlign w:val="superscript"/>
        </w:rPr>
        <w:t xml:space="preserve"> o</w:t>
      </w:r>
      <w:r>
        <w:t>, 36</w:t>
      </w:r>
      <w:r w:rsidR="00303076" w:rsidRPr="00303076">
        <w:rPr>
          <w:vertAlign w:val="superscript"/>
        </w:rPr>
        <w:t xml:space="preserve"> o</w:t>
      </w:r>
      <w:r>
        <w:t xml:space="preserve"> line on the radius) will be presented on a uniform gray background. Each texture consists of lines of random orientation, with a central rectangular area where lines are approximately aligned along a given orientation (the ‘local’ orientation). The central rectangle has its own orientation (the ‘global’ orientation). Local and global orientations are chosen from 4 angles with an angular difference between global and local of 45, for a total of 8 combinations of orientations. Difference coherence parameters will be used (high = very coherent lines, low = random lines</w:t>
      </w:r>
      <w:r w:rsidR="008152D4">
        <w:t>, 4 coherence values</w:t>
      </w:r>
      <w:r>
        <w:t>). The global shape will be entirely defined by the distribution of a single local feature (local lines)</w:t>
      </w:r>
      <w:r w:rsidR="00D6321B">
        <w:t xml:space="preserve"> meaning there is no contour. Further, local and global orientation derive from the same physical level (orientation). </w:t>
      </w:r>
    </w:p>
    <w:p w14:paraId="023BC993" w14:textId="4AB0D109" w:rsidR="00D6321B" w:rsidRDefault="00D6321B" w:rsidP="00D419FD"/>
    <w:p w14:paraId="7C502ECB" w14:textId="24580EF0" w:rsidR="00D6321B" w:rsidRDefault="00D6321B" w:rsidP="00D419FD">
      <w:r>
        <w:t xml:space="preserve">Each trial starts with a fixation cross presented for 0.6-0.7 s, followed by a stimulus presented on an LCD screen (60 Hz, resolution 1680 x 1050 pixels, screen size 43.6 x 27.1 cm) at a viewing distance of 70 cm. The stimulus will be presented until a participant responds or a maximum of </w:t>
      </w:r>
      <w:r w:rsidR="008152D4">
        <w:t>2</w:t>
      </w:r>
      <w:r>
        <w:t xml:space="preserve"> s. </w:t>
      </w:r>
      <w:r w:rsidR="008152D4">
        <w:t xml:space="preserve">Responses are matched to a button box with 4 potential answers (four potential orientations presented at the beginning of each block). After response, there will be a delay of 1.8-2.2 s before a new trial. </w:t>
      </w:r>
    </w:p>
    <w:p w14:paraId="2DA9F96C" w14:textId="6CD25DC7" w:rsidR="008152D4" w:rsidRDefault="008152D4" w:rsidP="00D419FD"/>
    <w:p w14:paraId="5D648850" w14:textId="5283A4CD" w:rsidR="008152D4" w:rsidRPr="008152D4" w:rsidRDefault="008152D4" w:rsidP="00D419FD">
      <w:pPr>
        <w:rPr>
          <w:i/>
          <w:iCs/>
        </w:rPr>
      </w:pPr>
      <w:r w:rsidRPr="008152D4">
        <w:rPr>
          <w:i/>
          <w:iCs/>
        </w:rPr>
        <w:t>Spontaneous condition</w:t>
      </w:r>
    </w:p>
    <w:p w14:paraId="4872CC70" w14:textId="346FCD12" w:rsidR="008152D4" w:rsidRDefault="008152D4" w:rsidP="00D419FD">
      <w:r>
        <w:t xml:space="preserve">In the spontaneous condition (which is always first), participants are instructed to report the orientation they spontaneously perceive when viewing the stimulus. Participants will be instructed that there is no wrong answer and a ‘no impression’ was also an option. Participants are not instructed of the global or local distinction, but rather, are trained on the four orientations as colored lines of size intermediate between global and local lines and then tested on 12 practice stimuli with congruent local and global lines. Trials during the experiment consisted of 50% congruent and 50% incongruent stimuli. </w:t>
      </w:r>
    </w:p>
    <w:p w14:paraId="3449F4B6" w14:textId="77777777" w:rsidR="008152D4" w:rsidRDefault="008152D4" w:rsidP="00D419FD"/>
    <w:p w14:paraId="5AEB1B97" w14:textId="5D2F9040" w:rsidR="008152D4" w:rsidRPr="00682E62" w:rsidRDefault="008152D4" w:rsidP="00D419FD">
      <w:pPr>
        <w:rPr>
          <w:i/>
          <w:iCs/>
        </w:rPr>
      </w:pPr>
      <w:r w:rsidRPr="00682E62">
        <w:rPr>
          <w:i/>
          <w:iCs/>
        </w:rPr>
        <w:t>Instructed condition</w:t>
      </w:r>
    </w:p>
    <w:p w14:paraId="04BDD52C" w14:textId="632BECA1" w:rsidR="008152D4" w:rsidRDefault="008152D4" w:rsidP="00D419FD">
      <w:r>
        <w:t xml:space="preserve">In this condition, participants re told which </w:t>
      </w:r>
      <w:r w:rsidR="00682E62">
        <w:t>representation to report on (local or global). In the global task, participants are instructed to report the orientation of the homogeneous shape. In the local task they are instructed to report the general orientation of individual lines.</w:t>
      </w:r>
    </w:p>
    <w:p w14:paraId="2721D93F" w14:textId="589809EC" w:rsidR="00682E62" w:rsidRDefault="00682E62" w:rsidP="00D419FD"/>
    <w:p w14:paraId="6DD10611" w14:textId="349C0B5E" w:rsidR="00454253" w:rsidRPr="00682E62" w:rsidRDefault="00682E62">
      <w:pPr>
        <w:rPr>
          <w:i/>
          <w:iCs/>
        </w:rPr>
      </w:pPr>
      <w:commentRangeStart w:id="2"/>
      <w:r w:rsidRPr="00682E62">
        <w:rPr>
          <w:i/>
          <w:iCs/>
        </w:rPr>
        <w:t>Outcome measures</w:t>
      </w:r>
      <w:commentRangeEnd w:id="2"/>
      <w:r w:rsidR="00303076">
        <w:rPr>
          <w:rStyle w:val="CommentReference"/>
        </w:rPr>
        <w:commentReference w:id="2"/>
      </w:r>
    </w:p>
    <w:p w14:paraId="616CF727" w14:textId="77777777" w:rsidR="00682E62" w:rsidRPr="00454253" w:rsidRDefault="00682E62">
      <w:pPr>
        <w:rPr>
          <w:b/>
          <w:bCs/>
        </w:rPr>
      </w:pPr>
    </w:p>
    <w:p w14:paraId="1D4E8433" w14:textId="77777777" w:rsidR="00454253" w:rsidRDefault="00454253"/>
    <w:p w14:paraId="6D0E19ED" w14:textId="77777777" w:rsidR="0042082E" w:rsidRDefault="0042082E"/>
    <w:sectPr w:rsidR="0042082E" w:rsidSect="00E273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Puts" w:date="2019-09-26T10:30:00Z" w:initials="NP">
    <w:p w14:paraId="59369172" w14:textId="0D0657F9" w:rsidR="00303076" w:rsidRDefault="00303076">
      <w:pPr>
        <w:pStyle w:val="CommentText"/>
      </w:pPr>
      <w:r>
        <w:rPr>
          <w:rStyle w:val="CommentReference"/>
        </w:rPr>
        <w:annotationRef/>
      </w:r>
      <w:r>
        <w:t>What equipment would people need?</w:t>
      </w:r>
    </w:p>
  </w:comment>
  <w:comment w:id="1" w:author="Nick Puts" w:date="2019-09-26T10:30:00Z" w:initials="NP">
    <w:p w14:paraId="23ACA52B" w14:textId="6347EC06" w:rsidR="00303076" w:rsidRDefault="00303076">
      <w:pPr>
        <w:pStyle w:val="CommentText"/>
      </w:pPr>
      <w:r>
        <w:rPr>
          <w:rStyle w:val="CommentReference"/>
        </w:rPr>
        <w:annotationRef/>
      </w:r>
      <w:r>
        <w:t>I don’t want to go into too much detail, but do you think this covers it? Can you write in trial numbers/timings?</w:t>
      </w:r>
    </w:p>
  </w:comment>
  <w:comment w:id="2" w:author="Nick Puts" w:date="2019-09-26T10:29:00Z" w:initials="NP">
    <w:p w14:paraId="1ED15BCA" w14:textId="314E4B54" w:rsidR="00303076" w:rsidRDefault="00303076">
      <w:pPr>
        <w:pStyle w:val="CommentText"/>
      </w:pPr>
      <w:r>
        <w:rPr>
          <w:rStyle w:val="CommentReference"/>
        </w:rPr>
        <w:annotationRef/>
      </w:r>
      <w:r>
        <w:t>How would you describe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369172" w15:done="0"/>
  <w15:commentEx w15:paraId="23ACA52B" w15:done="0"/>
  <w15:commentEx w15:paraId="1ED15B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369172" w16cid:durableId="213711CA"/>
  <w16cid:commentId w16cid:paraId="23ACA52B" w16cid:durableId="213711B1"/>
  <w16cid:commentId w16cid:paraId="1ED15BCA" w16cid:durableId="21371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6A0"/>
    <w:multiLevelType w:val="hybridMultilevel"/>
    <w:tmpl w:val="B4FE26C4"/>
    <w:numStyleLink w:val="Style3import"/>
  </w:abstractNum>
  <w:abstractNum w:abstractNumId="1" w15:restartNumberingAfterBreak="0">
    <w:nsid w:val="1861084D"/>
    <w:multiLevelType w:val="hybridMultilevel"/>
    <w:tmpl w:val="0E484C06"/>
    <w:numStyleLink w:val="Style4import"/>
  </w:abstractNum>
  <w:abstractNum w:abstractNumId="2" w15:restartNumberingAfterBreak="0">
    <w:nsid w:val="28F900FE"/>
    <w:multiLevelType w:val="hybridMultilevel"/>
    <w:tmpl w:val="B71AF85E"/>
    <w:numStyleLink w:val="Style2import"/>
  </w:abstractNum>
  <w:abstractNum w:abstractNumId="3" w15:restartNumberingAfterBreak="0">
    <w:nsid w:val="2E216DBF"/>
    <w:multiLevelType w:val="hybridMultilevel"/>
    <w:tmpl w:val="12884892"/>
    <w:styleLink w:val="Style1import"/>
    <w:lvl w:ilvl="0" w:tplc="A07C209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58A5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A20948">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64CC43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1086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283504">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69DCB1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74ED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2213AE">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3E5FAE"/>
    <w:multiLevelType w:val="multilevel"/>
    <w:tmpl w:val="D884BA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C31E24"/>
    <w:multiLevelType w:val="hybridMultilevel"/>
    <w:tmpl w:val="C7C2D238"/>
    <w:numStyleLink w:val="Style5import"/>
  </w:abstractNum>
  <w:abstractNum w:abstractNumId="6" w15:restartNumberingAfterBreak="0">
    <w:nsid w:val="547A103B"/>
    <w:multiLevelType w:val="hybridMultilevel"/>
    <w:tmpl w:val="B4FE26C4"/>
    <w:styleLink w:val="Style3import"/>
    <w:lvl w:ilvl="0" w:tplc="9C90B2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E07F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54989C">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0CD8F5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8D2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B2EA3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37CAA0E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E8F4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6E4638">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656B29"/>
    <w:multiLevelType w:val="hybridMultilevel"/>
    <w:tmpl w:val="B71AF85E"/>
    <w:styleLink w:val="Style2import"/>
    <w:lvl w:ilvl="0" w:tplc="B844B49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10B4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8609F2">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0D1E96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272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A2A8EC">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01B4AD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BCEE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68A472">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AB472BA"/>
    <w:multiLevelType w:val="hybridMultilevel"/>
    <w:tmpl w:val="0E484C06"/>
    <w:styleLink w:val="Style4import"/>
    <w:lvl w:ilvl="0" w:tplc="EABCBE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CE94E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849086">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0F3A73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029A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F2A36C">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FFE6CE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5C6E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02C008">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73813A2"/>
    <w:multiLevelType w:val="hybridMultilevel"/>
    <w:tmpl w:val="C7C2D238"/>
    <w:styleLink w:val="Style5import"/>
    <w:lvl w:ilvl="0" w:tplc="260AB2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EDB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AAB2CE">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275A2E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BC87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38DDC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37C6F6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B85C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1037EA">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04F50A4"/>
    <w:multiLevelType w:val="hybridMultilevel"/>
    <w:tmpl w:val="12884892"/>
    <w:numStyleLink w:val="Style1import"/>
  </w:abstractNum>
  <w:abstractNum w:abstractNumId="11" w15:restartNumberingAfterBreak="0">
    <w:nsid w:val="764B7317"/>
    <w:multiLevelType w:val="hybridMultilevel"/>
    <w:tmpl w:val="0E7CED7C"/>
    <w:lvl w:ilvl="0" w:tplc="5CBE5A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2"/>
  </w:num>
  <w:num w:numId="5">
    <w:abstractNumId w:val="6"/>
  </w:num>
  <w:num w:numId="6">
    <w:abstractNumId w:val="0"/>
  </w:num>
  <w:num w:numId="7">
    <w:abstractNumId w:val="8"/>
  </w:num>
  <w:num w:numId="8">
    <w:abstractNumId w:val="1"/>
  </w:num>
  <w:num w:numId="9">
    <w:abstractNumId w:val="9"/>
  </w:num>
  <w:num w:numId="10">
    <w:abstractNumId w:val="5"/>
  </w:num>
  <w:num w:numId="11">
    <w:abstractNumId w:val="4"/>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Puts">
    <w15:presenceInfo w15:providerId="None" w15:userId="Nick Pu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2E"/>
    <w:rsid w:val="00002A4F"/>
    <w:rsid w:val="000D6E2A"/>
    <w:rsid w:val="00143A50"/>
    <w:rsid w:val="00153704"/>
    <w:rsid w:val="001B3C30"/>
    <w:rsid w:val="001D196F"/>
    <w:rsid w:val="001E58A1"/>
    <w:rsid w:val="001F597C"/>
    <w:rsid w:val="002A0292"/>
    <w:rsid w:val="002C1AB2"/>
    <w:rsid w:val="002C58D4"/>
    <w:rsid w:val="002C7460"/>
    <w:rsid w:val="00303076"/>
    <w:rsid w:val="00307217"/>
    <w:rsid w:val="003844A4"/>
    <w:rsid w:val="003F3414"/>
    <w:rsid w:val="0042082E"/>
    <w:rsid w:val="00451295"/>
    <w:rsid w:val="00454253"/>
    <w:rsid w:val="00487E05"/>
    <w:rsid w:val="00494C0A"/>
    <w:rsid w:val="004E5916"/>
    <w:rsid w:val="00515684"/>
    <w:rsid w:val="005E7EA9"/>
    <w:rsid w:val="00614AA8"/>
    <w:rsid w:val="00682E62"/>
    <w:rsid w:val="006F297F"/>
    <w:rsid w:val="00767EF1"/>
    <w:rsid w:val="00771104"/>
    <w:rsid w:val="00794017"/>
    <w:rsid w:val="007A4695"/>
    <w:rsid w:val="00804BDB"/>
    <w:rsid w:val="008152D4"/>
    <w:rsid w:val="008321E8"/>
    <w:rsid w:val="00833ECF"/>
    <w:rsid w:val="00841859"/>
    <w:rsid w:val="008B1C76"/>
    <w:rsid w:val="00924B92"/>
    <w:rsid w:val="009905B5"/>
    <w:rsid w:val="009E7BEC"/>
    <w:rsid w:val="00A01267"/>
    <w:rsid w:val="00A33398"/>
    <w:rsid w:val="00AA0E93"/>
    <w:rsid w:val="00AB59D9"/>
    <w:rsid w:val="00AE37A1"/>
    <w:rsid w:val="00AF3D8E"/>
    <w:rsid w:val="00B10892"/>
    <w:rsid w:val="00B152E1"/>
    <w:rsid w:val="00B63A40"/>
    <w:rsid w:val="00B75499"/>
    <w:rsid w:val="00B84A00"/>
    <w:rsid w:val="00B94F59"/>
    <w:rsid w:val="00BA06A1"/>
    <w:rsid w:val="00BC10A6"/>
    <w:rsid w:val="00BF293F"/>
    <w:rsid w:val="00C954C4"/>
    <w:rsid w:val="00CB0A07"/>
    <w:rsid w:val="00D24A5D"/>
    <w:rsid w:val="00D419FD"/>
    <w:rsid w:val="00D56F0E"/>
    <w:rsid w:val="00D6321B"/>
    <w:rsid w:val="00D93F1D"/>
    <w:rsid w:val="00DA18B3"/>
    <w:rsid w:val="00DC555B"/>
    <w:rsid w:val="00E15E2F"/>
    <w:rsid w:val="00E27319"/>
    <w:rsid w:val="00E43A54"/>
    <w:rsid w:val="00E43A5A"/>
    <w:rsid w:val="00E56FD3"/>
    <w:rsid w:val="00E60BFC"/>
    <w:rsid w:val="00E76080"/>
    <w:rsid w:val="00EA3CD6"/>
    <w:rsid w:val="00F12CFE"/>
    <w:rsid w:val="00F24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F11B"/>
  <w15:chartTrackingRefBased/>
  <w15:docId w15:val="{2AD7DCED-280C-B244-819C-A47DD9A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4BDB"/>
    <w:rPr>
      <w:sz w:val="16"/>
      <w:szCs w:val="16"/>
    </w:rPr>
  </w:style>
  <w:style w:type="paragraph" w:styleId="CommentText">
    <w:name w:val="annotation text"/>
    <w:basedOn w:val="Normal"/>
    <w:link w:val="CommentTextChar"/>
    <w:uiPriority w:val="99"/>
    <w:semiHidden/>
    <w:unhideWhenUsed/>
    <w:rsid w:val="00804BDB"/>
    <w:rPr>
      <w:sz w:val="20"/>
      <w:szCs w:val="20"/>
    </w:rPr>
  </w:style>
  <w:style w:type="character" w:customStyle="1" w:styleId="CommentTextChar">
    <w:name w:val="Comment Text Char"/>
    <w:basedOn w:val="DefaultParagraphFont"/>
    <w:link w:val="CommentText"/>
    <w:uiPriority w:val="99"/>
    <w:semiHidden/>
    <w:rsid w:val="00804BDB"/>
    <w:rPr>
      <w:sz w:val="20"/>
      <w:szCs w:val="20"/>
    </w:rPr>
  </w:style>
  <w:style w:type="paragraph" w:styleId="CommentSubject">
    <w:name w:val="annotation subject"/>
    <w:basedOn w:val="CommentText"/>
    <w:next w:val="CommentText"/>
    <w:link w:val="CommentSubjectChar"/>
    <w:uiPriority w:val="99"/>
    <w:semiHidden/>
    <w:unhideWhenUsed/>
    <w:rsid w:val="00804BDB"/>
    <w:rPr>
      <w:b/>
      <w:bCs/>
    </w:rPr>
  </w:style>
  <w:style w:type="character" w:customStyle="1" w:styleId="CommentSubjectChar">
    <w:name w:val="Comment Subject Char"/>
    <w:basedOn w:val="CommentTextChar"/>
    <w:link w:val="CommentSubject"/>
    <w:uiPriority w:val="99"/>
    <w:semiHidden/>
    <w:rsid w:val="00804BDB"/>
    <w:rPr>
      <w:b/>
      <w:bCs/>
      <w:sz w:val="20"/>
      <w:szCs w:val="20"/>
    </w:rPr>
  </w:style>
  <w:style w:type="paragraph" w:styleId="BalloonText">
    <w:name w:val="Balloon Text"/>
    <w:basedOn w:val="Normal"/>
    <w:link w:val="BalloonTextChar"/>
    <w:uiPriority w:val="99"/>
    <w:semiHidden/>
    <w:unhideWhenUsed/>
    <w:rsid w:val="00804B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BDB"/>
    <w:rPr>
      <w:rFonts w:ascii="Times New Roman" w:hAnsi="Times New Roman" w:cs="Times New Roman"/>
      <w:sz w:val="18"/>
      <w:szCs w:val="18"/>
    </w:rPr>
  </w:style>
  <w:style w:type="paragraph" w:customStyle="1" w:styleId="Corps">
    <w:name w:val="Corps"/>
    <w:rsid w:val="00BC10A6"/>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Pardfaut">
    <w:name w:val="Par défaut"/>
    <w:rsid w:val="00BC10A6"/>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styleId="ListParagraph">
    <w:name w:val="List Paragraph"/>
    <w:rsid w:val="00BC10A6"/>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Style1import">
    <w:name w:val="Style 1 importé"/>
    <w:rsid w:val="00BC10A6"/>
    <w:pPr>
      <w:numPr>
        <w:numId w:val="1"/>
      </w:numPr>
    </w:pPr>
  </w:style>
  <w:style w:type="numbering" w:customStyle="1" w:styleId="Style2import">
    <w:name w:val="Style 2 importé"/>
    <w:rsid w:val="00BC10A6"/>
    <w:pPr>
      <w:numPr>
        <w:numId w:val="3"/>
      </w:numPr>
    </w:pPr>
  </w:style>
  <w:style w:type="numbering" w:customStyle="1" w:styleId="Style3import">
    <w:name w:val="Style 3 importé"/>
    <w:rsid w:val="00BC10A6"/>
    <w:pPr>
      <w:numPr>
        <w:numId w:val="5"/>
      </w:numPr>
    </w:pPr>
  </w:style>
  <w:style w:type="numbering" w:customStyle="1" w:styleId="Style4import">
    <w:name w:val="Style 4 importé"/>
    <w:rsid w:val="00BC10A6"/>
    <w:pPr>
      <w:numPr>
        <w:numId w:val="7"/>
      </w:numPr>
    </w:pPr>
  </w:style>
  <w:style w:type="numbering" w:customStyle="1" w:styleId="Style5import">
    <w:name w:val="Style 5 importé"/>
    <w:rsid w:val="00BC10A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77C9-4936-544A-AC25-4D1A39E7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5812</Words>
  <Characters>33133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Puts</dc:creator>
  <cp:keywords/>
  <dc:description/>
  <cp:lastModifiedBy>He, Jason</cp:lastModifiedBy>
  <cp:revision>2</cp:revision>
  <dcterms:created xsi:type="dcterms:W3CDTF">2020-05-05T14:46:00Z</dcterms:created>
  <dcterms:modified xsi:type="dcterms:W3CDTF">2020-05-05T14:46:00Z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04ce026b-1654-3a34-978f-31ab83241e6f</vt:lpwstr>
  </property>
  <property fmtid="{D5CDD505-2E9C-101B-9397-08002B2CF9AE}" pid="4" name="Mendeley Citation Style_1">
    <vt:lpwstr>http://www.zotero.org/styles/psychiatry-research-neuroimaging</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17th edition (full note)</vt:lpwstr>
  </property>
  <property fmtid="{D5CDD505-2E9C-101B-9397-08002B2CF9AE}" pid="11" name="Mendeley Recent Style Id 3_1">
    <vt:lpwstr>http://csl.mendeley.com/styles/483492351/CV</vt:lpwstr>
  </property>
  <property fmtid="{D5CDD505-2E9C-101B-9397-08002B2CF9AE}" pid="12" name="Mendeley Recent Style Name 3_1">
    <vt:lpwstr>Journal of Neurophysiology - Nicolaas Puts</vt:lpwstr>
  </property>
  <property fmtid="{D5CDD505-2E9C-101B-9397-08002B2CF9AE}" pid="13" name="Mendeley Recent Style Id 4_1">
    <vt:lpwstr>http://www.zotero.org/styles/magnetic-resonance-in-medicine</vt:lpwstr>
  </property>
  <property fmtid="{D5CDD505-2E9C-101B-9397-08002B2CF9AE}" pid="14" name="Mendeley Recent Style Name 4_1">
    <vt:lpwstr>Magnetic Resonance in Medicine</vt:lpwstr>
  </property>
  <property fmtid="{D5CDD505-2E9C-101B-9397-08002B2CF9AE}" pid="15" name="Mendeley Recent Style Id 5_1">
    <vt:lpwstr>http://csl.mendeley.com/styles/483492351/magnetic-resonance-in-medicine-PUTS</vt:lpwstr>
  </property>
  <property fmtid="{D5CDD505-2E9C-101B-9397-08002B2CF9AE}" pid="16" name="Mendeley Recent Style Name 5_1">
    <vt:lpwstr>Magnetic Resonance in Medicine - Nicolaas Puts - Nicolaas Puts, PhD</vt:lpwstr>
  </property>
  <property fmtid="{D5CDD505-2E9C-101B-9397-08002B2CF9AE}" pid="17" name="Mendeley Recent Style Id 6_1">
    <vt:lpwstr>http://csl.mendeley.com/styles/483492351/NP-CV2</vt:lpwstr>
  </property>
  <property fmtid="{D5CDD505-2E9C-101B-9397-08002B2CF9AE}" pid="18" name="Mendeley Recent Style Name 6_1">
    <vt:lpwstr>NP CV 2017</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http://www.zotero.org/styles/psychiatry-research-neuroimaging</vt:lpwstr>
  </property>
  <property fmtid="{D5CDD505-2E9C-101B-9397-08002B2CF9AE}" pid="24" name="Mendeley Recent Style Name 9_1">
    <vt:lpwstr>Psychiatry Research: Neuroimaging</vt:lpwstr>
  </property>
</Properties>
</file>