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109"/>
            </w:pPr>
          </w:p>
          <w:p>
            <w:pPr>
              <w:pBdr>
                <w:bottom w:val="single" w:color="529286" w:sz="6" w:space="8"/>
              </w:pBdr>
              <w:spacing w:after="500"/>
              <w:ind w:left="1200" w:right="800"/>
            </w:pPr>
            <w:r>
              <w:rPr>
                <w:rFonts w:ascii="Calibri" w:eastAsia="SimHei"/>
                <w:color w:val="529286"/>
                <w:spacing w:val="40"/>
                <w:sz w:val="18"/>
                <w:szCs w:val="18"/>
              </w:rPr>
              <w:t xml:space="preserve">B  U  S  I  N  E  S  S     P  R  O  F  E  S  S  I  O  N  A  L     R  E  S  E  A  R  C  H</w:t>
            </w:r>
          </w:p>
          <w:p>
            <w:pPr>
              <w:spacing w:after="100" w:line="736" w:lineRule="atLeast"/>
              <w:ind w:left="1200"/>
            </w:pPr>
            <w:r>
              <w:rPr>
                <w:rFonts w:ascii="Arial" w:eastAsia="SimHei"/>
                <w:b/>
                <w:bCs/>
                <w:color w:val="FFFFFF"/>
                <w:sz w:val="64"/>
                <w:szCs w:val="64"/>
              </w:rPr>
              <w:t xml:space="preserve">Production-Ready Full-</w:t>
            </w:r>
          </w:p>
          <w:p>
            <w:pPr>
              <w:spacing w:after="300" w:line="736" w:lineRule="atLeast"/>
              <w:ind w:left="1200"/>
            </w:pPr>
            <w:r>
              <w:rPr>
                <w:rFonts w:ascii="Arial" w:eastAsia="SimHei"/>
                <w:b/>
                <w:bCs/>
                <w:color w:val="FFFFFF"/>
                <w:sz w:val="64"/>
                <w:szCs w:val="64"/>
              </w:rPr>
              <w:t xml:space="preserve">Stack Systems for Business</w:t>
            </w:r>
          </w:p>
          <w:p>
            <w:pPr>
              <w:spacing w:after="800"/>
              <w:ind w:left="1200"/>
            </w:pPr>
            <w:r>
              <w:rPr>
                <w:rFonts w:ascii="Arial" w:eastAsia="Microsoft YaHei"/>
                <w:color w:val="B0B8C0"/>
                <w:sz w:val="22"/>
                <w:szCs w:val="22"/>
              </w:rPr>
              <w:t xml:space="preserve">A Complete Deep-Research Blueprint: Planning, SDLC, Architecture, Data Models, and Building Processes for Eight Commercial-Grade Systems</w:t>
            </w:r>
          </w:p>
          <w:p>
            <w:pPr>
              <w:pBdr>
                <w:left w:val="single" w:color="529286" w:sz="8" w:space="12"/>
              </w:pBdr>
              <w:spacing w:after="80"/>
              <w:ind w:left="1400"/>
            </w:pPr>
            <w:r>
              <w:rPr>
                <w:rFonts w:ascii="Arial" w:eastAsia="Microsoft YaHei"/>
                <w:color w:val="90989F"/>
                <w:sz w:val="22"/>
                <w:szCs w:val="22"/>
              </w:rPr>
              <w:t xml:space="preserve">Document Type: In-Depth Research Report</w:t>
            </w:r>
          </w:p>
          <w:p>
            <w:pPr>
              <w:pBdr>
                <w:left w:val="single" w:color="529286" w:sz="8" w:space="12"/>
              </w:pBdr>
              <w:spacing w:after="80"/>
              <w:ind w:left="1400"/>
            </w:pPr>
            <w:r>
              <w:rPr>
                <w:rFonts w:ascii="Arial" w:eastAsia="Microsoft YaHei"/>
                <w:color w:val="90989F"/>
                <w:sz w:val="22"/>
                <w:szCs w:val="22"/>
              </w:rPr>
              <w:t xml:space="preserve">Style: Business Professional</w:t>
            </w:r>
          </w:p>
          <w:p>
            <w:pPr>
              <w:pBdr>
                <w:left w:val="single" w:color="529286" w:sz="8" w:space="12"/>
              </w:pBdr>
              <w:spacing w:after="80"/>
              <w:ind w:left="1400"/>
            </w:pPr>
            <w:r>
              <w:rPr>
                <w:rFonts w:ascii="Arial" w:eastAsia="Microsoft YaHei"/>
                <w:color w:val="90989F"/>
                <w:sz w:val="22"/>
                <w:szCs w:val="22"/>
              </w:rPr>
              <w:t xml:space="preserve">Scope: Eight Full-Stack System Categories</w:t>
            </w:r>
          </w:p>
          <w:p>
            <w:pPr>
              <w:pBdr>
                <w:left w:val="single" w:color="529286" w:sz="8" w:space="12"/>
              </w:pBdr>
              <w:spacing w:after="80"/>
              <w:ind w:left="1400"/>
            </w:pPr>
            <w:r>
              <w:rPr>
                <w:rFonts w:ascii="Arial" w:eastAsia="Microsoft YaHei"/>
                <w:color w:val="90989F"/>
                <w:sz w:val="22"/>
                <w:szCs w:val="22"/>
              </w:rPr>
              <w:t xml:space="preserve">Prepared by: Super Z Research</w:t>
            </w:r>
          </w:p>
          <w:p>
            <w:pPr>
              <w:pBdr>
                <w:left w:val="single" w:color="529286" w:sz="8" w:space="12"/>
              </w:pBdr>
              <w:spacing w:after="80"/>
              <w:ind w:left="1400"/>
            </w:pPr>
            <w:r>
              <w:rPr>
                <w:rFonts w:ascii="Arial" w:eastAsia="Microsoft YaHei"/>
                <w:color w:val="90989F"/>
                <w:sz w:val="22"/>
                <w:szCs w:val="22"/>
              </w:rPr>
              <w:t xml:space="preserve">Date: August 27, 2026</w:t>
            </w:r>
          </w:p>
          <w:p>
            <w:pPr>
              <w:spacing w:before="4109"/>
            </w:pPr>
          </w:p>
          <w:p>
            <w:pPr>
              <w:pBdr>
                <w:top w:val="single" w:color="529286"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Defining Real-World Standard Software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The SDLC as Foundation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The Role of Data Models and Process Architecture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Market Context and Commercial Viability</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3.5 Historical Context: The Evolution of the SDLC and the SaaS Model</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4. The SDLC as Foundation: Phases, Artifacts, and Gates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Phase 1: Planning and Requirements Analysis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Phase 2: Design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4.3 Phase 3: Development</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4.4 Phase 4: Testing</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4.5 Phase 5: Deployment and Operations</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4.6 Phase 6: Maintenance and Evolution</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5. Common Engineering Standards Across All Systems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5.1 Architecture and Scalability</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5.2 Security and Compliance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5.3 UI/UX and Accessibility</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5.4 API Design and Documentation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5.5 Observability, Testing, and CI/CD</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5.6 Monitoring KPIs: The Four Golden Signals and SLO Definition</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5.7 Disaster Recovery and Backup Strategy</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5.8 Deployment Topology and Release Management</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5.9 Internationalization and Localization</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5.10 Vendor Selection Criteria</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6. Methodology and Scope</w:t>
            </w:r>
            <w:r>
              <w:tab/>
            </w:r>
            <w:r>
              <w:fldChar w:fldCharType="begin"/>
            </w:r>
            <w:r>
              <w:instrText xml:space="preserve"> PAGEREF _Toc100026 \h </w:instrText>
            </w:r>
            <w:r>
              <w:fldChar w:fldCharType="separate"/>
            </w:r>
            <w:r>
              <w:t>12</w:t>
            </w:r>
            <w:r>
              <w:fldChar w:fldCharType="end"/>
            </w:r>
          </w:hyperlink>
        </w:p>
        <w:p>
          <w:pPr>
            <w:pStyle w:val="9"/>
            <w:tabs>
              <w:tab w:val="right" w:leader="dot" w:pos="9026"/>
            </w:tabs>
            <w:spacing w:before="120" w:after="60"/>
          </w:pPr>
          <w:hyperlink w:anchor="_Toc100027" w:history="1">
            <w:r>
              <w:rPr>
                <w:rStyle w:val="Hyperlink"/>
              </w:rPr>
              <w:t>7. System 1: Multi-Tenant SaaS Platform</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7.1 Overview and Market Context</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7.2 Planning from Scratch</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7.3 SDLC Application</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7.4 Foundation and Reference Architecture</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7.5 Data Model</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7.6 How It Works: End-to-End Processes</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7.7 Security and Compliance Controls</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7.8 UI/UX and Accessibility</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7.9 Building Process and Implementation Roadmap</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7.10 Business Viability and Sources</w:t>
            </w:r>
            <w:r>
              <w:tab/>
            </w:r>
            <w:r>
              <w:fldChar w:fldCharType="begin"/>
            </w:r>
            <w:r>
              <w:instrText xml:space="preserve"> PAGEREF _Toc100037 \h </w:instrText>
            </w:r>
            <w:r>
              <w:fldChar w:fldCharType="separate"/>
            </w:r>
            <w:r>
              <w:t>17</w:t>
            </w:r>
            <w:r>
              <w:fldChar w:fldCharType="end"/>
            </w:r>
          </w:hyperlink>
        </w:p>
        <w:p>
          <w:pPr>
            <w:pStyle w:val="9"/>
            <w:tabs>
              <w:tab w:val="right" w:leader="dot" w:pos="9026"/>
            </w:tabs>
            <w:spacing w:before="120" w:after="60"/>
          </w:pPr>
          <w:hyperlink w:anchor="_Toc100038" w:history="1">
            <w:r>
              <w:rPr>
                <w:rStyle w:val="Hyperlink"/>
              </w:rPr>
              <w:t>8. System 2: E-Commerce and Marketplace</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8.1 Overview and Market Context</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8.2 Planning from Scratch</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8.3 SDLC Application</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8.4 Foundation and Reference Architecture</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8.5 Data Model</w:t>
            </w:r>
            <w:r>
              <w:tab/>
            </w:r>
            <w:r>
              <w:fldChar w:fldCharType="begin"/>
            </w:r>
            <w:r>
              <w:instrText xml:space="preserve"> PAGEREF _Toc100043 \h </w:instrText>
            </w:r>
            <w:r>
              <w:fldChar w:fldCharType="separate"/>
            </w:r>
            <w:r>
              <w:t>19</w:t>
            </w:r>
            <w:r>
              <w:fldChar w:fldCharType="end"/>
            </w:r>
          </w:hyperlink>
        </w:p>
        <w:p>
          <w:pPr>
            <w:pStyle w:val="11"/>
            <w:ind w:left="360"/>
            <w:tabs>
              <w:tab w:val="right" w:leader="dot" w:pos="9026"/>
            </w:tabs>
            <w:spacing w:before="120" w:after="60"/>
          </w:pPr>
          <w:hyperlink w:anchor="_Toc100044" w:history="1">
            <w:r>
              <w:rPr>
                <w:rStyle w:val="Hyperlink"/>
              </w:rPr>
              <w:t>8.6 How It Works: End-to-End Processes</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8.7 Security and Compliance Controls</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8.8 UI/UX and Accessibility</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8.9 Building Process and Implementation Roadmap</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8.10 Business Viability and Sources</w:t>
            </w:r>
            <w:r>
              <w:tab/>
            </w:r>
            <w:r>
              <w:fldChar w:fldCharType="begin"/>
            </w:r>
            <w:r>
              <w:instrText xml:space="preserve"> PAGEREF _Toc100048 \h </w:instrText>
            </w:r>
            <w:r>
              <w:fldChar w:fldCharType="separate"/>
            </w:r>
            <w:r>
              <w:t>21</w:t>
            </w:r>
            <w:r>
              <w:fldChar w:fldCharType="end"/>
            </w:r>
          </w:hyperlink>
        </w:p>
        <w:p>
          <w:pPr>
            <w:pStyle w:val="9"/>
            <w:tabs>
              <w:tab w:val="right" w:leader="dot" w:pos="9026"/>
            </w:tabs>
            <w:spacing w:before="120" w:after="60"/>
          </w:pPr>
          <w:hyperlink w:anchor="_Toc100049" w:history="1">
            <w:r>
              <w:rPr>
                <w:rStyle w:val="Hyperlink"/>
              </w:rPr>
              <w:t>9. System 3: CRM and Customer Engagement Platform</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9.1 Overview and Market Context</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9.2 Planning from Scratch</w:t>
            </w:r>
            <w:r>
              <w:tab/>
            </w:r>
            <w:r>
              <w:fldChar w:fldCharType="begin"/>
            </w:r>
            <w:r>
              <w:instrText xml:space="preserve"> PAGEREF _Toc100051 \h </w:instrText>
            </w:r>
            <w:r>
              <w:fldChar w:fldCharType="separate"/>
            </w:r>
            <w:r>
              <w:t>21</w:t>
            </w:r>
            <w:r>
              <w:fldChar w:fldCharType="end"/>
            </w:r>
          </w:hyperlink>
        </w:p>
        <w:p>
          <w:pPr>
            <w:pStyle w:val="11"/>
            <w:ind w:left="360"/>
            <w:tabs>
              <w:tab w:val="right" w:leader="dot" w:pos="9026"/>
            </w:tabs>
            <w:spacing w:before="120" w:after="60"/>
          </w:pPr>
          <w:hyperlink w:anchor="_Toc100052" w:history="1">
            <w:r>
              <w:rPr>
                <w:rStyle w:val="Hyperlink"/>
              </w:rPr>
              <w:t>9.3 SDLC Application</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9.4 Foundation and Reference Architecture</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9.5 Data Model</w:t>
            </w:r>
            <w:r>
              <w:tab/>
            </w:r>
            <w:r>
              <w:fldChar w:fldCharType="begin"/>
            </w:r>
            <w:r>
              <w:instrText xml:space="preserve"> PAGEREF _Toc100054 \h </w:instrText>
            </w:r>
            <w:r>
              <w:fldChar w:fldCharType="separate"/>
            </w:r>
            <w:r>
              <w:t>23</w:t>
            </w:r>
            <w:r>
              <w:fldChar w:fldCharType="end"/>
            </w:r>
          </w:hyperlink>
        </w:p>
        <w:p>
          <w:pPr>
            <w:pStyle w:val="11"/>
            <w:ind w:left="360"/>
            <w:tabs>
              <w:tab w:val="right" w:leader="dot" w:pos="9026"/>
            </w:tabs>
            <w:spacing w:before="120" w:after="60"/>
          </w:pPr>
          <w:hyperlink w:anchor="_Toc100055" w:history="1">
            <w:r>
              <w:rPr>
                <w:rStyle w:val="Hyperlink"/>
              </w:rPr>
              <w:t>9.6 How It Works: End-to-End Processes</w:t>
            </w:r>
            <w:r>
              <w:tab/>
            </w:r>
            <w:r>
              <w:fldChar w:fldCharType="begin"/>
            </w:r>
            <w:r>
              <w:instrText xml:space="preserve"> PAGEREF _Toc100055 \h </w:instrText>
            </w:r>
            <w:r>
              <w:fldChar w:fldCharType="separate"/>
            </w:r>
            <w:r>
              <w:t>23</w:t>
            </w:r>
            <w:r>
              <w:fldChar w:fldCharType="end"/>
            </w:r>
          </w:hyperlink>
        </w:p>
        <w:p>
          <w:pPr>
            <w:pStyle w:val="11"/>
            <w:ind w:left="360"/>
            <w:tabs>
              <w:tab w:val="right" w:leader="dot" w:pos="9026"/>
            </w:tabs>
            <w:spacing w:before="120" w:after="60"/>
          </w:pPr>
          <w:hyperlink w:anchor="_Toc100056" w:history="1">
            <w:r>
              <w:rPr>
                <w:rStyle w:val="Hyperlink"/>
              </w:rPr>
              <w:t>9.7 Security and Compliance Controls</w:t>
            </w:r>
            <w:r>
              <w:tab/>
            </w:r>
            <w:r>
              <w:fldChar w:fldCharType="begin"/>
            </w:r>
            <w:r>
              <w:instrText xml:space="preserve"> PAGEREF _Toc100056 \h </w:instrText>
            </w:r>
            <w:r>
              <w:fldChar w:fldCharType="separate"/>
            </w:r>
            <w:r>
              <w:t>24</w:t>
            </w:r>
            <w:r>
              <w:fldChar w:fldCharType="end"/>
            </w:r>
          </w:hyperlink>
        </w:p>
        <w:p>
          <w:pPr>
            <w:pStyle w:val="11"/>
            <w:ind w:left="360"/>
            <w:tabs>
              <w:tab w:val="right" w:leader="dot" w:pos="9026"/>
            </w:tabs>
            <w:spacing w:before="120" w:after="60"/>
          </w:pPr>
          <w:hyperlink w:anchor="_Toc100057" w:history="1">
            <w:r>
              <w:rPr>
                <w:rStyle w:val="Hyperlink"/>
              </w:rPr>
              <w:t>9.8 UI/UX and Accessibility</w:t>
            </w:r>
            <w:r>
              <w:tab/>
            </w:r>
            <w:r>
              <w:fldChar w:fldCharType="begin"/>
            </w:r>
            <w:r>
              <w:instrText xml:space="preserve"> PAGEREF _Toc100057 \h </w:instrText>
            </w:r>
            <w:r>
              <w:fldChar w:fldCharType="separate"/>
            </w:r>
            <w:r>
              <w:t>24</w:t>
            </w:r>
            <w:r>
              <w:fldChar w:fldCharType="end"/>
            </w:r>
          </w:hyperlink>
        </w:p>
        <w:p>
          <w:pPr>
            <w:pStyle w:val="11"/>
            <w:ind w:left="360"/>
            <w:tabs>
              <w:tab w:val="right" w:leader="dot" w:pos="9026"/>
            </w:tabs>
            <w:spacing w:before="120" w:after="60"/>
          </w:pPr>
          <w:hyperlink w:anchor="_Toc100058" w:history="1">
            <w:r>
              <w:rPr>
                <w:rStyle w:val="Hyperlink"/>
              </w:rPr>
              <w:t>9.9 Building Process and Implementation Roadmap</w:t>
            </w:r>
            <w:r>
              <w:tab/>
            </w:r>
            <w:r>
              <w:fldChar w:fldCharType="begin"/>
            </w:r>
            <w:r>
              <w:instrText xml:space="preserve"> PAGEREF _Toc100058 \h </w:instrText>
            </w:r>
            <w:r>
              <w:fldChar w:fldCharType="separate"/>
            </w:r>
            <w:r>
              <w:t>25</w:t>
            </w:r>
            <w:r>
              <w:fldChar w:fldCharType="end"/>
            </w:r>
          </w:hyperlink>
        </w:p>
        <w:p>
          <w:pPr>
            <w:pStyle w:val="11"/>
            <w:ind w:left="360"/>
            <w:tabs>
              <w:tab w:val="right" w:leader="dot" w:pos="9026"/>
            </w:tabs>
            <w:spacing w:before="120" w:after="60"/>
          </w:pPr>
          <w:hyperlink w:anchor="_Toc100059" w:history="1">
            <w:r>
              <w:rPr>
                <w:rStyle w:val="Hyperlink"/>
              </w:rPr>
              <w:t>9.10 Business Viability and Sources</w:t>
            </w:r>
            <w:r>
              <w:tab/>
            </w:r>
            <w:r>
              <w:fldChar w:fldCharType="begin"/>
            </w:r>
            <w:r>
              <w:instrText xml:space="preserve"> PAGEREF _Toc100059 \h </w:instrText>
            </w:r>
            <w:r>
              <w:fldChar w:fldCharType="separate"/>
            </w:r>
            <w:r>
              <w:t>25</w:t>
            </w:r>
            <w:r>
              <w:fldChar w:fldCharType="end"/>
            </w:r>
          </w:hyperlink>
        </w:p>
        <w:p>
          <w:pPr>
            <w:pStyle w:val="9"/>
            <w:tabs>
              <w:tab w:val="right" w:leader="dot" w:pos="9026"/>
            </w:tabs>
            <w:spacing w:before="120" w:after="60"/>
          </w:pPr>
          <w:hyperlink w:anchor="_Toc100060" w:history="1">
            <w:r>
              <w:rPr>
                <w:rStyle w:val="Hyperlink"/>
              </w:rPr>
              <w:t>10. System 4: ERP and Business Operations System</w:t>
            </w:r>
            <w:r>
              <w:tab/>
            </w:r>
            <w:r>
              <w:fldChar w:fldCharType="begin"/>
            </w:r>
            <w:r>
              <w:instrText xml:space="preserve"> PAGEREF _Toc100060 \h </w:instrText>
            </w:r>
            <w:r>
              <w:fldChar w:fldCharType="separate"/>
            </w:r>
            <w:r>
              <w:t>25</w:t>
            </w:r>
            <w:r>
              <w:fldChar w:fldCharType="end"/>
            </w:r>
          </w:hyperlink>
        </w:p>
        <w:p>
          <w:pPr>
            <w:pStyle w:val="11"/>
            <w:ind w:left="360"/>
            <w:tabs>
              <w:tab w:val="right" w:leader="dot" w:pos="9026"/>
            </w:tabs>
            <w:spacing w:before="120" w:after="60"/>
          </w:pPr>
          <w:hyperlink w:anchor="_Toc100061" w:history="1">
            <w:r>
              <w:rPr>
                <w:rStyle w:val="Hyperlink"/>
              </w:rPr>
              <w:t>10.1 Overview and Market Context</w:t>
            </w:r>
            <w:r>
              <w:tab/>
            </w:r>
            <w:r>
              <w:fldChar w:fldCharType="begin"/>
            </w:r>
            <w:r>
              <w:instrText xml:space="preserve"> PAGEREF _Toc100061 \h </w:instrText>
            </w:r>
            <w:r>
              <w:fldChar w:fldCharType="separate"/>
            </w:r>
            <w:r>
              <w:t>25</w:t>
            </w:r>
            <w:r>
              <w:fldChar w:fldCharType="end"/>
            </w:r>
          </w:hyperlink>
        </w:p>
        <w:p>
          <w:pPr>
            <w:pStyle w:val="11"/>
            <w:ind w:left="360"/>
            <w:tabs>
              <w:tab w:val="right" w:leader="dot" w:pos="9026"/>
            </w:tabs>
            <w:spacing w:before="120" w:after="60"/>
          </w:pPr>
          <w:hyperlink w:anchor="_Toc100062" w:history="1">
            <w:r>
              <w:rPr>
                <w:rStyle w:val="Hyperlink"/>
              </w:rPr>
              <w:t>10.2 Planning from Scratch</w:t>
            </w:r>
            <w:r>
              <w:tab/>
            </w:r>
            <w:r>
              <w:fldChar w:fldCharType="begin"/>
            </w:r>
            <w:r>
              <w:instrText xml:space="preserve"> PAGEREF _Toc100062 \h </w:instrText>
            </w:r>
            <w:r>
              <w:fldChar w:fldCharType="separate"/>
            </w:r>
            <w:r>
              <w:t>25</w:t>
            </w:r>
            <w:r>
              <w:fldChar w:fldCharType="end"/>
            </w:r>
          </w:hyperlink>
        </w:p>
        <w:p>
          <w:pPr>
            <w:pStyle w:val="11"/>
            <w:ind w:left="360"/>
            <w:tabs>
              <w:tab w:val="right" w:leader="dot" w:pos="9026"/>
            </w:tabs>
            <w:spacing w:before="120" w:after="60"/>
          </w:pPr>
          <w:hyperlink w:anchor="_Toc100063" w:history="1">
            <w:r>
              <w:rPr>
                <w:rStyle w:val="Hyperlink"/>
              </w:rPr>
              <w:t>10.3 SDLC Application</w:t>
            </w:r>
            <w:r>
              <w:tab/>
            </w:r>
            <w:r>
              <w:fldChar w:fldCharType="begin"/>
            </w:r>
            <w:r>
              <w:instrText xml:space="preserve"> PAGEREF _Toc100063 \h </w:instrText>
            </w:r>
            <w:r>
              <w:fldChar w:fldCharType="separate"/>
            </w:r>
            <w:r>
              <w:t>26</w:t>
            </w:r>
            <w:r>
              <w:fldChar w:fldCharType="end"/>
            </w:r>
          </w:hyperlink>
        </w:p>
        <w:p>
          <w:pPr>
            <w:pStyle w:val="11"/>
            <w:ind w:left="360"/>
            <w:tabs>
              <w:tab w:val="right" w:leader="dot" w:pos="9026"/>
            </w:tabs>
            <w:spacing w:before="120" w:after="60"/>
          </w:pPr>
          <w:hyperlink w:anchor="_Toc100064" w:history="1">
            <w:r>
              <w:rPr>
                <w:rStyle w:val="Hyperlink"/>
              </w:rPr>
              <w:t>10.4 Foundation and Reference Architecture</w:t>
            </w:r>
            <w:r>
              <w:tab/>
            </w:r>
            <w:r>
              <w:fldChar w:fldCharType="begin"/>
            </w:r>
            <w:r>
              <w:instrText xml:space="preserve"> PAGEREF _Toc100064 \h </w:instrText>
            </w:r>
            <w:r>
              <w:fldChar w:fldCharType="separate"/>
            </w:r>
            <w:r>
              <w:t>27</w:t>
            </w:r>
            <w:r>
              <w:fldChar w:fldCharType="end"/>
            </w:r>
          </w:hyperlink>
        </w:p>
        <w:p>
          <w:pPr>
            <w:pStyle w:val="11"/>
            <w:ind w:left="360"/>
            <w:tabs>
              <w:tab w:val="right" w:leader="dot" w:pos="9026"/>
            </w:tabs>
            <w:spacing w:before="120" w:after="60"/>
          </w:pPr>
          <w:hyperlink w:anchor="_Toc100065" w:history="1">
            <w:r>
              <w:rPr>
                <w:rStyle w:val="Hyperlink"/>
              </w:rPr>
              <w:t>10.5 Data Model</w:t>
            </w:r>
            <w:r>
              <w:tab/>
            </w:r>
            <w:r>
              <w:fldChar w:fldCharType="begin"/>
            </w:r>
            <w:r>
              <w:instrText xml:space="preserve"> PAGEREF _Toc100065 \h </w:instrText>
            </w:r>
            <w:r>
              <w:fldChar w:fldCharType="separate"/>
            </w:r>
            <w:r>
              <w:t>27</w:t>
            </w:r>
            <w:r>
              <w:fldChar w:fldCharType="end"/>
            </w:r>
          </w:hyperlink>
        </w:p>
        <w:p>
          <w:pPr>
            <w:pStyle w:val="11"/>
            <w:ind w:left="360"/>
            <w:tabs>
              <w:tab w:val="right" w:leader="dot" w:pos="9026"/>
            </w:tabs>
            <w:spacing w:before="120" w:after="60"/>
          </w:pPr>
          <w:hyperlink w:anchor="_Toc100066" w:history="1">
            <w:r>
              <w:rPr>
                <w:rStyle w:val="Hyperlink"/>
              </w:rPr>
              <w:t>10.6 How It Works: End-to-End Processes</w:t>
            </w:r>
            <w:r>
              <w:tab/>
            </w:r>
            <w:r>
              <w:fldChar w:fldCharType="begin"/>
            </w:r>
            <w:r>
              <w:instrText xml:space="preserve"> PAGEREF _Toc100066 \h </w:instrText>
            </w:r>
            <w:r>
              <w:fldChar w:fldCharType="separate"/>
            </w:r>
            <w:r>
              <w:t>27</w:t>
            </w:r>
            <w:r>
              <w:fldChar w:fldCharType="end"/>
            </w:r>
          </w:hyperlink>
        </w:p>
        <w:p>
          <w:pPr>
            <w:pStyle w:val="11"/>
            <w:ind w:left="360"/>
            <w:tabs>
              <w:tab w:val="right" w:leader="dot" w:pos="9026"/>
            </w:tabs>
            <w:spacing w:before="120" w:after="60"/>
          </w:pPr>
          <w:hyperlink w:anchor="_Toc100067" w:history="1">
            <w:r>
              <w:rPr>
                <w:rStyle w:val="Hyperlink"/>
              </w:rPr>
              <w:t>10.7 Security and Compliance Controls</w:t>
            </w:r>
            <w:r>
              <w:tab/>
            </w:r>
            <w:r>
              <w:fldChar w:fldCharType="begin"/>
            </w:r>
            <w:r>
              <w:instrText xml:space="preserve"> PAGEREF _Toc100067 \h </w:instrText>
            </w:r>
            <w:r>
              <w:fldChar w:fldCharType="separate"/>
            </w:r>
            <w:r>
              <w:t>28</w:t>
            </w:r>
            <w:r>
              <w:fldChar w:fldCharType="end"/>
            </w:r>
          </w:hyperlink>
        </w:p>
        <w:p>
          <w:pPr>
            <w:pStyle w:val="11"/>
            <w:ind w:left="360"/>
            <w:tabs>
              <w:tab w:val="right" w:leader="dot" w:pos="9026"/>
            </w:tabs>
            <w:spacing w:before="120" w:after="60"/>
          </w:pPr>
          <w:hyperlink w:anchor="_Toc100068" w:history="1">
            <w:r>
              <w:rPr>
                <w:rStyle w:val="Hyperlink"/>
              </w:rPr>
              <w:t>10.8 UI/UX and Accessibility</w:t>
            </w:r>
            <w:r>
              <w:tab/>
            </w:r>
            <w:r>
              <w:fldChar w:fldCharType="begin"/>
            </w:r>
            <w:r>
              <w:instrText xml:space="preserve"> PAGEREF _Toc100068 \h </w:instrText>
            </w:r>
            <w:r>
              <w:fldChar w:fldCharType="separate"/>
            </w:r>
            <w:r>
              <w:t>28</w:t>
            </w:r>
            <w:r>
              <w:fldChar w:fldCharType="end"/>
            </w:r>
          </w:hyperlink>
        </w:p>
        <w:p>
          <w:pPr>
            <w:pStyle w:val="11"/>
            <w:ind w:left="360"/>
            <w:tabs>
              <w:tab w:val="right" w:leader="dot" w:pos="9026"/>
            </w:tabs>
            <w:spacing w:before="120" w:after="60"/>
          </w:pPr>
          <w:hyperlink w:anchor="_Toc100069" w:history="1">
            <w:r>
              <w:rPr>
                <w:rStyle w:val="Hyperlink"/>
              </w:rPr>
              <w:t>10.9 Building Process and Implementation Roadmap</w:t>
            </w:r>
            <w:r>
              <w:tab/>
            </w:r>
            <w:r>
              <w:fldChar w:fldCharType="begin"/>
            </w:r>
            <w:r>
              <w:instrText xml:space="preserve"> PAGEREF _Toc100069 \h </w:instrText>
            </w:r>
            <w:r>
              <w:fldChar w:fldCharType="separate"/>
            </w:r>
            <w:r>
              <w:t>29</w:t>
            </w:r>
            <w:r>
              <w:fldChar w:fldCharType="end"/>
            </w:r>
          </w:hyperlink>
        </w:p>
        <w:p>
          <w:pPr>
            <w:pStyle w:val="11"/>
            <w:ind w:left="360"/>
            <w:tabs>
              <w:tab w:val="right" w:leader="dot" w:pos="9026"/>
            </w:tabs>
            <w:spacing w:before="120" w:after="60"/>
          </w:pPr>
          <w:hyperlink w:anchor="_Toc100070" w:history="1">
            <w:r>
              <w:rPr>
                <w:rStyle w:val="Hyperlink"/>
              </w:rPr>
              <w:t>10.10 Business Viability and Sources</w:t>
            </w:r>
            <w:r>
              <w:tab/>
            </w:r>
            <w:r>
              <w:fldChar w:fldCharType="begin"/>
            </w:r>
            <w:r>
              <w:instrText xml:space="preserve"> PAGEREF _Toc100070 \h </w:instrText>
            </w:r>
            <w:r>
              <w:fldChar w:fldCharType="separate"/>
            </w:r>
            <w:r>
              <w:t>29</w:t>
            </w:r>
            <w:r>
              <w:fldChar w:fldCharType="end"/>
            </w:r>
          </w:hyperlink>
        </w:p>
        <w:p>
          <w:pPr>
            <w:pStyle w:val="9"/>
            <w:tabs>
              <w:tab w:val="right" w:leader="dot" w:pos="9026"/>
            </w:tabs>
            <w:spacing w:before="120" w:after="60"/>
          </w:pPr>
          <w:hyperlink w:anchor="_Toc100071" w:history="1">
            <w:r>
              <w:rPr>
                <w:rStyle w:val="Hyperlink"/>
              </w:rPr>
              <w:t>11. System 5: Real-Time Analytics Dashboard</w:t>
            </w:r>
            <w:r>
              <w:tab/>
            </w:r>
            <w:r>
              <w:fldChar w:fldCharType="begin"/>
            </w:r>
            <w:r>
              <w:instrText xml:space="preserve"> PAGEREF _Toc100071 \h </w:instrText>
            </w:r>
            <w:r>
              <w:fldChar w:fldCharType="separate"/>
            </w:r>
            <w:r>
              <w:t>29</w:t>
            </w:r>
            <w:r>
              <w:fldChar w:fldCharType="end"/>
            </w:r>
          </w:hyperlink>
        </w:p>
        <w:p>
          <w:pPr>
            <w:pStyle w:val="11"/>
            <w:ind w:left="360"/>
            <w:tabs>
              <w:tab w:val="right" w:leader="dot" w:pos="9026"/>
            </w:tabs>
            <w:spacing w:before="120" w:after="60"/>
          </w:pPr>
          <w:hyperlink w:anchor="_Toc100072" w:history="1">
            <w:r>
              <w:rPr>
                <w:rStyle w:val="Hyperlink"/>
              </w:rPr>
              <w:t>11.1 Overview and Market Context</w:t>
            </w:r>
            <w:r>
              <w:tab/>
            </w:r>
            <w:r>
              <w:fldChar w:fldCharType="begin"/>
            </w:r>
            <w:r>
              <w:instrText xml:space="preserve"> PAGEREF _Toc100072 \h </w:instrText>
            </w:r>
            <w:r>
              <w:fldChar w:fldCharType="separate"/>
            </w:r>
            <w:r>
              <w:t>29</w:t>
            </w:r>
            <w:r>
              <w:fldChar w:fldCharType="end"/>
            </w:r>
          </w:hyperlink>
        </w:p>
        <w:p>
          <w:pPr>
            <w:pStyle w:val="11"/>
            <w:ind w:left="360"/>
            <w:tabs>
              <w:tab w:val="right" w:leader="dot" w:pos="9026"/>
            </w:tabs>
            <w:spacing w:before="120" w:after="60"/>
          </w:pPr>
          <w:hyperlink w:anchor="_Toc100073" w:history="1">
            <w:r>
              <w:rPr>
                <w:rStyle w:val="Hyperlink"/>
              </w:rPr>
              <w:t>11.2 Planning from Scratch</w:t>
            </w:r>
            <w:r>
              <w:tab/>
            </w:r>
            <w:r>
              <w:fldChar w:fldCharType="begin"/>
            </w:r>
            <w:r>
              <w:instrText xml:space="preserve"> PAGEREF _Toc100073 \h </w:instrText>
            </w:r>
            <w:r>
              <w:fldChar w:fldCharType="separate"/>
            </w:r>
            <w:r>
              <w:t>29</w:t>
            </w:r>
            <w:r>
              <w:fldChar w:fldCharType="end"/>
            </w:r>
          </w:hyperlink>
        </w:p>
        <w:p>
          <w:pPr>
            <w:pStyle w:val="11"/>
            <w:ind w:left="360"/>
            <w:tabs>
              <w:tab w:val="right" w:leader="dot" w:pos="9026"/>
            </w:tabs>
            <w:spacing w:before="120" w:after="60"/>
          </w:pPr>
          <w:hyperlink w:anchor="_Toc100074" w:history="1">
            <w:r>
              <w:rPr>
                <w:rStyle w:val="Hyperlink"/>
              </w:rPr>
              <w:t>11.3 SDLC Application</w:t>
            </w:r>
            <w:r>
              <w:tab/>
            </w:r>
            <w:r>
              <w:fldChar w:fldCharType="begin"/>
            </w:r>
            <w:r>
              <w:instrText xml:space="preserve"> PAGEREF _Toc100074 \h </w:instrText>
            </w:r>
            <w:r>
              <w:fldChar w:fldCharType="separate"/>
            </w:r>
            <w:r>
              <w:t>30</w:t>
            </w:r>
            <w:r>
              <w:fldChar w:fldCharType="end"/>
            </w:r>
          </w:hyperlink>
        </w:p>
        <w:p>
          <w:pPr>
            <w:pStyle w:val="11"/>
            <w:ind w:left="360"/>
            <w:tabs>
              <w:tab w:val="right" w:leader="dot" w:pos="9026"/>
            </w:tabs>
            <w:spacing w:before="120" w:after="60"/>
          </w:pPr>
          <w:hyperlink w:anchor="_Toc100075" w:history="1">
            <w:r>
              <w:rPr>
                <w:rStyle w:val="Hyperlink"/>
              </w:rPr>
              <w:t>11.4 Foundation and Reference Architecture</w:t>
            </w:r>
            <w:r>
              <w:tab/>
            </w:r>
            <w:r>
              <w:fldChar w:fldCharType="begin"/>
            </w:r>
            <w:r>
              <w:instrText xml:space="preserve"> PAGEREF _Toc100075 \h </w:instrText>
            </w:r>
            <w:r>
              <w:fldChar w:fldCharType="separate"/>
            </w:r>
            <w:r>
              <w:t>31</w:t>
            </w:r>
            <w:r>
              <w:fldChar w:fldCharType="end"/>
            </w:r>
          </w:hyperlink>
        </w:p>
        <w:p>
          <w:pPr>
            <w:pStyle w:val="11"/>
            <w:ind w:left="360"/>
            <w:tabs>
              <w:tab w:val="right" w:leader="dot" w:pos="9026"/>
            </w:tabs>
            <w:spacing w:before="120" w:after="60"/>
          </w:pPr>
          <w:hyperlink w:anchor="_Toc100076" w:history="1">
            <w:r>
              <w:rPr>
                <w:rStyle w:val="Hyperlink"/>
              </w:rPr>
              <w:t>11.5 Data Model</w:t>
            </w:r>
            <w:r>
              <w:tab/>
            </w:r>
            <w:r>
              <w:fldChar w:fldCharType="begin"/>
            </w:r>
            <w:r>
              <w:instrText xml:space="preserve"> PAGEREF _Toc100076 \h </w:instrText>
            </w:r>
            <w:r>
              <w:fldChar w:fldCharType="separate"/>
            </w:r>
            <w:r>
              <w:t>31</w:t>
            </w:r>
            <w:r>
              <w:fldChar w:fldCharType="end"/>
            </w:r>
          </w:hyperlink>
        </w:p>
        <w:p>
          <w:pPr>
            <w:pStyle w:val="11"/>
            <w:ind w:left="360"/>
            <w:tabs>
              <w:tab w:val="right" w:leader="dot" w:pos="9026"/>
            </w:tabs>
            <w:spacing w:before="120" w:after="60"/>
          </w:pPr>
          <w:hyperlink w:anchor="_Toc100077" w:history="1">
            <w:r>
              <w:rPr>
                <w:rStyle w:val="Hyperlink"/>
              </w:rPr>
              <w:t>11.6 How It Works: End-to-End Processes</w:t>
            </w:r>
            <w:r>
              <w:tab/>
            </w:r>
            <w:r>
              <w:fldChar w:fldCharType="begin"/>
            </w:r>
            <w:r>
              <w:instrText xml:space="preserve"> PAGEREF _Toc100077 \h </w:instrText>
            </w:r>
            <w:r>
              <w:fldChar w:fldCharType="separate"/>
            </w:r>
            <w:r>
              <w:t>31</w:t>
            </w:r>
            <w:r>
              <w:fldChar w:fldCharType="end"/>
            </w:r>
          </w:hyperlink>
        </w:p>
        <w:p>
          <w:pPr>
            <w:pStyle w:val="11"/>
            <w:ind w:left="360"/>
            <w:tabs>
              <w:tab w:val="right" w:leader="dot" w:pos="9026"/>
            </w:tabs>
            <w:spacing w:before="120" w:after="60"/>
          </w:pPr>
          <w:hyperlink w:anchor="_Toc100078" w:history="1">
            <w:r>
              <w:rPr>
                <w:rStyle w:val="Hyperlink"/>
              </w:rPr>
              <w:t>11.7 Security and Compliance Controls</w:t>
            </w:r>
            <w:r>
              <w:tab/>
            </w:r>
            <w:r>
              <w:fldChar w:fldCharType="begin"/>
            </w:r>
            <w:r>
              <w:instrText xml:space="preserve"> PAGEREF _Toc100078 \h </w:instrText>
            </w:r>
            <w:r>
              <w:fldChar w:fldCharType="separate"/>
            </w:r>
            <w:r>
              <w:t>32</w:t>
            </w:r>
            <w:r>
              <w:fldChar w:fldCharType="end"/>
            </w:r>
          </w:hyperlink>
        </w:p>
        <w:p>
          <w:pPr>
            <w:pStyle w:val="11"/>
            <w:ind w:left="360"/>
            <w:tabs>
              <w:tab w:val="right" w:leader="dot" w:pos="9026"/>
            </w:tabs>
            <w:spacing w:before="120" w:after="60"/>
          </w:pPr>
          <w:hyperlink w:anchor="_Toc100079" w:history="1">
            <w:r>
              <w:rPr>
                <w:rStyle w:val="Hyperlink"/>
              </w:rPr>
              <w:t>11.8 UI/UX and Accessibility</w:t>
            </w:r>
            <w:r>
              <w:tab/>
            </w:r>
            <w:r>
              <w:fldChar w:fldCharType="begin"/>
            </w:r>
            <w:r>
              <w:instrText xml:space="preserve"> PAGEREF _Toc100079 \h </w:instrText>
            </w:r>
            <w:r>
              <w:fldChar w:fldCharType="separate"/>
            </w:r>
            <w:r>
              <w:t>32</w:t>
            </w:r>
            <w:r>
              <w:fldChar w:fldCharType="end"/>
            </w:r>
          </w:hyperlink>
        </w:p>
        <w:p>
          <w:pPr>
            <w:pStyle w:val="11"/>
            <w:ind w:left="360"/>
            <w:tabs>
              <w:tab w:val="right" w:leader="dot" w:pos="9026"/>
            </w:tabs>
            <w:spacing w:before="120" w:after="60"/>
          </w:pPr>
          <w:hyperlink w:anchor="_Toc100080" w:history="1">
            <w:r>
              <w:rPr>
                <w:rStyle w:val="Hyperlink"/>
              </w:rPr>
              <w:t>11.9 Building Process and Implementation Roadmap</w:t>
            </w:r>
            <w:r>
              <w:tab/>
            </w:r>
            <w:r>
              <w:fldChar w:fldCharType="begin"/>
            </w:r>
            <w:r>
              <w:instrText xml:space="preserve"> PAGEREF _Toc100080 \h </w:instrText>
            </w:r>
            <w:r>
              <w:fldChar w:fldCharType="separate"/>
            </w:r>
            <w:r>
              <w:t>33</w:t>
            </w:r>
            <w:r>
              <w:fldChar w:fldCharType="end"/>
            </w:r>
          </w:hyperlink>
        </w:p>
        <w:p>
          <w:pPr>
            <w:pStyle w:val="11"/>
            <w:ind w:left="360"/>
            <w:tabs>
              <w:tab w:val="right" w:leader="dot" w:pos="9026"/>
            </w:tabs>
            <w:spacing w:before="120" w:after="60"/>
          </w:pPr>
          <w:hyperlink w:anchor="_Toc100081" w:history="1">
            <w:r>
              <w:rPr>
                <w:rStyle w:val="Hyperlink"/>
              </w:rPr>
              <w:t>11.10 Business Viability and Sources</w:t>
            </w:r>
            <w:r>
              <w:tab/>
            </w:r>
            <w:r>
              <w:fldChar w:fldCharType="begin"/>
            </w:r>
            <w:r>
              <w:instrText xml:space="preserve"> PAGEREF _Toc100081 \h </w:instrText>
            </w:r>
            <w:r>
              <w:fldChar w:fldCharType="separate"/>
            </w:r>
            <w:r>
              <w:t>33</w:t>
            </w:r>
            <w:r>
              <w:fldChar w:fldCharType="end"/>
            </w:r>
          </w:hyperlink>
        </w:p>
        <w:p>
          <w:pPr>
            <w:pStyle w:val="9"/>
            <w:tabs>
              <w:tab w:val="right" w:leader="dot" w:pos="9026"/>
            </w:tabs>
            <w:spacing w:before="120" w:after="60"/>
          </w:pPr>
          <w:hyperlink w:anchor="_Toc100082" w:history="1">
            <w:r>
              <w:rPr>
                <w:rStyle w:val="Hyperlink"/>
              </w:rPr>
              <w:t>12. System 6: AI-Powered Customer-Facing Application</w:t>
            </w:r>
            <w:r>
              <w:tab/>
            </w:r>
            <w:r>
              <w:fldChar w:fldCharType="begin"/>
            </w:r>
            <w:r>
              <w:instrText xml:space="preserve"> PAGEREF _Toc100082 \h </w:instrText>
            </w:r>
            <w:r>
              <w:fldChar w:fldCharType="separate"/>
            </w:r>
            <w:r>
              <w:t>33</w:t>
            </w:r>
            <w:r>
              <w:fldChar w:fldCharType="end"/>
            </w:r>
          </w:hyperlink>
        </w:p>
        <w:p>
          <w:pPr>
            <w:pStyle w:val="11"/>
            <w:ind w:left="360"/>
            <w:tabs>
              <w:tab w:val="right" w:leader="dot" w:pos="9026"/>
            </w:tabs>
            <w:spacing w:before="120" w:after="60"/>
          </w:pPr>
          <w:hyperlink w:anchor="_Toc100083" w:history="1">
            <w:r>
              <w:rPr>
                <w:rStyle w:val="Hyperlink"/>
              </w:rPr>
              <w:t>12.1 Overview and Market Context</w:t>
            </w:r>
            <w:r>
              <w:tab/>
            </w:r>
            <w:r>
              <w:fldChar w:fldCharType="begin"/>
            </w:r>
            <w:r>
              <w:instrText xml:space="preserve"> PAGEREF _Toc100083 \h </w:instrText>
            </w:r>
            <w:r>
              <w:fldChar w:fldCharType="separate"/>
            </w:r>
            <w:r>
              <w:t>33</w:t>
            </w:r>
            <w:r>
              <w:fldChar w:fldCharType="end"/>
            </w:r>
          </w:hyperlink>
        </w:p>
        <w:p>
          <w:pPr>
            <w:pStyle w:val="11"/>
            <w:ind w:left="360"/>
            <w:tabs>
              <w:tab w:val="right" w:leader="dot" w:pos="9026"/>
            </w:tabs>
            <w:spacing w:before="120" w:after="60"/>
          </w:pPr>
          <w:hyperlink w:anchor="_Toc100084" w:history="1">
            <w:r>
              <w:rPr>
                <w:rStyle w:val="Hyperlink"/>
              </w:rPr>
              <w:t>12.2 Planning from Scratch</w:t>
            </w:r>
            <w:r>
              <w:tab/>
            </w:r>
            <w:r>
              <w:fldChar w:fldCharType="begin"/>
            </w:r>
            <w:r>
              <w:instrText xml:space="preserve"> PAGEREF _Toc100084 \h </w:instrText>
            </w:r>
            <w:r>
              <w:fldChar w:fldCharType="separate"/>
            </w:r>
            <w:r>
              <w:t>33</w:t>
            </w:r>
            <w:r>
              <w:fldChar w:fldCharType="end"/>
            </w:r>
          </w:hyperlink>
        </w:p>
        <w:p>
          <w:pPr>
            <w:pStyle w:val="11"/>
            <w:ind w:left="360"/>
            <w:tabs>
              <w:tab w:val="right" w:leader="dot" w:pos="9026"/>
            </w:tabs>
            <w:spacing w:before="120" w:after="60"/>
          </w:pPr>
          <w:hyperlink w:anchor="_Toc100085" w:history="1">
            <w:r>
              <w:rPr>
                <w:rStyle w:val="Hyperlink"/>
              </w:rPr>
              <w:t>12.3 SDLC Application</w:t>
            </w:r>
            <w:r>
              <w:tab/>
            </w:r>
            <w:r>
              <w:fldChar w:fldCharType="begin"/>
            </w:r>
            <w:r>
              <w:instrText xml:space="preserve"> PAGEREF _Toc100085 \h </w:instrText>
            </w:r>
            <w:r>
              <w:fldChar w:fldCharType="separate"/>
            </w:r>
            <w:r>
              <w:t>34</w:t>
            </w:r>
            <w:r>
              <w:fldChar w:fldCharType="end"/>
            </w:r>
          </w:hyperlink>
        </w:p>
        <w:p>
          <w:pPr>
            <w:pStyle w:val="11"/>
            <w:ind w:left="360"/>
            <w:tabs>
              <w:tab w:val="right" w:leader="dot" w:pos="9026"/>
            </w:tabs>
            <w:spacing w:before="120" w:after="60"/>
          </w:pPr>
          <w:hyperlink w:anchor="_Toc100086" w:history="1">
            <w:r>
              <w:rPr>
                <w:rStyle w:val="Hyperlink"/>
              </w:rPr>
              <w:t>12.4 Foundation and Reference Architecture</w:t>
            </w:r>
            <w:r>
              <w:tab/>
            </w:r>
            <w:r>
              <w:fldChar w:fldCharType="begin"/>
            </w:r>
            <w:r>
              <w:instrText xml:space="preserve"> PAGEREF _Toc100086 \h </w:instrText>
            </w:r>
            <w:r>
              <w:fldChar w:fldCharType="separate"/>
            </w:r>
            <w:r>
              <w:t>35</w:t>
            </w:r>
            <w:r>
              <w:fldChar w:fldCharType="end"/>
            </w:r>
          </w:hyperlink>
        </w:p>
        <w:p>
          <w:pPr>
            <w:pStyle w:val="11"/>
            <w:ind w:left="360"/>
            <w:tabs>
              <w:tab w:val="right" w:leader="dot" w:pos="9026"/>
            </w:tabs>
            <w:spacing w:before="120" w:after="60"/>
          </w:pPr>
          <w:hyperlink w:anchor="_Toc100087" w:history="1">
            <w:r>
              <w:rPr>
                <w:rStyle w:val="Hyperlink"/>
              </w:rPr>
              <w:t>12.5 Data Model</w:t>
            </w:r>
            <w:r>
              <w:tab/>
            </w:r>
            <w:r>
              <w:fldChar w:fldCharType="begin"/>
            </w:r>
            <w:r>
              <w:instrText xml:space="preserve"> PAGEREF _Toc100087 \h </w:instrText>
            </w:r>
            <w:r>
              <w:fldChar w:fldCharType="separate"/>
            </w:r>
            <w:r>
              <w:t>35</w:t>
            </w:r>
            <w:r>
              <w:fldChar w:fldCharType="end"/>
            </w:r>
          </w:hyperlink>
        </w:p>
        <w:p>
          <w:pPr>
            <w:pStyle w:val="11"/>
            <w:ind w:left="360"/>
            <w:tabs>
              <w:tab w:val="right" w:leader="dot" w:pos="9026"/>
            </w:tabs>
            <w:spacing w:before="120" w:after="60"/>
          </w:pPr>
          <w:hyperlink w:anchor="_Toc100088" w:history="1">
            <w:r>
              <w:rPr>
                <w:rStyle w:val="Hyperlink"/>
              </w:rPr>
              <w:t>12.6 How It Works: End-to-End Processes</w:t>
            </w:r>
            <w:r>
              <w:tab/>
            </w:r>
            <w:r>
              <w:fldChar w:fldCharType="begin"/>
            </w:r>
            <w:r>
              <w:instrText xml:space="preserve"> PAGEREF _Toc100088 \h </w:instrText>
            </w:r>
            <w:r>
              <w:fldChar w:fldCharType="separate"/>
            </w:r>
            <w:r>
              <w:t>35</w:t>
            </w:r>
            <w:r>
              <w:fldChar w:fldCharType="end"/>
            </w:r>
          </w:hyperlink>
        </w:p>
        <w:p>
          <w:pPr>
            <w:pStyle w:val="11"/>
            <w:ind w:left="360"/>
            <w:tabs>
              <w:tab w:val="right" w:leader="dot" w:pos="9026"/>
            </w:tabs>
            <w:spacing w:before="120" w:after="60"/>
          </w:pPr>
          <w:hyperlink w:anchor="_Toc100089" w:history="1">
            <w:r>
              <w:rPr>
                <w:rStyle w:val="Hyperlink"/>
              </w:rPr>
              <w:t>12.7 Security and Compliance Controls</w:t>
            </w:r>
            <w:r>
              <w:tab/>
            </w:r>
            <w:r>
              <w:fldChar w:fldCharType="begin"/>
            </w:r>
            <w:r>
              <w:instrText xml:space="preserve"> PAGEREF _Toc100089 \h </w:instrText>
            </w:r>
            <w:r>
              <w:fldChar w:fldCharType="separate"/>
            </w:r>
            <w:r>
              <w:t>36</w:t>
            </w:r>
            <w:r>
              <w:fldChar w:fldCharType="end"/>
            </w:r>
          </w:hyperlink>
        </w:p>
        <w:p>
          <w:pPr>
            <w:pStyle w:val="11"/>
            <w:ind w:left="360"/>
            <w:tabs>
              <w:tab w:val="right" w:leader="dot" w:pos="9026"/>
            </w:tabs>
            <w:spacing w:before="120" w:after="60"/>
          </w:pPr>
          <w:hyperlink w:anchor="_Toc100090" w:history="1">
            <w:r>
              <w:rPr>
                <w:rStyle w:val="Hyperlink"/>
              </w:rPr>
              <w:t>12.8 UI/UX and Accessibility</w:t>
            </w:r>
            <w:r>
              <w:tab/>
            </w:r>
            <w:r>
              <w:fldChar w:fldCharType="begin"/>
            </w:r>
            <w:r>
              <w:instrText xml:space="preserve"> PAGEREF _Toc100090 \h </w:instrText>
            </w:r>
            <w:r>
              <w:fldChar w:fldCharType="separate"/>
            </w:r>
            <w:r>
              <w:t>36</w:t>
            </w:r>
            <w:r>
              <w:fldChar w:fldCharType="end"/>
            </w:r>
          </w:hyperlink>
        </w:p>
        <w:p>
          <w:pPr>
            <w:pStyle w:val="11"/>
            <w:ind w:left="360"/>
            <w:tabs>
              <w:tab w:val="right" w:leader="dot" w:pos="9026"/>
            </w:tabs>
            <w:spacing w:before="120" w:after="60"/>
          </w:pPr>
          <w:hyperlink w:anchor="_Toc100091" w:history="1">
            <w:r>
              <w:rPr>
                <w:rStyle w:val="Hyperlink"/>
              </w:rPr>
              <w:t>12.9 Building Process and Implementation Roadmap</w:t>
            </w:r>
            <w:r>
              <w:tab/>
            </w:r>
            <w:r>
              <w:fldChar w:fldCharType="begin"/>
            </w:r>
            <w:r>
              <w:instrText xml:space="preserve"> PAGEREF _Toc100091 \h </w:instrText>
            </w:r>
            <w:r>
              <w:fldChar w:fldCharType="separate"/>
            </w:r>
            <w:r>
              <w:t>37</w:t>
            </w:r>
            <w:r>
              <w:fldChar w:fldCharType="end"/>
            </w:r>
          </w:hyperlink>
        </w:p>
        <w:p>
          <w:pPr>
            <w:pStyle w:val="11"/>
            <w:ind w:left="360"/>
            <w:tabs>
              <w:tab w:val="right" w:leader="dot" w:pos="9026"/>
            </w:tabs>
            <w:spacing w:before="120" w:after="60"/>
          </w:pPr>
          <w:hyperlink w:anchor="_Toc100092" w:history="1">
            <w:r>
              <w:rPr>
                <w:rStyle w:val="Hyperlink"/>
              </w:rPr>
              <w:t>12.10 Business Viability and Sources</w:t>
            </w:r>
            <w:r>
              <w:tab/>
            </w:r>
            <w:r>
              <w:fldChar w:fldCharType="begin"/>
            </w:r>
            <w:r>
              <w:instrText xml:space="preserve"> PAGEREF _Toc100092 \h </w:instrText>
            </w:r>
            <w:r>
              <w:fldChar w:fldCharType="separate"/>
            </w:r>
            <w:r>
              <w:t>37</w:t>
            </w:r>
            <w:r>
              <w:fldChar w:fldCharType="end"/>
            </w:r>
          </w:hyperlink>
        </w:p>
        <w:p>
          <w:pPr>
            <w:pStyle w:val="9"/>
            <w:tabs>
              <w:tab w:val="right" w:leader="dot" w:pos="9026"/>
            </w:tabs>
            <w:spacing w:before="120" w:after="60"/>
          </w:pPr>
          <w:hyperlink w:anchor="_Toc100093" w:history="1">
            <w:r>
              <w:rPr>
                <w:rStyle w:val="Hyperlink"/>
              </w:rPr>
              <w:t>13. System 7: Booking and Scheduling SaaS</w:t>
            </w:r>
            <w:r>
              <w:tab/>
            </w:r>
            <w:r>
              <w:fldChar w:fldCharType="begin"/>
            </w:r>
            <w:r>
              <w:instrText xml:space="preserve"> PAGEREF _Toc100093 \h </w:instrText>
            </w:r>
            <w:r>
              <w:fldChar w:fldCharType="separate"/>
            </w:r>
            <w:r>
              <w:t>37</w:t>
            </w:r>
            <w:r>
              <w:fldChar w:fldCharType="end"/>
            </w:r>
          </w:hyperlink>
        </w:p>
        <w:p>
          <w:pPr>
            <w:pStyle w:val="11"/>
            <w:ind w:left="360"/>
            <w:tabs>
              <w:tab w:val="right" w:leader="dot" w:pos="9026"/>
            </w:tabs>
            <w:spacing w:before="120" w:after="60"/>
          </w:pPr>
          <w:hyperlink w:anchor="_Toc100094" w:history="1">
            <w:r>
              <w:rPr>
                <w:rStyle w:val="Hyperlink"/>
              </w:rPr>
              <w:t>13.1 Overview and Market Context</w:t>
            </w:r>
            <w:r>
              <w:tab/>
            </w:r>
            <w:r>
              <w:fldChar w:fldCharType="begin"/>
            </w:r>
            <w:r>
              <w:instrText xml:space="preserve"> PAGEREF _Toc100094 \h </w:instrText>
            </w:r>
            <w:r>
              <w:fldChar w:fldCharType="separate"/>
            </w:r>
            <w:r>
              <w:t>37</w:t>
            </w:r>
            <w:r>
              <w:fldChar w:fldCharType="end"/>
            </w:r>
          </w:hyperlink>
        </w:p>
        <w:p>
          <w:pPr>
            <w:pStyle w:val="11"/>
            <w:ind w:left="360"/>
            <w:tabs>
              <w:tab w:val="right" w:leader="dot" w:pos="9026"/>
            </w:tabs>
            <w:spacing w:before="120" w:after="60"/>
          </w:pPr>
          <w:hyperlink w:anchor="_Toc100095" w:history="1">
            <w:r>
              <w:rPr>
                <w:rStyle w:val="Hyperlink"/>
              </w:rPr>
              <w:t>13.2 Planning from Scratch</w:t>
            </w:r>
            <w:r>
              <w:tab/>
            </w:r>
            <w:r>
              <w:fldChar w:fldCharType="begin"/>
            </w:r>
            <w:r>
              <w:instrText xml:space="preserve"> PAGEREF _Toc100095 \h </w:instrText>
            </w:r>
            <w:r>
              <w:fldChar w:fldCharType="separate"/>
            </w:r>
            <w:r>
              <w:t>37</w:t>
            </w:r>
            <w:r>
              <w:fldChar w:fldCharType="end"/>
            </w:r>
          </w:hyperlink>
        </w:p>
        <w:p>
          <w:pPr>
            <w:pStyle w:val="11"/>
            <w:ind w:left="360"/>
            <w:tabs>
              <w:tab w:val="right" w:leader="dot" w:pos="9026"/>
            </w:tabs>
            <w:spacing w:before="120" w:after="60"/>
          </w:pPr>
          <w:hyperlink w:anchor="_Toc100096" w:history="1">
            <w:r>
              <w:rPr>
                <w:rStyle w:val="Hyperlink"/>
              </w:rPr>
              <w:t>13.3 SDLC Application</w:t>
            </w:r>
            <w:r>
              <w:tab/>
            </w:r>
            <w:r>
              <w:fldChar w:fldCharType="begin"/>
            </w:r>
            <w:r>
              <w:instrText xml:space="preserve"> PAGEREF _Toc100096 \h </w:instrText>
            </w:r>
            <w:r>
              <w:fldChar w:fldCharType="separate"/>
            </w:r>
            <w:r>
              <w:t>38</w:t>
            </w:r>
            <w:r>
              <w:fldChar w:fldCharType="end"/>
            </w:r>
          </w:hyperlink>
        </w:p>
        <w:p>
          <w:pPr>
            <w:pStyle w:val="11"/>
            <w:ind w:left="360"/>
            <w:tabs>
              <w:tab w:val="right" w:leader="dot" w:pos="9026"/>
            </w:tabs>
            <w:spacing w:before="120" w:after="60"/>
          </w:pPr>
          <w:hyperlink w:anchor="_Toc100097" w:history="1">
            <w:r>
              <w:rPr>
                <w:rStyle w:val="Hyperlink"/>
              </w:rPr>
              <w:t>13.4 Foundation and Reference Architecture</w:t>
            </w:r>
            <w:r>
              <w:tab/>
            </w:r>
            <w:r>
              <w:fldChar w:fldCharType="begin"/>
            </w:r>
            <w:r>
              <w:instrText xml:space="preserve"> PAGEREF _Toc100097 \h </w:instrText>
            </w:r>
            <w:r>
              <w:fldChar w:fldCharType="separate"/>
            </w:r>
            <w:r>
              <w:t>39</w:t>
            </w:r>
            <w:r>
              <w:fldChar w:fldCharType="end"/>
            </w:r>
          </w:hyperlink>
        </w:p>
        <w:p>
          <w:pPr>
            <w:pStyle w:val="11"/>
            <w:ind w:left="360"/>
            <w:tabs>
              <w:tab w:val="right" w:leader="dot" w:pos="9026"/>
            </w:tabs>
            <w:spacing w:before="120" w:after="60"/>
          </w:pPr>
          <w:hyperlink w:anchor="_Toc100098" w:history="1">
            <w:r>
              <w:rPr>
                <w:rStyle w:val="Hyperlink"/>
              </w:rPr>
              <w:t>13.5 Data Model</w:t>
            </w:r>
            <w:r>
              <w:tab/>
            </w:r>
            <w:r>
              <w:fldChar w:fldCharType="begin"/>
            </w:r>
            <w:r>
              <w:instrText xml:space="preserve"> PAGEREF _Toc100098 \h </w:instrText>
            </w:r>
            <w:r>
              <w:fldChar w:fldCharType="separate"/>
            </w:r>
            <w:r>
              <w:t>39</w:t>
            </w:r>
            <w:r>
              <w:fldChar w:fldCharType="end"/>
            </w:r>
          </w:hyperlink>
        </w:p>
        <w:p>
          <w:pPr>
            <w:pStyle w:val="11"/>
            <w:ind w:left="360"/>
            <w:tabs>
              <w:tab w:val="right" w:leader="dot" w:pos="9026"/>
            </w:tabs>
            <w:spacing w:before="120" w:after="60"/>
          </w:pPr>
          <w:hyperlink w:anchor="_Toc100099" w:history="1">
            <w:r>
              <w:rPr>
                <w:rStyle w:val="Hyperlink"/>
              </w:rPr>
              <w:t>13.6 How It Works: End-to-End Processes</w:t>
            </w:r>
            <w:r>
              <w:tab/>
            </w:r>
            <w:r>
              <w:fldChar w:fldCharType="begin"/>
            </w:r>
            <w:r>
              <w:instrText xml:space="preserve"> PAGEREF _Toc100099 \h </w:instrText>
            </w:r>
            <w:r>
              <w:fldChar w:fldCharType="separate"/>
            </w:r>
            <w:r>
              <w:t>39</w:t>
            </w:r>
            <w:r>
              <w:fldChar w:fldCharType="end"/>
            </w:r>
          </w:hyperlink>
        </w:p>
        <w:p>
          <w:pPr>
            <w:pStyle w:val="11"/>
            <w:ind w:left="360"/>
            <w:tabs>
              <w:tab w:val="right" w:leader="dot" w:pos="9026"/>
            </w:tabs>
            <w:spacing w:before="120" w:after="60"/>
          </w:pPr>
          <w:hyperlink w:anchor="_Toc100100" w:history="1">
            <w:r>
              <w:rPr>
                <w:rStyle w:val="Hyperlink"/>
              </w:rPr>
              <w:t>13.7 Security and Compliance Controls</w:t>
            </w:r>
            <w:r>
              <w:tab/>
            </w:r>
            <w:r>
              <w:fldChar w:fldCharType="begin"/>
            </w:r>
            <w:r>
              <w:instrText xml:space="preserve"> PAGEREF _Toc100100 \h </w:instrText>
            </w:r>
            <w:r>
              <w:fldChar w:fldCharType="separate"/>
            </w:r>
            <w:r>
              <w:t>40</w:t>
            </w:r>
            <w:r>
              <w:fldChar w:fldCharType="end"/>
            </w:r>
          </w:hyperlink>
        </w:p>
        <w:p>
          <w:pPr>
            <w:pStyle w:val="11"/>
            <w:ind w:left="360"/>
            <w:tabs>
              <w:tab w:val="right" w:leader="dot" w:pos="9026"/>
            </w:tabs>
            <w:spacing w:before="120" w:after="60"/>
          </w:pPr>
          <w:hyperlink w:anchor="_Toc100101" w:history="1">
            <w:r>
              <w:rPr>
                <w:rStyle w:val="Hyperlink"/>
              </w:rPr>
              <w:t>13.8 UI/UX and Accessibility</w:t>
            </w:r>
            <w:r>
              <w:tab/>
            </w:r>
            <w:r>
              <w:fldChar w:fldCharType="begin"/>
            </w:r>
            <w:r>
              <w:instrText xml:space="preserve"> PAGEREF _Toc100101 \h </w:instrText>
            </w:r>
            <w:r>
              <w:fldChar w:fldCharType="separate"/>
            </w:r>
            <w:r>
              <w:t>40</w:t>
            </w:r>
            <w:r>
              <w:fldChar w:fldCharType="end"/>
            </w:r>
          </w:hyperlink>
        </w:p>
        <w:p>
          <w:pPr>
            <w:pStyle w:val="11"/>
            <w:ind w:left="360"/>
            <w:tabs>
              <w:tab w:val="right" w:leader="dot" w:pos="9026"/>
            </w:tabs>
            <w:spacing w:before="120" w:after="60"/>
          </w:pPr>
          <w:hyperlink w:anchor="_Toc100102" w:history="1">
            <w:r>
              <w:rPr>
                <w:rStyle w:val="Hyperlink"/>
              </w:rPr>
              <w:t>13.9 Building Process and Implementation Roadmap</w:t>
            </w:r>
            <w:r>
              <w:tab/>
            </w:r>
            <w:r>
              <w:fldChar w:fldCharType="begin"/>
            </w:r>
            <w:r>
              <w:instrText xml:space="preserve"> PAGEREF _Toc100102 \h </w:instrText>
            </w:r>
            <w:r>
              <w:fldChar w:fldCharType="separate"/>
            </w:r>
            <w:r>
              <w:t>41</w:t>
            </w:r>
            <w:r>
              <w:fldChar w:fldCharType="end"/>
            </w:r>
          </w:hyperlink>
        </w:p>
        <w:p>
          <w:pPr>
            <w:pStyle w:val="11"/>
            <w:ind w:left="360"/>
            <w:tabs>
              <w:tab w:val="right" w:leader="dot" w:pos="9026"/>
            </w:tabs>
            <w:spacing w:before="120" w:after="60"/>
          </w:pPr>
          <w:hyperlink w:anchor="_Toc100103" w:history="1">
            <w:r>
              <w:rPr>
                <w:rStyle w:val="Hyperlink"/>
              </w:rPr>
              <w:t>13.10 Business Viability and Sources</w:t>
            </w:r>
            <w:r>
              <w:tab/>
            </w:r>
            <w:r>
              <w:fldChar w:fldCharType="begin"/>
            </w:r>
            <w:r>
              <w:instrText xml:space="preserve"> PAGEREF _Toc100103 \h </w:instrText>
            </w:r>
            <w:r>
              <w:fldChar w:fldCharType="separate"/>
            </w:r>
            <w:r>
              <w:t>41</w:t>
            </w:r>
            <w:r>
              <w:fldChar w:fldCharType="end"/>
            </w:r>
          </w:hyperlink>
        </w:p>
        <w:p>
          <w:pPr>
            <w:pStyle w:val="9"/>
            <w:tabs>
              <w:tab w:val="right" w:leader="dot" w:pos="9026"/>
            </w:tabs>
            <w:spacing w:before="120" w:after="60"/>
          </w:pPr>
          <w:hyperlink w:anchor="_Toc100104" w:history="1">
            <w:r>
              <w:rPr>
                <w:rStyle w:val="Hyperlink"/>
              </w:rPr>
              <w:t>14. System 8: Learning Management System</w:t>
            </w:r>
            <w:r>
              <w:tab/>
            </w:r>
            <w:r>
              <w:fldChar w:fldCharType="begin"/>
            </w:r>
            <w:r>
              <w:instrText xml:space="preserve"> PAGEREF _Toc100104 \h </w:instrText>
            </w:r>
            <w:r>
              <w:fldChar w:fldCharType="separate"/>
            </w:r>
            <w:r>
              <w:t>41</w:t>
            </w:r>
            <w:r>
              <w:fldChar w:fldCharType="end"/>
            </w:r>
          </w:hyperlink>
        </w:p>
        <w:p>
          <w:pPr>
            <w:pStyle w:val="11"/>
            <w:ind w:left="360"/>
            <w:tabs>
              <w:tab w:val="right" w:leader="dot" w:pos="9026"/>
            </w:tabs>
            <w:spacing w:before="120" w:after="60"/>
          </w:pPr>
          <w:hyperlink w:anchor="_Toc100105" w:history="1">
            <w:r>
              <w:rPr>
                <w:rStyle w:val="Hyperlink"/>
              </w:rPr>
              <w:t>14.1 Overview and Market Context</w:t>
            </w:r>
            <w:r>
              <w:tab/>
            </w:r>
            <w:r>
              <w:fldChar w:fldCharType="begin"/>
            </w:r>
            <w:r>
              <w:instrText xml:space="preserve"> PAGEREF _Toc100105 \h </w:instrText>
            </w:r>
            <w:r>
              <w:fldChar w:fldCharType="separate"/>
            </w:r>
            <w:r>
              <w:t>41</w:t>
            </w:r>
            <w:r>
              <w:fldChar w:fldCharType="end"/>
            </w:r>
          </w:hyperlink>
        </w:p>
        <w:p>
          <w:pPr>
            <w:pStyle w:val="11"/>
            <w:ind w:left="360"/>
            <w:tabs>
              <w:tab w:val="right" w:leader="dot" w:pos="9026"/>
            </w:tabs>
            <w:spacing w:before="120" w:after="60"/>
          </w:pPr>
          <w:hyperlink w:anchor="_Toc100106" w:history="1">
            <w:r>
              <w:rPr>
                <w:rStyle w:val="Hyperlink"/>
              </w:rPr>
              <w:t>14.2 Planning from Scratch</w:t>
            </w:r>
            <w:r>
              <w:tab/>
            </w:r>
            <w:r>
              <w:fldChar w:fldCharType="begin"/>
            </w:r>
            <w:r>
              <w:instrText xml:space="preserve"> PAGEREF _Toc100106 \h </w:instrText>
            </w:r>
            <w:r>
              <w:fldChar w:fldCharType="separate"/>
            </w:r>
            <w:r>
              <w:t>41</w:t>
            </w:r>
            <w:r>
              <w:fldChar w:fldCharType="end"/>
            </w:r>
          </w:hyperlink>
        </w:p>
        <w:p>
          <w:pPr>
            <w:pStyle w:val="11"/>
            <w:ind w:left="360"/>
            <w:tabs>
              <w:tab w:val="right" w:leader="dot" w:pos="9026"/>
            </w:tabs>
            <w:spacing w:before="120" w:after="60"/>
          </w:pPr>
          <w:hyperlink w:anchor="_Toc100107" w:history="1">
            <w:r>
              <w:rPr>
                <w:rStyle w:val="Hyperlink"/>
              </w:rPr>
              <w:t>14.3 SDLC Application</w:t>
            </w:r>
            <w:r>
              <w:tab/>
            </w:r>
            <w:r>
              <w:fldChar w:fldCharType="begin"/>
            </w:r>
            <w:r>
              <w:instrText xml:space="preserve"> PAGEREF _Toc100107 \h </w:instrText>
            </w:r>
            <w:r>
              <w:fldChar w:fldCharType="separate"/>
            </w:r>
            <w:r>
              <w:t>42</w:t>
            </w:r>
            <w:r>
              <w:fldChar w:fldCharType="end"/>
            </w:r>
          </w:hyperlink>
        </w:p>
        <w:p>
          <w:pPr>
            <w:pStyle w:val="11"/>
            <w:ind w:left="360"/>
            <w:tabs>
              <w:tab w:val="right" w:leader="dot" w:pos="9026"/>
            </w:tabs>
            <w:spacing w:before="120" w:after="60"/>
          </w:pPr>
          <w:hyperlink w:anchor="_Toc100108" w:history="1">
            <w:r>
              <w:rPr>
                <w:rStyle w:val="Hyperlink"/>
              </w:rPr>
              <w:t>14.4 Foundation and Reference Architecture</w:t>
            </w:r>
            <w:r>
              <w:tab/>
            </w:r>
            <w:r>
              <w:fldChar w:fldCharType="begin"/>
            </w:r>
            <w:r>
              <w:instrText xml:space="preserve"> PAGEREF _Toc100108 \h </w:instrText>
            </w:r>
            <w:r>
              <w:fldChar w:fldCharType="separate"/>
            </w:r>
            <w:r>
              <w:t>43</w:t>
            </w:r>
            <w:r>
              <w:fldChar w:fldCharType="end"/>
            </w:r>
          </w:hyperlink>
        </w:p>
        <w:p>
          <w:pPr>
            <w:pStyle w:val="11"/>
            <w:ind w:left="360"/>
            <w:tabs>
              <w:tab w:val="right" w:leader="dot" w:pos="9026"/>
            </w:tabs>
            <w:spacing w:before="120" w:after="60"/>
          </w:pPr>
          <w:hyperlink w:anchor="_Toc100109" w:history="1">
            <w:r>
              <w:rPr>
                <w:rStyle w:val="Hyperlink"/>
              </w:rPr>
              <w:t>14.5 Data Model</w:t>
            </w:r>
            <w:r>
              <w:tab/>
            </w:r>
            <w:r>
              <w:fldChar w:fldCharType="begin"/>
            </w:r>
            <w:r>
              <w:instrText xml:space="preserve"> PAGEREF _Toc100109 \h </w:instrText>
            </w:r>
            <w:r>
              <w:fldChar w:fldCharType="separate"/>
            </w:r>
            <w:r>
              <w:t>43</w:t>
            </w:r>
            <w:r>
              <w:fldChar w:fldCharType="end"/>
            </w:r>
          </w:hyperlink>
        </w:p>
        <w:p>
          <w:pPr>
            <w:pStyle w:val="11"/>
            <w:ind w:left="360"/>
            <w:tabs>
              <w:tab w:val="right" w:leader="dot" w:pos="9026"/>
            </w:tabs>
            <w:spacing w:before="120" w:after="60"/>
          </w:pPr>
          <w:hyperlink w:anchor="_Toc100110" w:history="1">
            <w:r>
              <w:rPr>
                <w:rStyle w:val="Hyperlink"/>
              </w:rPr>
              <w:t>14.6 How It Works: End-to-End Processes</w:t>
            </w:r>
            <w:r>
              <w:tab/>
            </w:r>
            <w:r>
              <w:fldChar w:fldCharType="begin"/>
            </w:r>
            <w:r>
              <w:instrText xml:space="preserve"> PAGEREF _Toc100110 \h </w:instrText>
            </w:r>
            <w:r>
              <w:fldChar w:fldCharType="separate"/>
            </w:r>
            <w:r>
              <w:t>43</w:t>
            </w:r>
            <w:r>
              <w:fldChar w:fldCharType="end"/>
            </w:r>
          </w:hyperlink>
        </w:p>
        <w:p>
          <w:pPr>
            <w:pStyle w:val="11"/>
            <w:ind w:left="360"/>
            <w:tabs>
              <w:tab w:val="right" w:leader="dot" w:pos="9026"/>
            </w:tabs>
            <w:spacing w:before="120" w:after="60"/>
          </w:pPr>
          <w:hyperlink w:anchor="_Toc100111" w:history="1">
            <w:r>
              <w:rPr>
                <w:rStyle w:val="Hyperlink"/>
              </w:rPr>
              <w:t>14.7 Security and Compliance Controls</w:t>
            </w:r>
            <w:r>
              <w:tab/>
            </w:r>
            <w:r>
              <w:fldChar w:fldCharType="begin"/>
            </w:r>
            <w:r>
              <w:instrText xml:space="preserve"> PAGEREF _Toc100111 \h </w:instrText>
            </w:r>
            <w:r>
              <w:fldChar w:fldCharType="separate"/>
            </w:r>
            <w:r>
              <w:t>44</w:t>
            </w:r>
            <w:r>
              <w:fldChar w:fldCharType="end"/>
            </w:r>
          </w:hyperlink>
        </w:p>
        <w:p>
          <w:pPr>
            <w:pStyle w:val="11"/>
            <w:ind w:left="360"/>
            <w:tabs>
              <w:tab w:val="right" w:leader="dot" w:pos="9026"/>
            </w:tabs>
            <w:spacing w:before="120" w:after="60"/>
          </w:pPr>
          <w:hyperlink w:anchor="_Toc100112" w:history="1">
            <w:r>
              <w:rPr>
                <w:rStyle w:val="Hyperlink"/>
              </w:rPr>
              <w:t>14.8 UI/UX and Accessibility</w:t>
            </w:r>
            <w:r>
              <w:tab/>
            </w:r>
            <w:r>
              <w:fldChar w:fldCharType="begin"/>
            </w:r>
            <w:r>
              <w:instrText xml:space="preserve"> PAGEREF _Toc100112 \h </w:instrText>
            </w:r>
            <w:r>
              <w:fldChar w:fldCharType="separate"/>
            </w:r>
            <w:r>
              <w:t>44</w:t>
            </w:r>
            <w:r>
              <w:fldChar w:fldCharType="end"/>
            </w:r>
          </w:hyperlink>
        </w:p>
        <w:p>
          <w:pPr>
            <w:pStyle w:val="11"/>
            <w:ind w:left="360"/>
            <w:tabs>
              <w:tab w:val="right" w:leader="dot" w:pos="9026"/>
            </w:tabs>
            <w:spacing w:before="120" w:after="60"/>
          </w:pPr>
          <w:hyperlink w:anchor="_Toc100113" w:history="1">
            <w:r>
              <w:rPr>
                <w:rStyle w:val="Hyperlink"/>
              </w:rPr>
              <w:t>14.9 Building Process and Implementation Roadmap</w:t>
            </w:r>
            <w:r>
              <w:tab/>
            </w:r>
            <w:r>
              <w:fldChar w:fldCharType="begin"/>
            </w:r>
            <w:r>
              <w:instrText xml:space="preserve"> PAGEREF _Toc100113 \h </w:instrText>
            </w:r>
            <w:r>
              <w:fldChar w:fldCharType="separate"/>
            </w:r>
            <w:r>
              <w:t>45</w:t>
            </w:r>
            <w:r>
              <w:fldChar w:fldCharType="end"/>
            </w:r>
          </w:hyperlink>
        </w:p>
        <w:p>
          <w:pPr>
            <w:pStyle w:val="11"/>
            <w:ind w:left="360"/>
            <w:tabs>
              <w:tab w:val="right" w:leader="dot" w:pos="9026"/>
            </w:tabs>
            <w:spacing w:before="120" w:after="60"/>
          </w:pPr>
          <w:hyperlink w:anchor="_Toc100114" w:history="1">
            <w:r>
              <w:rPr>
                <w:rStyle w:val="Hyperlink"/>
              </w:rPr>
              <w:t>14.10 Business Viability and Sources</w:t>
            </w:r>
            <w:r>
              <w:tab/>
            </w:r>
            <w:r>
              <w:fldChar w:fldCharType="begin"/>
            </w:r>
            <w:r>
              <w:instrText xml:space="preserve"> PAGEREF _Toc100114 \h </w:instrText>
            </w:r>
            <w:r>
              <w:fldChar w:fldCharType="separate"/>
            </w:r>
            <w:r>
              <w:t>45</w:t>
            </w:r>
            <w:r>
              <w:fldChar w:fldCharType="end"/>
            </w:r>
          </w:hyperlink>
        </w:p>
        <w:p>
          <w:pPr>
            <w:pStyle w:val="9"/>
            <w:tabs>
              <w:tab w:val="right" w:leader="dot" w:pos="9026"/>
            </w:tabs>
            <w:spacing w:before="120" w:after="60"/>
          </w:pPr>
          <w:hyperlink w:anchor="_Toc100115" w:history="1">
            <w:r>
              <w:rPr>
                <w:rStyle w:val="Hyperlink"/>
              </w:rPr>
              <w:t>15. Cross-System Comparison and Synthesis</w:t>
            </w:r>
            <w:r>
              <w:tab/>
            </w:r>
            <w:r>
              <w:fldChar w:fldCharType="begin"/>
            </w:r>
            <w:r>
              <w:instrText xml:space="preserve"> PAGEREF _Toc100115 \h </w:instrText>
            </w:r>
            <w:r>
              <w:fldChar w:fldCharType="separate"/>
            </w:r>
            <w:r>
              <w:t>45</w:t>
            </w:r>
            <w:r>
              <w:fldChar w:fldCharType="end"/>
            </w:r>
          </w:hyperlink>
        </w:p>
        <w:p>
          <w:pPr>
            <w:pStyle w:val="11"/>
            <w:ind w:left="360"/>
            <w:tabs>
              <w:tab w:val="right" w:leader="dot" w:pos="9026"/>
            </w:tabs>
            <w:spacing w:before="120" w:after="60"/>
          </w:pPr>
          <w:hyperlink w:anchor="_Toc100116" w:history="1">
            <w:r>
              <w:rPr>
                <w:rStyle w:val="Hyperlink"/>
              </w:rPr>
              <w:t>15.1 Build Complexity and Timeline</w:t>
            </w:r>
            <w:r>
              <w:tab/>
            </w:r>
            <w:r>
              <w:fldChar w:fldCharType="begin"/>
            </w:r>
            <w:r>
              <w:instrText xml:space="preserve"> PAGEREF _Toc100116 \h </w:instrText>
            </w:r>
            <w:r>
              <w:fldChar w:fldCharType="separate"/>
            </w:r>
            <w:r>
              <w:t>46</w:t>
            </w:r>
            <w:r>
              <w:fldChar w:fldCharType="end"/>
            </w:r>
          </w:hyperlink>
        </w:p>
        <w:p>
          <w:pPr>
            <w:pStyle w:val="11"/>
            <w:ind w:left="360"/>
            <w:tabs>
              <w:tab w:val="right" w:leader="dot" w:pos="9026"/>
            </w:tabs>
            <w:spacing w:before="120" w:after="60"/>
          </w:pPr>
          <w:hyperlink w:anchor="_Toc100117" w:history="1">
            <w:r>
              <w:rPr>
                <w:rStyle w:val="Hyperlink"/>
              </w:rPr>
              <w:t>15.2 Market Opportunity and Competitive Intensity</w:t>
            </w:r>
            <w:r>
              <w:tab/>
            </w:r>
            <w:r>
              <w:fldChar w:fldCharType="begin"/>
            </w:r>
            <w:r>
              <w:instrText xml:space="preserve"> PAGEREF _Toc100117 \h </w:instrText>
            </w:r>
            <w:r>
              <w:fldChar w:fldCharType="separate"/>
            </w:r>
            <w:r>
              <w:t>46</w:t>
            </w:r>
            <w:r>
              <w:fldChar w:fldCharType="end"/>
            </w:r>
          </w:hyperlink>
        </w:p>
        <w:p>
          <w:pPr>
            <w:pStyle w:val="11"/>
            <w:ind w:left="360"/>
            <w:tabs>
              <w:tab w:val="right" w:leader="dot" w:pos="9026"/>
            </w:tabs>
            <w:spacing w:before="120" w:after="60"/>
          </w:pPr>
          <w:hyperlink w:anchor="_Toc100118" w:history="1">
            <w:r>
              <w:rPr>
                <w:rStyle w:val="Hyperlink"/>
              </w:rPr>
              <w:t>15.3 Technical Distinguishing Characteristics</w:t>
            </w:r>
            <w:r>
              <w:tab/>
            </w:r>
            <w:r>
              <w:fldChar w:fldCharType="begin"/>
            </w:r>
            <w:r>
              <w:instrText xml:space="preserve"> PAGEREF _Toc100118 \h </w:instrText>
            </w:r>
            <w:r>
              <w:fldChar w:fldCharType="separate"/>
            </w:r>
            <w:r>
              <w:t>46</w:t>
            </w:r>
            <w:r>
              <w:fldChar w:fldCharType="end"/>
            </w:r>
          </w:hyperlink>
        </w:p>
        <w:p>
          <w:pPr>
            <w:pStyle w:val="11"/>
            <w:ind w:left="360"/>
            <w:tabs>
              <w:tab w:val="right" w:leader="dot" w:pos="9026"/>
            </w:tabs>
            <w:spacing w:before="120" w:after="60"/>
          </w:pPr>
          <w:hyperlink w:anchor="_Toc100119" w:history="1">
            <w:r>
              <w:rPr>
                <w:rStyle w:val="Hyperlink"/>
              </w:rPr>
              <w:t>15.4 Recommended Entry Points for a Focused Team</w:t>
            </w:r>
            <w:r>
              <w:tab/>
            </w:r>
            <w:r>
              <w:fldChar w:fldCharType="begin"/>
            </w:r>
            <w:r>
              <w:instrText xml:space="preserve"> PAGEREF _Toc100119 \h </w:instrText>
            </w:r>
            <w:r>
              <w:fldChar w:fldCharType="separate"/>
            </w:r>
            <w:r>
              <w:t>47</w:t>
            </w:r>
            <w:r>
              <w:fldChar w:fldCharType="end"/>
            </w:r>
          </w:hyperlink>
        </w:p>
        <w:p>
          <w:pPr>
            <w:pStyle w:val="11"/>
            <w:ind w:left="360"/>
            <w:tabs>
              <w:tab w:val="right" w:leader="dot" w:pos="9026"/>
            </w:tabs>
            <w:spacing w:before="120" w:after="60"/>
          </w:pPr>
          <w:hyperlink w:anchor="_Toc100120" w:history="1">
            <w:r>
              <w:rPr>
                <w:rStyle w:val="Hyperlink"/>
              </w:rPr>
              <w:t>15.5 Team Composition by Stage and System</w:t>
            </w:r>
            <w:r>
              <w:tab/>
            </w:r>
            <w:r>
              <w:fldChar w:fldCharType="begin"/>
            </w:r>
            <w:r>
              <w:instrText xml:space="preserve"> PAGEREF _Toc100120 \h </w:instrText>
            </w:r>
            <w:r>
              <w:fldChar w:fldCharType="separate"/>
            </w:r>
            <w:r>
              <w:t>47</w:t>
            </w:r>
            <w:r>
              <w:fldChar w:fldCharType="end"/>
            </w:r>
          </w:hyperlink>
        </w:p>
        <w:p>
          <w:pPr>
            <w:pStyle w:val="11"/>
            <w:ind w:left="360"/>
            <w:tabs>
              <w:tab w:val="right" w:leader="dot" w:pos="9026"/>
            </w:tabs>
            <w:spacing w:before="120" w:after="60"/>
          </w:pPr>
          <w:hyperlink w:anchor="_Toc100121" w:history="1">
            <w:r>
              <w:rPr>
                <w:rStyle w:val="Hyperlink"/>
              </w:rPr>
              <w:t>15.6 Cost Estimation and Budget Guidance</w:t>
            </w:r>
            <w:r>
              <w:tab/>
            </w:r>
            <w:r>
              <w:fldChar w:fldCharType="begin"/>
            </w:r>
            <w:r>
              <w:instrText xml:space="preserve"> PAGEREF _Toc100121 \h </w:instrText>
            </w:r>
            <w:r>
              <w:fldChar w:fldCharType="separate"/>
            </w:r>
            <w:r>
              <w:t>47</w:t>
            </w:r>
            <w:r>
              <w:fldChar w:fldCharType="end"/>
            </w:r>
          </w:hyperlink>
        </w:p>
        <w:p>
          <w:pPr>
            <w:pStyle w:val="9"/>
            <w:tabs>
              <w:tab w:val="right" w:leader="dot" w:pos="9026"/>
            </w:tabs>
            <w:spacing w:before="120" w:after="60"/>
          </w:pPr>
          <w:hyperlink w:anchor="_Toc100122" w:history="1">
            <w:r>
              <w:rPr>
                <w:rStyle w:val="Hyperlink"/>
              </w:rPr>
              <w:t>16. Counterarguments and Limitations</w:t>
            </w:r>
            <w:r>
              <w:tab/>
            </w:r>
            <w:r>
              <w:fldChar w:fldCharType="begin"/>
            </w:r>
            <w:r>
              <w:instrText xml:space="preserve"> PAGEREF _Toc100122 \h </w:instrText>
            </w:r>
            <w:r>
              <w:fldChar w:fldCharType="separate"/>
            </w:r>
            <w:r>
              <w:t>48</w:t>
            </w:r>
            <w:r>
              <w:fldChar w:fldCharType="end"/>
            </w:r>
          </w:hyperlink>
        </w:p>
        <w:p>
          <w:pPr>
            <w:pStyle w:val="11"/>
            <w:ind w:left="360"/>
            <w:tabs>
              <w:tab w:val="right" w:leader="dot" w:pos="9026"/>
            </w:tabs>
            <w:spacing w:before="120" w:after="60"/>
          </w:pPr>
          <w:hyperlink w:anchor="_Toc100123" w:history="1">
            <w:r>
              <w:rPr>
                <w:rStyle w:val="Hyperlink"/>
              </w:rPr>
              <w:t>16.1 The Counterargument of Speed and Iteration</w:t>
            </w:r>
            <w:r>
              <w:tab/>
            </w:r>
            <w:r>
              <w:fldChar w:fldCharType="begin"/>
            </w:r>
            <w:r>
              <w:instrText xml:space="preserve"> PAGEREF _Toc100123 \h </w:instrText>
            </w:r>
            <w:r>
              <w:fldChar w:fldCharType="separate"/>
            </w:r>
            <w:r>
              <w:t>48</w:t>
            </w:r>
            <w:r>
              <w:fldChar w:fldCharType="end"/>
            </w:r>
          </w:hyperlink>
        </w:p>
        <w:p>
          <w:pPr>
            <w:pStyle w:val="11"/>
            <w:ind w:left="360"/>
            <w:tabs>
              <w:tab w:val="right" w:leader="dot" w:pos="9026"/>
            </w:tabs>
            <w:spacing w:before="120" w:after="60"/>
          </w:pPr>
          <w:hyperlink w:anchor="_Toc100124" w:history="1">
            <w:r>
              <w:rPr>
                <w:rStyle w:val="Hyperlink"/>
              </w:rPr>
              <w:t>16.2 The Counterargument of Buy Versus Build</w:t>
            </w:r>
            <w:r>
              <w:tab/>
            </w:r>
            <w:r>
              <w:fldChar w:fldCharType="begin"/>
            </w:r>
            <w:r>
              <w:instrText xml:space="preserve"> PAGEREF _Toc100124 \h </w:instrText>
            </w:r>
            <w:r>
              <w:fldChar w:fldCharType="separate"/>
            </w:r>
            <w:r>
              <w:t>49</w:t>
            </w:r>
            <w:r>
              <w:fldChar w:fldCharType="end"/>
            </w:r>
          </w:hyperlink>
        </w:p>
        <w:p>
          <w:pPr>
            <w:pStyle w:val="11"/>
            <w:ind w:left="360"/>
            <w:tabs>
              <w:tab w:val="right" w:leader="dot" w:pos="9026"/>
            </w:tabs>
            <w:spacing w:before="120" w:after="60"/>
          </w:pPr>
          <w:hyperlink w:anchor="_Toc100125" w:history="1">
            <w:r>
              <w:rPr>
                <w:rStyle w:val="Hyperlink"/>
              </w:rPr>
              <w:t>16.3 Limitations of the Analysis</w:t>
            </w:r>
            <w:r>
              <w:tab/>
            </w:r>
            <w:r>
              <w:fldChar w:fldCharType="begin"/>
            </w:r>
            <w:r>
              <w:instrText xml:space="preserve"> PAGEREF _Toc100125 \h </w:instrText>
            </w:r>
            <w:r>
              <w:fldChar w:fldCharType="separate"/>
            </w:r>
            <w:r>
              <w:t>49</w:t>
            </w:r>
            <w:r>
              <w:fldChar w:fldCharType="end"/>
            </w:r>
          </w:hyperlink>
        </w:p>
        <w:p>
          <w:pPr>
            <w:pStyle w:val="9"/>
            <w:tabs>
              <w:tab w:val="right" w:leader="dot" w:pos="9026"/>
            </w:tabs>
            <w:spacing w:before="120" w:after="60"/>
          </w:pPr>
          <w:hyperlink w:anchor="_Toc100126" w:history="1">
            <w:r>
              <w:rPr>
                <w:rStyle w:val="Hyperlink"/>
              </w:rPr>
              <w:t>17. Risk Register and Action Items</w:t>
            </w:r>
            <w:r>
              <w:tab/>
            </w:r>
            <w:r>
              <w:fldChar w:fldCharType="begin"/>
            </w:r>
            <w:r>
              <w:instrText xml:space="preserve"> PAGEREF _Toc100126 \h </w:instrText>
            </w:r>
            <w:r>
              <w:fldChar w:fldCharType="separate"/>
            </w:r>
            <w:r>
              <w:t>49</w:t>
            </w:r>
            <w:r>
              <w:fldChar w:fldCharType="end"/>
            </w:r>
          </w:hyperlink>
        </w:p>
        <w:p>
          <w:pPr>
            <w:pStyle w:val="11"/>
            <w:ind w:left="360"/>
            <w:tabs>
              <w:tab w:val="right" w:leader="dot" w:pos="9026"/>
            </w:tabs>
            <w:spacing w:before="120" w:after="60"/>
          </w:pPr>
          <w:hyperlink w:anchor="_Toc100127" w:history="1">
            <w:r>
              <w:rPr>
                <w:rStyle w:val="Hyperlink"/>
              </w:rPr>
              <w:t>17.1 Risk Register</w:t>
            </w:r>
            <w:r>
              <w:tab/>
            </w:r>
            <w:r>
              <w:fldChar w:fldCharType="begin"/>
            </w:r>
            <w:r>
              <w:instrText xml:space="preserve"> PAGEREF _Toc100127 \h </w:instrText>
            </w:r>
            <w:r>
              <w:fldChar w:fldCharType="separate"/>
            </w:r>
            <w:r>
              <w:t>50</w:t>
            </w:r>
            <w:r>
              <w:fldChar w:fldCharType="end"/>
            </w:r>
          </w:hyperlink>
        </w:p>
        <w:p>
          <w:pPr>
            <w:pStyle w:val="11"/>
            <w:ind w:left="360"/>
            <w:tabs>
              <w:tab w:val="right" w:leader="dot" w:pos="9026"/>
            </w:tabs>
            <w:spacing w:before="120" w:after="60"/>
          </w:pPr>
          <w:hyperlink w:anchor="_Toc100128" w:history="1">
            <w:r>
              <w:rPr>
                <w:rStyle w:val="Hyperlink"/>
              </w:rPr>
              <w:t>17.2 Action Items with Ownership and Timeline</w:t>
            </w:r>
            <w:r>
              <w:tab/>
            </w:r>
            <w:r>
              <w:fldChar w:fldCharType="begin"/>
            </w:r>
            <w:r>
              <w:instrText xml:space="preserve"> PAGEREF _Toc100128 \h </w:instrText>
            </w:r>
            <w:r>
              <w:fldChar w:fldCharType="separate"/>
            </w:r>
            <w:r>
              <w:t>50</w:t>
            </w:r>
            <w:r>
              <w:fldChar w:fldCharType="end"/>
            </w:r>
          </w:hyperlink>
        </w:p>
        <w:p>
          <w:pPr>
            <w:pStyle w:val="9"/>
            <w:tabs>
              <w:tab w:val="right" w:leader="dot" w:pos="9026"/>
            </w:tabs>
            <w:spacing w:before="120" w:after="60"/>
          </w:pPr>
          <w:hyperlink w:anchor="_Toc100129" w:history="1">
            <w:r>
              <w:rPr>
                <w:rStyle w:val="Hyperlink"/>
              </w:rPr>
              <w:t>18. Conclusion and Strategic Implications</w:t>
            </w:r>
            <w:r>
              <w:tab/>
            </w:r>
            <w:r>
              <w:fldChar w:fldCharType="begin"/>
            </w:r>
            <w:r>
              <w:instrText xml:space="preserve"> PAGEREF _Toc100129 \h </w:instrText>
            </w:r>
            <w:r>
              <w:fldChar w:fldCharType="separate"/>
            </w:r>
            <w:r>
              <w:t>51</w:t>
            </w:r>
            <w:r>
              <w:fldChar w:fldCharType="end"/>
            </w:r>
          </w:hyperlink>
        </w:p>
        <w:p>
          <w:pPr>
            <w:pStyle w:val="9"/>
            <w:tabs>
              <w:tab w:val="right" w:leader="dot" w:pos="9026"/>
            </w:tabs>
            <w:spacing w:before="120" w:after="60"/>
          </w:pPr>
          <w:hyperlink w:anchor="_Toc100130" w:history="1">
            <w:r>
              <w:rPr>
                <w:rStyle w:val="Hyperlink"/>
              </w:rPr>
              <w:t>19. References</w:t>
            </w:r>
            <w:r>
              <w:tab/>
            </w:r>
            <w:r>
              <w:fldChar w:fldCharType="begin"/>
            </w:r>
            <w:r>
              <w:instrText xml:space="preserve"> PAGEREF _Toc100130 \h </w:instrText>
            </w:r>
            <w:r>
              <w:fldChar w:fldCharType="separate"/>
            </w:r>
            <w:r>
              <w:t>51</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0B1C2C"/>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a complete deep-research blueprint for building and selling production-ready full-stack software systems that meet real-world commercial standards. It addresses the question that founders, product leaders, and engineering teams face when they move from an idea to a system that a business will pay for: what must be true of the planning, the architecture, the data, the security, the user experience, and the operating model for the result to be commercially viable. The report answers that question by applying a disciplined Software Development Life Cycle (SDLC) and a consistent analytical framework to eight commercially validated system categories, and by documenting for each the planning process, the architectural foundation, the data model, the end-to-end processes, the security controls, the user-experience standards, the building roadmap, and the business viability.</w:t>
      </w:r>
    </w:p>
    <w:p>
      <w:pPr>
        <w:spacing w:after="120" w:line="312"/>
        <w:ind w:firstLine="360"/>
        <w:jc w:val="both"/>
      </w:pPr>
      <w:r>
        <w:rPr>
          <w:rFonts w:ascii="Times New Roman" w:eastAsia="SimSun"/>
          <w:color w:val="000000"/>
          <w:sz w:val="24"/>
          <w:szCs w:val="24"/>
        </w:rPr>
        <w:t xml:space="preserve">The eight systems examined are the multi-tenant Software-as-a-Service (SaaS) platform, the e-commerce and marketplace system, the Customer Relationship Management (CRM) platform, the Enterprise Resource Planning (ERP) system, the real-time analytics dashboard, the AI-powered application, the booking and scheduling platform, and the Learning Management System (LMS). Each category is treated as a complete build target, not as a feature list. For every system the report specifies the buyer, the functional and non-functional requirements, the reference architecture, the core data entities and their relationships, the primary process flows, the OWASP-aligned security controls, the WCAG 2.2 accessibility expectations, the implementation phases, and the monetization model. The treatment is detailed enough that a team can use each section as the starting point for a real build.</w:t>
      </w:r>
    </w:p>
    <w:p>
      <w:pPr>
        <w:spacing w:after="120" w:line="312"/>
        <w:ind w:firstLine="360"/>
        <w:jc w:val="both"/>
      </w:pPr>
      <w:r>
        <w:rPr>
          <w:rFonts w:ascii="Times New Roman" w:eastAsia="SimSun"/>
          <w:color w:val="000000"/>
          <w:sz w:val="24"/>
          <w:szCs w:val="24"/>
        </w:rPr>
        <w:t xml:space="preserve">The central finding is that commercial viability is the product of a coherent system of decisions rather than of any single technology choice. A documented SDLC governs the system from requirements through retirement and makes every non-functional property, from latency to security to accessibility, enforceable rather than aspirational. A layered reference architecture, built on PostgreSQL for transactional integrity, Redis for low-latency caching, and a modern meta-framework such as Next.js for the frontend, provides a foundation that scales from the first design partner to thousands of tenants. A data model designed around explicit entities and relationships, with tenant isolation enforced at the database level through PostgreSQL Row-Level Security, prevents the data-leakage incidents that destroy SaaS businesses. A security baseline aligned to the OWASP Top Ten and a user-experience baseline conforming to WCAG 2.2 AA are the procurement gates that enterprise buyers enforce before any contract is signed.</w:t>
      </w:r>
    </w:p>
    <w:p>
      <w:pPr>
        <w:spacing w:after="120" w:line="312"/>
        <w:ind w:firstLine="360"/>
        <w:jc w:val="both"/>
      </w:pPr>
      <w:r>
        <w:rPr>
          <w:rFonts w:ascii="Times New Roman" w:eastAsia="SimSun"/>
          <w:color w:val="000000"/>
          <w:sz w:val="24"/>
          <w:szCs w:val="24"/>
        </w:rPr>
        <w:t xml:space="preserve">The strategic conclusion is that the strongest commercial opportunities in the 2025 to 2026 timeframe sit at the intersection of vertical SaaS and embedded AI, where a focused domain, a defensible workflow, and a measured AI capability combine into a product that a defined buyer will pay for. The global SaaS market was valued at approximately 464.7 billion U.S. dollars in 2025 and is projected to exceed 1.1 trillion dollars by 2033, and the AI SaaS segment alone was valued at 22.21 billion dollars in 2025. The market is large enough to support focused entrants, but only entrants that ship to real-world standards will capture it. The remainder of this document provides the evidence, the architectural blueprints, the data models, the process flows, and the SDLC implementation needed to do so.</w:t>
      </w:r>
    </w:p>
    <w:p>
      <w:pPr>
        <w:pStyle w:val="Heading1"/>
        <w:spacing w:after="160" w:before="360" w:line="312"/>
      </w:pPr>
      <w:bookmarkStart w:id="100001" w:name="_Toc100001"/>
      <w:r>
        <w:rPr>
          <w:rFonts w:ascii="Arial" w:eastAsia="SimHei"/>
          <w:b/>
          <w:bCs/>
          <w:color w:val="0B1C2C"/>
          <w:sz w:val="32"/>
          <w:szCs w:val="32"/>
        </w:rPr>
        <w:t xml:space="preserve">2. Opening Hook and Thesis Statement</w:t>
      </w:r>
      <w:bookmarkEnd w:id="100001"/>
    </w:p>
    <w:p>
      <w:pPr>
        <w:spacing w:after="120" w:line="312"/>
        <w:ind w:firstLine="360"/>
        <w:jc w:val="both"/>
      </w:pPr>
      <w:r>
        <w:rPr>
          <w:rFonts w:ascii="Times New Roman" w:eastAsia="SimSun"/>
          <w:color w:val="000000"/>
          <w:sz w:val="24"/>
          <w:szCs w:val="24"/>
        </w:rPr>
        <w:t xml:space="preserve">In 2025 the global Software-as-a-Service market was valued at approximately 464.7 billion U.S. dollars and is projected to grow to over 1.1 trillion dollars by 2033 at a compound annual growth rate near 11 percent. The AI SaaS segment alone was valued at 22.21 billion dollars in 2025, with North America holding roughly 35 percent of revenue share, and the chatbot market is projected to grow from 9.6 billion dollars in 2025 to 41.2 billion dollars by 2033. These figures describe a market that is no longer expanding because more companies are buying software for the first time; it is expanding because software has become the substrate through which business itself is conducted. In that environment, the distance between a credible, sellable system and a fragile prototype is measured not in lines of code but in the maturity of the process that produced it and the depth of the foundations on which it rests.</w:t>
      </w:r>
    </w:p>
    <w:p>
      <w:pPr>
        <w:spacing w:after="120" w:line="312"/>
        <w:ind w:firstLine="360"/>
        <w:jc w:val="both"/>
      </w:pPr>
      <w:r>
        <w:rPr>
          <w:rFonts w:ascii="Times New Roman" w:eastAsia="SimSun"/>
          <w:color w:val="000000"/>
          <w:sz w:val="24"/>
          <w:szCs w:val="24"/>
        </w:rPr>
        <w:t xml:space="preserve">The paradox facing builders is that the tools have never been more accessible, yet the bar for commercial quality has never been higher. A single developer can ship a deployed application in an afternoon using modern frameworks and managed cloud services. That same application, however, will fail a procurement review the moment a prospective enterprise buyer asks for a System and Organization Controls (SOC 2) report, a data processing agreement, penetration test results, accessibility conformance documentation, or evidence of a change-management process. The gap between what is easy to build and what is acceptable to buy is precisely the gap that a disciplined SDLC, a real-world engineering baseline, and a complete data and process foundation are designed to close. A system without a documented data model is a system whose behavior cannot be reasoned about; a system without documented process flows is a system whose edge cases cannot be anticipated; a system without a security baseline is a system whose failure modes are catastrophic rather than recoverable.</w:t>
      </w:r>
    </w:p>
    <w:p>
      <w:pPr>
        <w:spacing w:after="120" w:line="312"/>
        <w:ind w:firstLine="360"/>
        <w:jc w:val="both"/>
      </w:pPr>
      <w:r>
        <w:rPr>
          <w:rFonts w:ascii="Times New Roman" w:eastAsia="SimSun"/>
          <w:color w:val="000000"/>
          <w:sz w:val="24"/>
          <w:szCs w:val="24"/>
        </w:rPr>
        <w:t xml:space="preserve">The thesis of this report is therefore the following. A full-stack system is commercially sellable to a business only when it is the deliberate output of a documented SDLC, designed against explicit non-functional requirements, secured against known threat categories, accessible to the full range of intended users, observable in production, supported by a sustainable operating model, and underpinned by a complete and explicit data model and process architecture. The remainder of the document defines each of those properties, demonstrates how they manifest across eight system categories, and provides the planning, architectural, data, and process blueprints that a founding team or an internal product unit can use to deliver such a system with confidence.</w:t>
      </w:r>
    </w:p>
    <w:p>
      <w:pPr>
        <w:pStyle w:val="Heading1"/>
        <w:spacing w:after="160" w:before="360" w:line="312"/>
      </w:pPr>
      <w:bookmarkStart w:id="100002" w:name="_Toc100002"/>
      <w:r>
        <w:rPr>
          <w:rFonts w:ascii="Arial" w:eastAsia="SimHei"/>
          <w:b/>
          <w:bCs/>
          <w:color w:val="0B1C2C"/>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0B1C2C"/>
          <w:sz w:val="28"/>
          <w:szCs w:val="28"/>
        </w:rPr>
        <w:t xml:space="preserve">3.1 Defining Real-World Standard Software</w:t>
      </w:r>
      <w:bookmarkEnd w:id="100003"/>
    </w:p>
    <w:p>
      <w:pPr>
        <w:spacing w:after="120" w:line="312"/>
        <w:ind w:firstLine="360"/>
        <w:jc w:val="both"/>
      </w:pPr>
      <w:r>
        <w:rPr>
          <w:rFonts w:ascii="Times New Roman" w:eastAsia="SimSun"/>
          <w:color w:val="000000"/>
          <w:sz w:val="24"/>
          <w:szCs w:val="24"/>
        </w:rPr>
        <w:t xml:space="preserve">Real-world standard software is software that continues to deliver its intended business value under the conditions of actual operation rather than under demo conditions. The distinction matters because the conditions of actual operation include peak traffic that exceeds the daily average by an order of magnitude, users who behave in ways the designers did not anticipate, attackers who actively probe the attack surface, regulators who request evidence of compliance on a fixed timeline, and operators who must diagnose and recover from failures at three in the morning. A system that has not been designed for these conditions will, at best, require constant heroic intervention; at worst, it will fail in ways that are visible to customers and damaging to the business.</w:t>
      </w:r>
    </w:p>
    <w:p>
      <w:pPr>
        <w:spacing w:after="120" w:line="312"/>
        <w:ind w:firstLine="360"/>
        <w:jc w:val="both"/>
      </w:pPr>
      <w:r>
        <w:rPr>
          <w:rFonts w:ascii="Times New Roman" w:eastAsia="SimSun"/>
          <w:color w:val="000000"/>
          <w:sz w:val="24"/>
          <w:szCs w:val="24"/>
        </w:rPr>
        <w:t xml:space="preserve">The concrete properties that distinguish real-world standard software can be grouped into five families. The first is functional correctness: the system does what its specification claims, including edge cases and error paths, and the specification itself is explicit rather than implied. The second is non-functional fitness: the system meets defined targets for latency, throughput, availability, and durability under realistic load, and those targets are written down before development begins. The third is security and compliance: the system resists the categories of attack enumerated in the OWASP Top Ten and satisfies the data-protection obligations that apply to its operating jurisdictions, including the General Data Protection Regulation (GDPR) in the European Union and the accessibility requirements enforced under the Americans with Disabilities Act (ADA) in the United States. The fourth is operability: the system emits the telemetry, logs, and metrics that allow a small team to run it, and it fails in predictable, recoverable ways. The fifth is maintainability: the code, the tests, the documentation, the data model, and the deployment pipeline allow the system to evolve over years without accumulating unmanageable technical debt.</w:t>
      </w:r>
    </w:p>
    <w:p>
      <w:pPr>
        <w:spacing w:after="120" w:line="312"/>
        <w:ind w:firstLine="360"/>
        <w:jc w:val="both"/>
      </w:pPr>
      <w:r>
        <w:rPr>
          <w:rFonts w:ascii="Times New Roman" w:eastAsia="SimSun"/>
          <w:color w:val="000000"/>
          <w:sz w:val="24"/>
          <w:szCs w:val="24"/>
        </w:rPr>
        <w:t xml:space="preserve">None of these properties emerges by accident. Each must be specified, designed for, tested, and verified. A useful operational test is to ask, for any given property, whether there exists a written requirement, a measurable threshold, an automated check, and a person accountable for it. Where the answer is no for any of those four, the property is aspirational rather than real. The body of practice that makes these properties real is the SDLC, complemented by an explicit data model and an explicit process architecture. These three elements, the SDLC, the data model, and the process architecture, form the foundation that the rest of this report builds upon.</w:t>
      </w:r>
    </w:p>
    <w:p>
      <w:pPr>
        <w:pStyle w:val="Heading2"/>
        <w:spacing w:after="120" w:before="280" w:line="312"/>
      </w:pPr>
      <w:bookmarkStart w:id="100004" w:name="_Toc100004"/>
      <w:r>
        <w:rPr>
          <w:rFonts w:ascii="Arial" w:eastAsia="SimHei"/>
          <w:b/>
          <w:bCs/>
          <w:color w:val="0B1C2C"/>
          <w:sz w:val="28"/>
          <w:szCs w:val="28"/>
        </w:rPr>
        <w:t xml:space="preserve">3.2 The SDLC as Foundation</w:t>
      </w:r>
      <w:bookmarkEnd w:id="100004"/>
    </w:p>
    <w:p>
      <w:pPr>
        <w:spacing w:after="120" w:line="312"/>
        <w:ind w:firstLine="360"/>
        <w:jc w:val="both"/>
      </w:pPr>
      <w:r>
        <w:rPr>
          <w:rFonts w:ascii="Times New Roman" w:eastAsia="SimSun"/>
          <w:color w:val="000000"/>
          <w:sz w:val="24"/>
          <w:szCs w:val="24"/>
        </w:rPr>
        <w:t xml:space="preserve">The Software Development Life Cycle is the structured process that governs a software system from the identification of a business need through its retirement. Industry references, including those from Atlassian, IBM, and Splunk, consistently describe the SDLC as a sequence of phases: planning and requirements analysis, requirement definition, design, development or implementation, testing, deployment, and maintenance. The phases are not strictly linear in modern practice; agile and iterative models cycle through them repeatedly. What is non-negotiable is that every phase exists, that it produces defined artifacts, and that those artifacts are reviewed before the next phase consumes them. The artifacts are the foundation: the requirements document, the architecture decision record, the data model, the Application Programming Interface (API) contract, the test plan, the deployment runbook, and the incident response procedure are the tangible outputs that make the system real, reviewable, and operable.</w:t>
      </w:r>
    </w:p>
    <w:p>
      <w:pPr>
        <w:spacing w:after="120" w:line="312"/>
        <w:ind w:firstLine="360"/>
        <w:jc w:val="both"/>
      </w:pPr>
      <w:r>
        <w:rPr>
          <w:rFonts w:ascii="Times New Roman" w:eastAsia="SimSun"/>
          <w:color w:val="000000"/>
          <w:sz w:val="24"/>
          <w:szCs w:val="24"/>
        </w:rPr>
        <w:t xml:space="preserve">The SDLC is the foundation of commercial software because it is the mechanism through which the five property families in the previous subsection become enforceable. Requirements analysis is where non-functional targets such as p95 latency or 99.9 percent availability are written down and committed, and where the data entities the system must manage are first enumerated. Design is where architectural decisions are recorded with their tradeoffs, where the data model is specified at the entity and relationship level, and where the process flows are mapped end to end, so that a future maintainer understands why a particular choice was made and how the system behaves under each user journey. Development is where coding standards, code review, and static analysis are applied. Testing is where functional, security, performance, and accessibility verification occur against the documented requirements. Deployment is where release management, rollback procedures, and environment parity are established. Maintenance is where observability, incident response, and patch management operate. A system built without an explicit SDLC is a system in which each of these activities happens ad hoc, inconsistently, or not at all.</w:t>
      </w:r>
    </w:p>
    <w:p>
      <w:pPr>
        <w:spacing w:after="120" w:line="312"/>
        <w:ind w:firstLine="360"/>
        <w:jc w:val="both"/>
      </w:pPr>
      <w:r>
        <w:rPr>
          <w:rFonts w:ascii="Times New Roman" w:eastAsia="SimSun"/>
          <w:color w:val="000000"/>
          <w:sz w:val="24"/>
          <w:szCs w:val="24"/>
        </w:rPr>
        <w:t xml:space="preserve">The planning phase deserves particular emphasis because it is the phase most often abbreviated under time pressure and the one whose omission produces the most expensive downstream consequences. A documented planning phase forces the team to answer four questions before code is written: what problem is being solved and for whom, what the success criteria are, what the constraints are in terms of budget, time, regulation, and technology, and what the scope boundary is, meaning what the system will explicitly not do. The output of planning is not a vague vision statement but a scoped, measurable, and reviewed specification against which every subsequent decision can be evaluated. For each of the eight systems examined in Part II, this report treats the planning phase as the starting point and documents the problem statement, the ideal customer profile, the functional and non-functional requirements, the regulatory regime, and the scope boundaries that a real planning phase would produce.</w:t>
      </w:r>
    </w:p>
    <w:p>
      <w:pPr>
        <w:pStyle w:val="Heading2"/>
        <w:spacing w:after="120" w:before="280" w:line="312"/>
      </w:pPr>
      <w:bookmarkStart w:id="100005" w:name="_Toc100005"/>
      <w:r>
        <w:rPr>
          <w:rFonts w:ascii="Arial" w:eastAsia="SimHei"/>
          <w:b/>
          <w:bCs/>
          <w:color w:val="0B1C2C"/>
          <w:sz w:val="28"/>
          <w:szCs w:val="28"/>
        </w:rPr>
        <w:t xml:space="preserve">3.3 The Role of Data Models and Process Architecture</w:t>
      </w:r>
      <w:bookmarkEnd w:id="100005"/>
    </w:p>
    <w:p>
      <w:pPr>
        <w:spacing w:after="120" w:line="312"/>
        <w:ind w:firstLine="360"/>
        <w:jc w:val="both"/>
      </w:pPr>
      <w:r>
        <w:rPr>
          <w:rFonts w:ascii="Times New Roman" w:eastAsia="SimSun"/>
          <w:color w:val="000000"/>
          <w:sz w:val="24"/>
          <w:szCs w:val="24"/>
        </w:rPr>
        <w:t xml:space="preserve">If the SDLC is the process foundation, the data model and the process architecture are the structural foundation. A data model is the explicit specification of the entities the system manages, the attributes of each entity, the relationships between entities, and the constraints that govern those relationships. It is the answer to the question, what does this system know, and how is what it knows organized. A process architecture is the explicit specification of the end-to-end flows through which the system creates, reads, updates, and deletes those entities in response to user actions and external events. It is the answer to the question, what does this system do, and in what order. A system whose data model is implicit, distributed across the heads of its developers and the migrations of its database, is a system that cannot be reasoned about, cannot be extended safely, and cannot be operated confidently. A system whose process flows are implicit is a system whose edge cases will surprise its operators and whose failure modes will be discovered by users rather than by tests.</w:t>
      </w:r>
    </w:p>
    <w:p>
      <w:pPr>
        <w:spacing w:after="120" w:line="312"/>
        <w:ind w:firstLine="360"/>
        <w:jc w:val="both"/>
      </w:pPr>
      <w:r>
        <w:rPr>
          <w:rFonts w:ascii="Times New Roman" w:eastAsia="SimSun"/>
          <w:color w:val="000000"/>
          <w:sz w:val="24"/>
          <w:szCs w:val="24"/>
        </w:rPr>
        <w:t xml:space="preserve">The discipline of writing down the data model and the process architecture before, or in parallel with, the first line of code is what separates a system that can be maintained over five years from one that must be rewritten after eighteen months. For each of the eight systems examined in Part II, this report specifies the core data entities, their key attributes, and their relationships, and it documents the primary process flows that the system must support. The specifications are not exhaustive schemas, which would exceed the scope of a research document, but they are sufficient to anchor a real build. A team that adopts the recommended entities and relationships as the starting point for its own schema design will avoid the most common data-modeling mistakes and will produce a system whose behavior is predictable and whose evolution is manageable.</w:t>
      </w:r>
    </w:p>
    <w:p>
      <w:pPr>
        <w:pStyle w:val="Heading2"/>
        <w:spacing w:after="120" w:before="280" w:line="312"/>
      </w:pPr>
      <w:bookmarkStart w:id="100006" w:name="_Toc100006"/>
      <w:r>
        <w:rPr>
          <w:rFonts w:ascii="Arial" w:eastAsia="SimHei"/>
          <w:b/>
          <w:bCs/>
          <w:color w:val="0B1C2C"/>
          <w:sz w:val="28"/>
          <w:szCs w:val="28"/>
        </w:rPr>
        <w:t xml:space="preserve">3.4 Market Context and Commercial Viability</w:t>
      </w:r>
      <w:bookmarkEnd w:id="100006"/>
    </w:p>
    <w:p>
      <w:pPr>
        <w:spacing w:after="120" w:line="312"/>
        <w:ind w:firstLine="360"/>
        <w:jc w:val="both"/>
      </w:pPr>
      <w:r>
        <w:rPr>
          <w:rFonts w:ascii="Times New Roman" w:eastAsia="SimSun"/>
          <w:color w:val="000000"/>
          <w:sz w:val="24"/>
          <w:szCs w:val="24"/>
        </w:rPr>
        <w:t xml:space="preserve">Commercial viability is the criterion that separates a system worth building from a system worth selling. The distinction is significant. Many systems are worth building because they solve a real problem or because the act of building them develops organizational capability; they are not necessarily worth selling because the market for the solution is too small, the willingness to pay is too low, the competitive landscape is too entrenched, or the cost of customer acquisition exceeds the lifetime value of the customer. A responsible build decision evaluates all of these factors before significant capital is committed, and the evaluation is itself an output of the planning phase of the SDLC.</w:t>
      </w:r>
    </w:p>
    <w:p>
      <w:pPr>
        <w:spacing w:after="120" w:line="312"/>
        <w:ind w:firstLine="360"/>
        <w:jc w:val="both"/>
      </w:pPr>
      <w:r>
        <w:rPr>
          <w:rFonts w:ascii="Times New Roman" w:eastAsia="SimSun"/>
          <w:color w:val="000000"/>
          <w:sz w:val="24"/>
          <w:szCs w:val="24"/>
        </w:rPr>
        <w:t xml:space="preserve">The market context in 2025 to 2026 favors systems that occupy one of three positions. The first is vertical SaaS: a focused application that solves a specific workflow for a specific industry, such as practice management for a regulated profession or inventory and ordering for a particular retail format. Vertical SaaS competes on depth rather than breadth and can defend a price point that horizontal tools cannot. The second is AI-augmented workflow tools: applications that embed a measured AI capability, typically a large language model, into an existing business workflow in a way that reduces a specific cost or accelerates a specific outcome. The chatbot market alone, valued at 9.6 billion dollars in 2025 and projected to reach 41.2 billion by 2033, illustrates the size of this opportunity. The third is platform and integration layers: systems whose value lies in connecting other systems, normalizing their data, and exposing a unified surface for analysis or action.</w:t>
      </w:r>
    </w:p>
    <w:p>
      <w:pPr>
        <w:spacing w:after="120" w:line="312"/>
        <w:ind w:firstLine="360"/>
        <w:jc w:val="both"/>
      </w:pPr>
      <w:r>
        <w:rPr>
          <w:rFonts w:ascii="Times New Roman" w:eastAsia="SimSun"/>
          <w:color w:val="000000"/>
          <w:sz w:val="24"/>
          <w:szCs w:val="24"/>
        </w:rPr>
        <w:t xml:space="preserve">Across all three positions, the buyers that pay reliably are businesses rather than individual consumers, and the contracts that pay reliably are annual or multi-year subscriptions rather than transactional purchases. The implication for system design is that the product must support the operational realities of business buyers: multi-user accounts with role-based access, audit trails, single sign-on, data residency options, service-level agreements, and a procurement-ready security posture. A system that lacks these properties can generate initial interest but will not pass enterprise procurement and therefore will not realize its commercial potential. Each system examined in Part II is evaluated against this commercial-readiness criterion, and the business-viability subsection of each system specifies the buyer, the monetization model, and the competitive landscape that determine whether the system can be sold. Figure 1 presents the SaaS market growth projection that underpins the commercial analysis throughout this report.</w:t>
      </w:r>
    </w:p>
    <w:p>
      <w:pPr>
        <w:spacing w:after="80" w:before="16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after="200" w:before="40" w:line="300"/>
        <w:jc w:val="center"/>
      </w:pPr>
      <w:r>
        <w:rPr>
          <w:rFonts w:ascii="Times New Roman" w:eastAsia="SimSun"/>
          <w:i/>
          <w:iCs/>
          <w:color w:val="606060"/>
          <w:sz w:val="20"/>
          <w:szCs w:val="20"/>
        </w:rPr>
        <w:t xml:space="preserve">Figure 1: Global SaaS Market Growth Projection, 2025-2033. The market is projected to grow from 464.7 billion U.S. dollars in 2025 to 1,109.2 billion dollars by 2033 at a compound annual growth rate of 11.1 percent. Source: Grand View Research, 2026.</w:t>
      </w:r>
    </w:p>
    <w:p>
      <w:pPr>
        <w:pStyle w:val="Heading2"/>
        <w:spacing w:after="120" w:before="280" w:line="312"/>
      </w:pPr>
      <w:bookmarkStart w:id="100007" w:name="_Toc100007"/>
      <w:r>
        <w:rPr>
          <w:rFonts w:ascii="Arial" w:eastAsia="SimHei"/>
          <w:b/>
          <w:bCs/>
          <w:color w:val="0B1C2C"/>
          <w:sz w:val="28"/>
          <w:szCs w:val="28"/>
        </w:rPr>
        <w:t xml:space="preserve">3.5 Historical Context: The Evolution of the SDLC and the SaaS Model</w:t>
      </w:r>
      <w:bookmarkEnd w:id="100007"/>
    </w:p>
    <w:p>
      <w:pPr>
        <w:spacing w:after="120" w:line="312"/>
        <w:ind w:firstLine="360"/>
        <w:jc w:val="both"/>
      </w:pPr>
      <w:r>
        <w:rPr>
          <w:rFonts w:ascii="Times New Roman" w:eastAsia="SimSun"/>
          <w:color w:val="000000"/>
          <w:sz w:val="24"/>
          <w:szCs w:val="24"/>
        </w:rPr>
        <w:t xml:space="preserve">Understanding how the present standard emerged is a necessary foundation for any decision to build to that standard. The Software Development Life Cycle is not a recent invention; it is the accumulation of more than fifty years of practice, and the properties that distinguish a real-world system today are the direct responses to the failure modes of earlier approaches. The waterfall model, formalized in the 1970s, treated the SDLC phases as strictly sequential: requirements were to be completed before design began, design before implementation, and so forth. The model produced predictable documentation but proved poorly suited to the reality that requirements change as stakeholders see the system take shape, and that the cost of a change grows exponentially the later it is discovered in the lifecycle. The waterfall model's rigidity, valuable though its discipline was, motivated the search for iterative approaches.</w:t>
      </w:r>
    </w:p>
    <w:p>
      <w:pPr>
        <w:spacing w:after="120" w:line="312"/>
        <w:ind w:firstLine="360"/>
        <w:jc w:val="both"/>
      </w:pPr>
      <w:r>
        <w:rPr>
          <w:rFonts w:ascii="Times New Roman" w:eastAsia="SimSun"/>
          <w:color w:val="000000"/>
          <w:sz w:val="24"/>
          <w:szCs w:val="24"/>
        </w:rPr>
        <w:t xml:space="preserve">The Agile movement, crystallized in the Manifesto for Agile Software Development in 2001, reframed the SDLC as a sequence of short iterations, each producing working software and each incorporating feedback before the next iteration began. Agile preserved the phases of the SDLC but abandoned the pretense that any phase could be completed once and for all. The agile models, including Scrum and Kanban, became the dominant approach for new software development in the 2000s and 2010s. The DevOps movement, emerging in the late 2000s and named around 2009, extended agile principles to the deployment and operations phases, collapsing the historical separation between development and operations through practices such as continuous integration, continuous deployment, infrastructure as code, and automated monitoring. The modern SDLC, as described in the Atlassian, IBM, and Splunk references cited throughout this report, is the synthesis of these traditions: the discipline of waterfall's phases, the iteration of agile, and the automation of DevOps.</w:t>
      </w:r>
    </w:p>
    <w:p>
      <w:pPr>
        <w:spacing w:after="120" w:line="312"/>
        <w:ind w:firstLine="360"/>
        <w:jc w:val="both"/>
      </w:pPr>
      <w:r>
        <w:rPr>
          <w:rFonts w:ascii="Times New Roman" w:eastAsia="SimSun"/>
          <w:color w:val="000000"/>
          <w:sz w:val="24"/>
          <w:szCs w:val="24"/>
        </w:rPr>
        <w:t xml:space="preserve">The SaaS delivery model has a parallel history. Salesforce, founded in March 1999, is widely credited as the first cloud computing company and the pioneer of the SaaS model, delivering customer relationship management software through a browser rather than as an on-premise installation. The model demonstrated that business software could be delivered as a subscription service, with the vendor operating the infrastructure and the customer consuming the capability. The model was validated through the 2000s as companies such as Google, Amazon, and Microsoft built the cloud infrastructure that made multi-tenant delivery practical at scale, and as the cost of running a software business shifted from capital expenditure on servers to operating expenditure on cloud services. The result is the present market structure: a SaaS market valued at 464.7 billion dollars in 2025 and projected to exceed 1.1 trillion dollars by 2033, composed of vendors who deliver software as a service and customers who buy it as a subscription. A builder entering this market today inherits fifty years of process maturity in the SDLC and twenty-five years of commercial maturity in the SaaS model, and the real-world standard defined in this report is the codification of that inheritance.</w:t>
      </w:r>
    </w:p>
    <w:p>
      <w:pPr>
        <w:pStyle w:val="Heading1"/>
        <w:spacing w:after="160" w:before="360" w:line="312"/>
      </w:pPr>
      <w:bookmarkStart w:id="100008" w:name="_Toc100008"/>
      <w:r>
        <w:rPr>
          <w:rFonts w:ascii="Arial" w:eastAsia="SimHei"/>
          <w:b/>
          <w:bCs/>
          <w:color w:val="0B1C2C"/>
          <w:sz w:val="32"/>
          <w:szCs w:val="32"/>
        </w:rPr>
        <w:t xml:space="preserve">4. The SDLC as Foundation: Phases, Artifacts, and Gates</w:t>
      </w:r>
      <w:bookmarkEnd w:id="100008"/>
    </w:p>
    <w:p>
      <w:pPr>
        <w:spacing w:after="120" w:line="312"/>
        <w:ind w:firstLine="360"/>
        <w:jc w:val="both"/>
      </w:pPr>
      <w:r>
        <w:rPr>
          <w:rFonts w:ascii="Times New Roman" w:eastAsia="SimSun"/>
          <w:color w:val="000000"/>
          <w:sz w:val="24"/>
          <w:szCs w:val="24"/>
        </w:rPr>
        <w:t xml:space="preserve">This section defines the SDLC in operational terms. Each phase is described by its inputs, its activities, the artifacts it must produce, and the verification gate that must be passed before the next phase begins. This phase-by-phase definition is the template applied to every system in Part II; a team building any of the eight systems should expect to produce the artifacts listed here and to enforce the gates. The discipline is not optional, and the cost of skipping a phase is always paid later, with interest, when the system is in production and the missing artifact is needed to diagnose an incident or to onboard a new engineer.</w:t>
      </w:r>
    </w:p>
    <w:p>
      <w:pPr>
        <w:pStyle w:val="Heading2"/>
        <w:spacing w:after="120" w:before="280" w:line="312"/>
      </w:pPr>
      <w:bookmarkStart w:id="100009" w:name="_Toc100009"/>
      <w:r>
        <w:rPr>
          <w:rFonts w:ascii="Arial" w:eastAsia="SimHei"/>
          <w:b/>
          <w:bCs/>
          <w:color w:val="0B1C2C"/>
          <w:sz w:val="28"/>
          <w:szCs w:val="28"/>
        </w:rPr>
        <w:t xml:space="preserve">4.1 Phase 1: Planning and Requirements Analysis</w:t>
      </w:r>
      <w:bookmarkEnd w:id="100009"/>
    </w:p>
    <w:p>
      <w:pPr>
        <w:spacing w:after="120" w:line="312"/>
        <w:ind w:firstLine="360"/>
        <w:jc w:val="both"/>
      </w:pPr>
      <w:r>
        <w:rPr>
          <w:rFonts w:ascii="Times New Roman" w:eastAsia="SimSun"/>
          <w:color w:val="000000"/>
          <w:sz w:val="24"/>
          <w:szCs w:val="24"/>
        </w:rPr>
        <w:t xml:space="preserve">The planning phase begins with a documented problem statement that names the buyer, the workflow being improved, and the measurable outcome that defines success. The phase produces a product specification that includes the functional scope, the non-functional requirements with specific targets, the regulatory regime that applies, the explicit out-of-scope items, and the initial ideal customer profile. The phase also produces a preliminary risk register that captures the principal technical, market, and regulatory risks and the planned mitigation for each. The inputs to the phase are market research, customer interviews, and any existing competitive analysis. The activities are the synthesis of those inputs into a scoped specification and the review of that specification with stakeholders. The transition gate is a review by a group that includes engineering, product, and a representative of the intended buyer; the specification is not final until that review has occurred and the out-of-scope items have been explicitly accepted.</w:t>
      </w:r>
    </w:p>
    <w:p>
      <w:pPr>
        <w:spacing w:after="120" w:line="312"/>
        <w:ind w:firstLine="360"/>
        <w:jc w:val="both"/>
      </w:pPr>
      <w:r>
        <w:rPr>
          <w:rFonts w:ascii="Times New Roman" w:eastAsia="SimSun"/>
          <w:color w:val="000000"/>
          <w:sz w:val="24"/>
          <w:szCs w:val="24"/>
        </w:rPr>
        <w:t xml:space="preserve">The non-functional requirements deserve specific attention because they are the most frequently omitted and the most expensive to retrofit. A complete non-functional specification states the expected number of concurrent users, the expected request rate, the acceptable latency at the p50, p95, and p99 percentiles, the acceptable availability target, the recovery time objective and recovery point objective for disaster recovery, the data retention requirements, and the applicable regulatory obligations. Each of these targets drives an architectural decision: the concurrency target drives the choice between a monolith and a horizontally scalable architecture; the latency target drives the caching strategy; the availability target drives the deployment topology and the failover design; the recovery objectives drive the backup strategy; and the regulatory obligations drive the data residency and access-control design. A team that begins development without these targets written down will make implicit choices that are later discovered to be wrong.</w:t>
      </w:r>
    </w:p>
    <w:p>
      <w:pPr>
        <w:pStyle w:val="Heading2"/>
        <w:spacing w:after="120" w:before="280" w:line="312"/>
      </w:pPr>
      <w:bookmarkStart w:id="100010" w:name="_Toc100010"/>
      <w:r>
        <w:rPr>
          <w:rFonts w:ascii="Arial" w:eastAsia="SimHei"/>
          <w:b/>
          <w:bCs/>
          <w:color w:val="0B1C2C"/>
          <w:sz w:val="28"/>
          <w:szCs w:val="28"/>
        </w:rPr>
        <w:t xml:space="preserve">4.2 Phase 2: Design</w:t>
      </w:r>
      <w:bookmarkEnd w:id="100010"/>
    </w:p>
    <w:p>
      <w:pPr>
        <w:spacing w:after="120" w:line="312"/>
        <w:ind w:firstLine="360"/>
        <w:jc w:val="both"/>
      </w:pPr>
      <w:r>
        <w:rPr>
          <w:rFonts w:ascii="Times New Roman" w:eastAsia="SimSun"/>
          <w:color w:val="000000"/>
          <w:sz w:val="24"/>
          <w:szCs w:val="24"/>
        </w:rPr>
        <w:t xml:space="preserve">The design phase produces the architecture document, the data model, the API contract, the security design, and the UX design system. The architecture document records the structural decisions and their tradeoffs, including the choice between a modular monolith and a microservices architecture, the data tier selection, the deployment topology, and the integration points with external systems. The data model is specified at the entity level with attributes, relationships, and constraints, and is reviewed for normalization, for query patterns, and for the ability to support the process flows identified in the planning phase. The API contract is specified using OpenAPI or an equivalent standard, and is reviewed for consistency, for versioning strategy, and for alignment with the data model. The security design identifies the applicable threat categories from the OWASP Top Ten and the controls that address them, and it specifies the authentication, authorization, and audit-logging design. The UX design system defines the component library, the design tokens, and the accessibility commitments, and it produces wireframes for the primary user journeys.</w:t>
      </w:r>
    </w:p>
    <w:p>
      <w:pPr>
        <w:spacing w:after="120" w:line="312"/>
        <w:ind w:firstLine="360"/>
        <w:jc w:val="both"/>
      </w:pPr>
      <w:r>
        <w:rPr>
          <w:rFonts w:ascii="Times New Roman" w:eastAsia="SimSun"/>
          <w:color w:val="000000"/>
          <w:sz w:val="24"/>
          <w:szCs w:val="24"/>
        </w:rPr>
        <w:t xml:space="preserve">The architecture decision record is a specific artifact that deserves emphasis. For each significant decision, the record states the context, the options considered, the decision, and the consequences. The record is version-controlled and is reviewed by the engineering team. The purpose is not to produce documentation for its own sake but to preserve the reasoning behind a decision so that, when the decision is questioned six months later, the team can evaluate whether the original reasoning still holds or whether the change in circumstances justifies a new decision. A team that does not keep architecture decision records will repeatedly relitigate the same decisions and will make changes whose consequences it does not understand.</w:t>
      </w:r>
    </w:p>
    <w:p>
      <w:pPr>
        <w:pStyle w:val="Heading2"/>
        <w:spacing w:after="120" w:before="280" w:line="312"/>
      </w:pPr>
      <w:bookmarkStart w:id="100011" w:name="_Toc100011"/>
      <w:r>
        <w:rPr>
          <w:rFonts w:ascii="Arial" w:eastAsia="SimHei"/>
          <w:b/>
          <w:bCs/>
          <w:color w:val="0B1C2C"/>
          <w:sz w:val="28"/>
          <w:szCs w:val="28"/>
        </w:rPr>
        <w:t xml:space="preserve">4.3 Phase 3: Development</w:t>
      </w:r>
      <w:bookmarkEnd w:id="100011"/>
    </w:p>
    <w:p>
      <w:pPr>
        <w:spacing w:after="120" w:line="312"/>
        <w:ind w:firstLine="360"/>
        <w:jc w:val="both"/>
      </w:pPr>
      <w:r>
        <w:rPr>
          <w:rFonts w:ascii="Times New Roman" w:eastAsia="SimSun"/>
          <w:color w:val="000000"/>
          <w:sz w:val="24"/>
          <w:szCs w:val="24"/>
        </w:rPr>
        <w:t xml:space="preserve">The development phase implements the design under a set of engineering practices that include version control with a defined branching strategy, code review with at least one approver per change, automated static analysis and dependency scanning in the pipeline, automated testing with a coverage target appropriate to the system's risk profile, and a coding standard that is documented and enforced. The phase produces working software, a test suite, and documentation that includes operational runbooks for the expected failure modes. The development phase is where the data model and the process flows specified in the design phase become concrete code, and the discipline of the design phase is what keeps the development phase from drifting into ad hoc decisions that contradict the architecture.</w:t>
      </w:r>
    </w:p>
    <w:p>
      <w:pPr>
        <w:spacing w:after="120" w:line="312"/>
        <w:ind w:firstLine="360"/>
        <w:jc w:val="both"/>
      </w:pPr>
      <w:r>
        <w:rPr>
          <w:rFonts w:ascii="Times New Roman" w:eastAsia="SimSun"/>
          <w:color w:val="000000"/>
          <w:sz w:val="24"/>
          <w:szCs w:val="24"/>
        </w:rPr>
        <w:t xml:space="preserve">The coding standard and the code-review practice are the mechanisms through which the team maintains quality as the codebase grows. The coding standard specifies naming conventions, file structure, error-handling patterns, and the use of framework features, and it is enforced through both review and automated linting. Code review is the mechanism through which the standard is transmitted to new team members and through which defects are caught before they reach production. A team that treats code review as a formality will accumulate defects and inconsistency; a team that treats it as a substantive engineering activity will produce a codebase that is readable, maintainable, and secure.</w:t>
      </w:r>
    </w:p>
    <w:p>
      <w:pPr>
        <w:pStyle w:val="Heading2"/>
        <w:spacing w:after="120" w:before="280" w:line="312"/>
      </w:pPr>
      <w:bookmarkStart w:id="100012" w:name="_Toc100012"/>
      <w:r>
        <w:rPr>
          <w:rFonts w:ascii="Arial" w:eastAsia="SimHei"/>
          <w:b/>
          <w:bCs/>
          <w:color w:val="0B1C2C"/>
          <w:sz w:val="28"/>
          <w:szCs w:val="28"/>
        </w:rPr>
        <w:t xml:space="preserve">4.4 Phase 4: Testing</w:t>
      </w:r>
      <w:bookmarkEnd w:id="100012"/>
    </w:p>
    <w:p>
      <w:pPr>
        <w:spacing w:after="120" w:line="312"/>
        <w:ind w:firstLine="360"/>
        <w:jc w:val="both"/>
      </w:pPr>
      <w:r>
        <w:rPr>
          <w:rFonts w:ascii="Times New Roman" w:eastAsia="SimSun"/>
          <w:color w:val="000000"/>
          <w:sz w:val="24"/>
          <w:szCs w:val="24"/>
        </w:rPr>
        <w:t xml:space="preserve">The testing phase verifies that the implementation satisfies the specification across all dimensions. Functional testing verifies that each requirement is met, including the edge cases and error paths that the design phase identified. Security testing includes penetration testing by an external party for systems that will handle sensitive data, and it includes automated dependency scanning and static analysis in the continuous integration pipeline. Performance testing verifies the non-functional targets under realistic and peak load, using a load profile derived from the planning phase. Accessibility testing verifies WCAG 2.2 AA conformance through both automated tools and manual review with assistive technologies such as screen readers. The phase produces a test report that documents the results, the defects found, and the resolution of each. The transition gate is the absence of critical or high-severity defects and the documented acceptance of residual risks by the product owner.</w:t>
      </w:r>
    </w:p>
    <w:p>
      <w:pPr>
        <w:spacing w:after="120" w:line="312"/>
        <w:ind w:firstLine="360"/>
        <w:jc w:val="both"/>
      </w:pPr>
      <w:r>
        <w:rPr>
          <w:rFonts w:ascii="Times New Roman" w:eastAsia="SimSun"/>
          <w:color w:val="000000"/>
          <w:sz w:val="24"/>
          <w:szCs w:val="24"/>
        </w:rPr>
        <w:t xml:space="preserve">The testing regime must be proportionate to the risk profile of the system. A system that handles payment data requires a more rigorous security testing regime than a system that handles only public content. A system that serves millions of users requires a more rigorous performance testing regime than a system that serves a few hundred. The planning phase should specify the testing regime, and the testing phase should execute it. A common failure mode is to treat testing as a single activity rather than as four distinct activities, functional, security, performance, and accessibility, each with its own tools, its own expertise, and its own pass criteria.</w:t>
      </w:r>
    </w:p>
    <w:p>
      <w:pPr>
        <w:pStyle w:val="Heading2"/>
        <w:spacing w:after="120" w:before="280" w:line="312"/>
      </w:pPr>
      <w:bookmarkStart w:id="100013" w:name="_Toc100013"/>
      <w:r>
        <w:rPr>
          <w:rFonts w:ascii="Arial" w:eastAsia="SimHei"/>
          <w:b/>
          <w:bCs/>
          <w:color w:val="0B1C2C"/>
          <w:sz w:val="28"/>
          <w:szCs w:val="28"/>
        </w:rPr>
        <w:t xml:space="preserve">4.5 Phase 5: Deployment and Operations</w:t>
      </w:r>
      <w:bookmarkEnd w:id="100013"/>
    </w:p>
    <w:p>
      <w:pPr>
        <w:spacing w:after="120" w:line="312"/>
        <w:ind w:firstLine="360"/>
        <w:jc w:val="both"/>
      </w:pPr>
      <w:r>
        <w:rPr>
          <w:rFonts w:ascii="Times New Roman" w:eastAsia="SimSun"/>
          <w:color w:val="000000"/>
          <w:sz w:val="24"/>
          <w:szCs w:val="24"/>
        </w:rPr>
        <w:t xml:space="preserve">The deployment phase establishes the production environment, the deployment pipeline, the observability stack, and the incident response process. The production environment must match the staging environment in infrastructure and configuration to avoid environment-specific defects, a property known as environment parity. The deployment pipeline must be automated, must support rollback, and must deploy progressively, using canary or blue-green deployment for high-traffic systems. The observability stack must capture metrics, logs, and traces, and must alert on the metrics that indicate user-visible degradation rather than on raw resource utilization. The incident response process must define roles, communication channels, and the post-incident review that produces actionable improvements. The transition gate is a successful production deployment and a verified alerting and on-call rotation.</w:t>
      </w:r>
    </w:p>
    <w:p>
      <w:pPr>
        <w:spacing w:after="120" w:line="312"/>
        <w:ind w:firstLine="360"/>
        <w:jc w:val="both"/>
      </w:pPr>
      <w:r>
        <w:rPr>
          <w:rFonts w:ascii="Times New Roman" w:eastAsia="SimSun"/>
          <w:color w:val="000000"/>
          <w:sz w:val="24"/>
          <w:szCs w:val="24"/>
        </w:rPr>
        <w:t xml:space="preserve">Observability is the property that allows a small team to operate a system at scale, and it is the most commonly under-invested capability in early-stage systems. The three pillars of observability are metrics, which are numerical measurements aggregated over time; logs, which are discrete events with context; and traces, which follow a single request across service boundaries. A production system must emit all three in a structured, queryable form, and must alert on the metrics that correlate with user-visible degradation. Without observability, incidents are diagnosed by guessing, and the mean time to recovery is long; with it, incidents are diagnosed by querying the telemetry, and the mean time to recovery is short.</w:t>
      </w:r>
    </w:p>
    <w:p>
      <w:pPr>
        <w:pStyle w:val="Heading2"/>
        <w:spacing w:after="120" w:before="280" w:line="312"/>
      </w:pPr>
      <w:bookmarkStart w:id="100014" w:name="_Toc100014"/>
      <w:r>
        <w:rPr>
          <w:rFonts w:ascii="Arial" w:eastAsia="SimHei"/>
          <w:b/>
          <w:bCs/>
          <w:color w:val="0B1C2C"/>
          <w:sz w:val="28"/>
          <w:szCs w:val="28"/>
        </w:rPr>
        <w:t xml:space="preserve">4.6 Phase 6: Maintenance and Evolution</w:t>
      </w:r>
      <w:bookmarkEnd w:id="100014"/>
    </w:p>
    <w:p>
      <w:pPr>
        <w:spacing w:after="120" w:line="312"/>
        <w:ind w:firstLine="360"/>
        <w:jc w:val="both"/>
      </w:pPr>
      <w:r>
        <w:rPr>
          <w:rFonts w:ascii="Times New Roman" w:eastAsia="SimSun"/>
          <w:color w:val="000000"/>
          <w:sz w:val="24"/>
          <w:szCs w:val="24"/>
        </w:rPr>
        <w:t xml:space="preserve">The maintenance phase is the longest phase of the lifecycle and is where the discipline of the earlier phases is either justified or exposed. The phase includes ongoing monitoring, dependency updates and patch management, response to security advisories, handling of customer-reported defects, and the planning and delivery of enhancements. The phase must include a regular review of the architecture and the technical debt, with explicit decisions about what to refactor, what to retain, and what to retire. The SDLC does not end at deployment; it continues for the life of the system, and a system that is not maintained will, over time, cease to meet the real-world standard that justified its initial build.</w:t>
      </w:r>
    </w:p>
    <w:p>
      <w:pPr>
        <w:spacing w:after="120" w:line="312"/>
        <w:ind w:firstLine="360"/>
        <w:jc w:val="both"/>
      </w:pPr>
      <w:r>
        <w:rPr>
          <w:rFonts w:ascii="Times New Roman" w:eastAsia="SimSun"/>
          <w:color w:val="000000"/>
          <w:sz w:val="24"/>
          <w:szCs w:val="24"/>
        </w:rPr>
        <w:t xml:space="preserve">The maintenance phase is also where the data model and the process architecture evolve. As the system is used, the team will discover that certain entities need additional attributes, that certain relationships were modeled incorrectly, and that certain process flows need to be extended or revised. The discipline of the design phase, the explicit data model and the documented process flows, is what makes these evolutions safe: the team can reason about the impact of a change because the current state is documented. A team that operates an undocumented system will make changes whose consequences it cannot predict, and the system will accumulate defects until it becomes unmaintainable.</w:t>
      </w:r>
    </w:p>
    <w:p>
      <w:pPr>
        <w:pStyle w:val="Heading1"/>
        <w:spacing w:after="160" w:before="360" w:line="312"/>
      </w:pPr>
      <w:bookmarkStart w:id="100015" w:name="_Toc100015"/>
      <w:r>
        <w:rPr>
          <w:rFonts w:ascii="Arial" w:eastAsia="SimHei"/>
          <w:b/>
          <w:bCs/>
          <w:color w:val="0B1C2C"/>
          <w:sz w:val="32"/>
          <w:szCs w:val="32"/>
        </w:rPr>
        <w:t xml:space="preserve">5. Common Engineering Standards Across All Systems</w:t>
      </w:r>
      <w:bookmarkEnd w:id="100015"/>
    </w:p>
    <w:p>
      <w:pPr>
        <w:spacing w:after="120" w:line="312"/>
        <w:ind w:firstLine="360"/>
        <w:jc w:val="both"/>
      </w:pPr>
      <w:r>
        <w:rPr>
          <w:rFonts w:ascii="Times New Roman" w:eastAsia="SimSun"/>
          <w:color w:val="000000"/>
          <w:sz w:val="24"/>
          <w:szCs w:val="24"/>
        </w:rPr>
        <w:t xml:space="preserve">The eight system categories in Part II differ in their functional scope and in the specifics of their architecture, but they share a common set of engineering standards that determine whether any of them is production-ready. This section consolidates those standards into five areas. The treatment is deliberately concise because each area is the subject of extensive specialist literature; the purpose here is to define the standard, to cite the authoritative source, and to specify what conformance looks like in practice. These standards are referenced throughout the system-specific sections of Part II and are the baseline against which every build is evaluated.</w:t>
      </w:r>
    </w:p>
    <w:p>
      <w:pPr>
        <w:pStyle w:val="Heading2"/>
        <w:spacing w:after="120" w:before="280" w:line="312"/>
      </w:pPr>
      <w:bookmarkStart w:id="100016" w:name="_Toc100016"/>
      <w:r>
        <w:rPr>
          <w:rFonts w:ascii="Arial" w:eastAsia="SimHei"/>
          <w:b/>
          <w:bCs/>
          <w:color w:val="0B1C2C"/>
          <w:sz w:val="28"/>
          <w:szCs w:val="28"/>
        </w:rPr>
        <w:t xml:space="preserve">5.1 Architecture and Scalability</w:t>
      </w:r>
      <w:bookmarkEnd w:id="100016"/>
    </w:p>
    <w:p>
      <w:pPr>
        <w:spacing w:after="120" w:line="312"/>
        <w:ind w:firstLine="360"/>
        <w:jc w:val="both"/>
      </w:pPr>
      <w:r>
        <w:rPr>
          <w:rFonts w:ascii="Times New Roman" w:eastAsia="SimSun"/>
          <w:color w:val="000000"/>
          <w:sz w:val="24"/>
          <w:szCs w:val="24"/>
        </w:rPr>
        <w:t xml:space="preserve">A production-grade system separates concerns in a way that allows each component to scale, fail, and evolve independently. The dominant architectural patterns in 2025 to 2026 are the modular monolith for early-stage systems, where the boundaries between modules are preserved in code even though they are deployed together, and microservices for systems that have reached a scale at which independent deployment and scaling of components provide measurable benefit. The choice between them is a function of team size, deployment frequency, and the load profile of the system, not of fashion. A premature microservices architecture introduces operational complexity that a small team cannot sustain, while a monolith that has not preserved internal boundaries cannot evolve when scale demands it.</w:t>
      </w:r>
    </w:p>
    <w:p>
      <w:pPr>
        <w:spacing w:after="120" w:line="312"/>
        <w:ind w:firstLine="360"/>
        <w:jc w:val="both"/>
      </w:pPr>
      <w:r>
        <w:rPr>
          <w:rFonts w:ascii="Times New Roman" w:eastAsia="SimSun"/>
          <w:color w:val="000000"/>
          <w:sz w:val="24"/>
          <w:szCs w:val="24"/>
        </w:rPr>
        <w:t xml:space="preserve">Scalability must be specified, not assumed. The non-functional requirements that govern scalability include the expected number of concurrent users, the expected request rate, the acceptable latency at the p50, p95, and p99 percentiles, and the acceptable degradation under peak load. These targets drive decisions about caching, database sharding, read replicas, and the use of content delivery networks. PostgreSQL, combined with Redis for caching and session storage, is the consensus choice for the data tier of new systems because it provides transactional integrity, mature operational tooling, and features such as row-level security and full-text search that reduce the number of infrastructure components a team must operate. For workloads that exceed the capacity of a single PostgreSQL instance, the scaling path is well documented: read replicas for read-heavy workloads, partitioning for large tables, and connection pooling through a tool such as PgBouncer to manage connection count.</w:t>
      </w:r>
    </w:p>
    <w:p>
      <w:pPr>
        <w:pStyle w:val="Heading2"/>
        <w:spacing w:after="120" w:before="280" w:line="312"/>
      </w:pPr>
      <w:bookmarkStart w:id="100017" w:name="_Toc100017"/>
      <w:r>
        <w:rPr>
          <w:rFonts w:ascii="Arial" w:eastAsia="SimHei"/>
          <w:b/>
          <w:bCs/>
          <w:color w:val="0B1C2C"/>
          <w:sz w:val="28"/>
          <w:szCs w:val="28"/>
        </w:rPr>
        <w:t xml:space="preserve">5.2 Security and Compliance</w:t>
      </w:r>
      <w:bookmarkEnd w:id="100017"/>
    </w:p>
    <w:p>
      <w:pPr>
        <w:spacing w:after="120" w:line="312"/>
        <w:ind w:firstLine="360"/>
        <w:jc w:val="both"/>
      </w:pPr>
      <w:r>
        <w:rPr>
          <w:rFonts w:ascii="Times New Roman" w:eastAsia="SimSun"/>
          <w:color w:val="000000"/>
          <w:sz w:val="24"/>
          <w:szCs w:val="24"/>
        </w:rPr>
        <w:t xml:space="preserve">Security conformance begins with the OWASP Top Ten, the broad-consensus awareness document published by the OWASP Foundation and updated to a 2025 release. The Top Ten identifies the most critical risks to web applications, including broken access control, cryptographic failures, injection, insecure design, security misconfiguration, vulnerable and outdated components, and identification and authentication failures. A production-grade system must implement controls against each category, must verify those controls through testing, and must maintain them through ongoing dependency management and code review. The OWASP Foundation additionally publishes a Top 10 for Large Language Model Applications, which is the relevant baseline for AI-powered systems and which addresses risks such as prompt injection, insecure output handling, and excessive agency.</w:t>
      </w:r>
    </w:p>
    <w:p>
      <w:pPr>
        <w:spacing w:after="120" w:line="312"/>
        <w:ind w:firstLine="360"/>
        <w:jc w:val="both"/>
      </w:pPr>
      <w:r>
        <w:rPr>
          <w:rFonts w:ascii="Times New Roman" w:eastAsia="SimSun"/>
          <w:color w:val="000000"/>
          <w:sz w:val="24"/>
          <w:szCs w:val="24"/>
        </w:rPr>
        <w:t xml:space="preserve">Compliance extends security into the legal and regulatory domain. The General Data Protection Regulation applies to any system that processes the personal data of individuals in the European Union and requires a lawful basis for processing, data subject access mechanisms, data processing agreements with subprocessors, and breach notification within defined timeframes. In the United States, the Americans with Disabilities Act, as interpreted by Department of Justice rulemaking issued in 2024, establishes that web content and mobile applications of covered entities must be accessible, with compliance dates extending to 2027 and 2028 depending on entity size. For systems that process payment data, the Payment Card Industry Data Security Standard (PCI-DSS) applies, and in practice is satisfied by tokenizing card data through a compliant processor rather than handling it directly. For systems that hold health information in the United States, the Health Insurance Portability and Accountability Act (HIPAA) applies. A responsible build decision identifies the applicable regulatory regime at the planning stage and designs the system to satisfy it, rather than treating compliance as a post-launch retrofit.</w:t>
      </w:r>
    </w:p>
    <w:p>
      <w:pPr>
        <w:pStyle w:val="Heading2"/>
        <w:spacing w:after="120" w:before="280" w:line="312"/>
      </w:pPr>
      <w:bookmarkStart w:id="100018" w:name="_Toc100018"/>
      <w:r>
        <w:rPr>
          <w:rFonts w:ascii="Arial" w:eastAsia="SimHei"/>
          <w:b/>
          <w:bCs/>
          <w:color w:val="0B1C2C"/>
          <w:sz w:val="28"/>
          <w:szCs w:val="28"/>
        </w:rPr>
        <w:t xml:space="preserve">5.3 UI/UX and Accessibility</w:t>
      </w:r>
      <w:bookmarkEnd w:id="100018"/>
    </w:p>
    <w:p>
      <w:pPr>
        <w:spacing w:after="120" w:line="312"/>
        <w:ind w:firstLine="360"/>
        <w:jc w:val="both"/>
      </w:pPr>
      <w:r>
        <w:rPr>
          <w:rFonts w:ascii="Times New Roman" w:eastAsia="SimSun"/>
          <w:color w:val="000000"/>
          <w:sz w:val="24"/>
          <w:szCs w:val="24"/>
        </w:rPr>
        <w:t xml:space="preserve">The Web Content Accessibility Guidelines, version 2.2, are the current recommendation of the W3C Web Accessibility Initiative and provide 86 testable success criteria organized under four principles: content must be perceivable, operable, understandable, and robust. Conformance at level AA is the de facto baseline for enterprise procurement and for legal compliance under the ADA and equivalent regulations in other jurisdictions. Accessibility is not a feature that can be added at the end of a project; it is a property that must be designed in, tested throughout development, and verified before release. Automated tools can detect a portion of accessibility defects, but a complete conformance assessment requires manual testing, including testing with assistive technologies such as screen readers.</w:t>
      </w:r>
    </w:p>
    <w:p>
      <w:pPr>
        <w:spacing w:after="120" w:line="312"/>
        <w:ind w:firstLine="360"/>
        <w:jc w:val="both"/>
      </w:pPr>
      <w:r>
        <w:rPr>
          <w:rFonts w:ascii="Times New Roman" w:eastAsia="SimSun"/>
          <w:color w:val="000000"/>
          <w:sz w:val="24"/>
          <w:szCs w:val="24"/>
        </w:rPr>
        <w:t xml:space="preserve">Beyond accessibility, the UX must conform to the expectations of the target user. For consumer-facing systems, this means responsive design, fast perceived performance, and clear calls to action. For professional tools used daily, this means keyboard efficiency, configurable layouts, and dense information display. In both cases, the design system, the component library, and the design tokens must be consistent, documented, and version-controlled, so that the product evolves coherently rather than accumulating ad hoc decisions. A design system based on a widely adopted component library, such as Radix UI primitives combined with Tailwind CSS for styling, provides the accessibility, consistency, and development velocity that a production system requires.</w:t>
      </w:r>
    </w:p>
    <w:p>
      <w:pPr>
        <w:pStyle w:val="Heading2"/>
        <w:spacing w:after="120" w:before="280" w:line="312"/>
      </w:pPr>
      <w:bookmarkStart w:id="100019" w:name="_Toc100019"/>
      <w:r>
        <w:rPr>
          <w:rFonts w:ascii="Arial" w:eastAsia="SimHei"/>
          <w:b/>
          <w:bCs/>
          <w:color w:val="0B1C2C"/>
          <w:sz w:val="28"/>
          <w:szCs w:val="28"/>
        </w:rPr>
        <w:t xml:space="preserve">5.4 API Design and Documentation</w:t>
      </w:r>
      <w:bookmarkEnd w:id="100019"/>
    </w:p>
    <w:p>
      <w:pPr>
        <w:spacing w:after="120" w:line="312"/>
        <w:ind w:firstLine="360"/>
        <w:jc w:val="both"/>
      </w:pPr>
      <w:r>
        <w:rPr>
          <w:rFonts w:ascii="Times New Roman" w:eastAsia="SimSun"/>
          <w:color w:val="000000"/>
          <w:sz w:val="24"/>
          <w:szCs w:val="24"/>
        </w:rPr>
        <w:t xml:space="preserve">A production-grade system exposes its capabilities through a versioned, documented API. REST remains the dominant pattern for web APIs, with GraphQL used selectively where clients require flexible query shapes. The API must be designed around resources, must use standard HTTP methods and status codes, must support pagination, filtering, and sorting consistently, and must version its breaking changes so that existing clients continue to function. Microsoft's published best practices for RESTful API design, which are representative of the consensus, emphasize that consistent resource naming, predictable error responses, and clear documentation are the properties that determine whether an API is usable in practice.</w:t>
      </w:r>
    </w:p>
    <w:p>
      <w:pPr>
        <w:spacing w:after="120" w:line="312"/>
        <w:ind w:firstLine="360"/>
        <w:jc w:val="both"/>
      </w:pPr>
      <w:r>
        <w:rPr>
          <w:rFonts w:ascii="Times New Roman" w:eastAsia="SimSun"/>
          <w:color w:val="000000"/>
          <w:sz w:val="24"/>
          <w:szCs w:val="24"/>
        </w:rPr>
        <w:t xml:space="preserve">API versioning deserves specific attention because the choice of versioning strategy has long-term consequences. The common strategies are URI path versioning, where the version is part of the URL, header versioning, where the version is specified in a request header, and content negotiation, where the version is specified through the Accept header. Each has tradeoffs in discoverability, caching, and client complexity. The important practice is to choose a strategy deliberately, to document it, and to commit to a deprecation policy that gives clients adequate time to migrate when a version is retired. The API contract, specified in OpenAPI, must be treated as a first-class artifact: it is version-controlled, it is reviewed, and it is the source from which client libraries and documentation are generated.</w:t>
      </w:r>
    </w:p>
    <w:p>
      <w:pPr>
        <w:pStyle w:val="Heading2"/>
        <w:spacing w:after="120" w:before="280" w:line="312"/>
      </w:pPr>
      <w:bookmarkStart w:id="100020" w:name="_Toc100020"/>
      <w:r>
        <w:rPr>
          <w:rFonts w:ascii="Arial" w:eastAsia="SimHei"/>
          <w:b/>
          <w:bCs/>
          <w:color w:val="0B1C2C"/>
          <w:sz w:val="28"/>
          <w:szCs w:val="28"/>
        </w:rPr>
        <w:t xml:space="preserve">5.5 Observability, Testing, and CI/CD</w:t>
      </w:r>
      <w:bookmarkEnd w:id="100020"/>
    </w:p>
    <w:p>
      <w:pPr>
        <w:spacing w:after="120" w:line="312"/>
        <w:ind w:firstLine="360"/>
        <w:jc w:val="both"/>
      </w:pPr>
      <w:r>
        <w:rPr>
          <w:rFonts w:ascii="Times New Roman" w:eastAsia="SimSun"/>
          <w:color w:val="000000"/>
          <w:sz w:val="24"/>
          <w:szCs w:val="24"/>
        </w:rPr>
        <w:t xml:space="preserve">A production-grade system is observable, which means that its internal state can be inferred from its external outputs. The three pillars of observability are metrics, logs, and traces, and a production system must emit all three in a structured, queryable form. Observability is what allows a small team to operate a system at scale; without it, incidents are diagnosed by guessing, and the mean time to recovery is long. The observability stack must be designed alongside the application, not bolted on after launch, and the metrics that trigger alerts must be those that correlate with user-visible degradation rather than with raw resource utilization.</w:t>
      </w:r>
    </w:p>
    <w:p>
      <w:pPr>
        <w:spacing w:after="120" w:line="312"/>
        <w:ind w:firstLine="360"/>
        <w:jc w:val="both"/>
      </w:pPr>
      <w:r>
        <w:rPr>
          <w:rFonts w:ascii="Times New Roman" w:eastAsia="SimSun"/>
          <w:color w:val="000000"/>
          <w:sz w:val="24"/>
          <w:szCs w:val="24"/>
        </w:rPr>
        <w:t xml:space="preserve">Testing must cover functional correctness, security, performance, and accessibility, and must be automated to the maximum extent practical. A typical regime includes unit tests for individual functions and modules, integration tests for the interaction between components, end-to-end tests for critical user journeys, security tests including dependency scanning and static analysis, load tests to verify performance targets, and accessibility tests using both automated tools and manual review. The tests must run in a continuous integration pipeline on every change, and deployment must be automated, reversible, and gated by the test results. A system without this regime is not production-ready, regardless of how well its features appear to work. The continuous deployment pipeline, which automates the path from a merged change to a production release, is the mechanism through which the team achieves both velocity and safety: velocity because changes reach users quickly, and safety because each change is gated by the full automated test suite and can be rolled back instantly if a problem is detected.</w:t>
      </w:r>
    </w:p>
    <w:p>
      <w:pPr>
        <w:pStyle w:val="Heading2"/>
        <w:spacing w:after="120" w:before="280" w:line="312"/>
      </w:pPr>
      <w:bookmarkStart w:id="100021" w:name="_Toc100021"/>
      <w:r>
        <w:rPr>
          <w:rFonts w:ascii="Arial" w:eastAsia="SimHei"/>
          <w:b/>
          <w:bCs/>
          <w:color w:val="0B1C2C"/>
          <w:sz w:val="28"/>
          <w:szCs w:val="28"/>
        </w:rPr>
        <w:t xml:space="preserve">5.6 Monitoring KPIs: The Four Golden Signals and SLO Definition</w:t>
      </w:r>
      <w:bookmarkEnd w:id="100021"/>
    </w:p>
    <w:p>
      <w:pPr>
        <w:spacing w:after="120" w:line="312"/>
        <w:ind w:firstLine="360"/>
        <w:jc w:val="both"/>
      </w:pPr>
      <w:r>
        <w:rPr>
          <w:rFonts w:ascii="Times New Roman" w:eastAsia="SimSun"/>
          <w:color w:val="000000"/>
          <w:sz w:val="24"/>
          <w:szCs w:val="24"/>
        </w:rPr>
        <w:t xml:space="preserve">The operational monitoring of a production system is governed by the Four Golden Signals, a framework codified in the Google Site Reliability Engineering handbook and adopted across the industry. The four signals are latency, traffic, errors, and saturation. Latency is the time taken to serve a request, measured at the fiftieth, ninety-fifth, and ninety-ninth percentiles, because the tail latency is what distinguishes a system that feels responsive from one that feels slow. Traffic is the demand placed on the system, measured in requests per second, concurrent users, or a domain-specific unit such as orders per second for an e-commerce system. Errors are the rate of requests that fail, including explicit errors such as HTTP 500 responses and implicit errors such as a response that is technically successful but returns the wrong data. Saturation is the utilization of the system's resources, such as CPU, memory, disk, and database connections, and is the signal that indicates whether the system is approaching its capacity limits.</w:t>
      </w:r>
    </w:p>
    <w:p>
      <w:pPr>
        <w:spacing w:after="120" w:line="312"/>
        <w:ind w:firstLine="360"/>
        <w:jc w:val="both"/>
      </w:pPr>
      <w:r>
        <w:rPr>
          <w:rFonts w:ascii="Times New Roman" w:eastAsia="SimSun"/>
          <w:color w:val="000000"/>
          <w:sz w:val="24"/>
          <w:szCs w:val="24"/>
        </w:rPr>
        <w:t xml:space="preserve">The four signals are the raw material from which Service Level Objectives are constructed. A Service Level Indicator, or SLI, is a quantitative measure of one of the signals, such as the proportion of requests served below 300 milliseconds. A Service Level Objective, or SLO, is a target for an SLI over a defined window, such as 99 percent of requests served below 300 milliseconds over any 28-day period. A Service Level Agreement, or SLA, is the contractual version of an SLO that the vendor commits to in customer contracts, typically set below the internal SLO to provide a safety margin. The discipline of defining SLOs forces the team to make explicit decisions about the tradeoff between reliability and velocity: a 99.9 percent SLO allows approximately 43 minutes of downtime per month, while a 99.99 percent SLO allows only 4.3 minutes, and the cost of moving from one to the other is significant in terms of engineering effort and infrastructure.</w:t>
      </w:r>
    </w:p>
    <w:p>
      <w:pPr>
        <w:keepNext/>
        <w:spacing w:after="100" w:before="200" w:line="312"/>
        <w:jc w:val="left"/>
      </w:pPr>
      <w:r>
        <w:rPr>
          <w:rFonts w:ascii="Arial" w:eastAsia="SimHei"/>
          <w:b/>
          <w:bCs/>
          <w:color w:val="0B1C2C"/>
          <w:sz w:val="22"/>
          <w:szCs w:val="22"/>
        </w:rPr>
        <w:t xml:space="preserve">Table 13: Recommended SLO Targets by System Type</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tblGrid>
      <w:tr>
        <w:trPr>
          <w:cantSplit/>
          <w:tblHeader/>
        </w:trPr>
        <w:tc>
          <w:tcPr>
            <w:tcW w:type="pct" w:w="2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 Type</w:t>
            </w:r>
          </w:p>
        </w:tc>
        <w:tc>
          <w:tcPr>
            <w:tcW w:type="pct" w:w="1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Availability SLO</w:t>
            </w:r>
          </w:p>
        </w:tc>
        <w:tc>
          <w:tcPr>
            <w:tcW w:type="pct" w:w="3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Latency SLO (p95)</w:t>
            </w:r>
          </w:p>
        </w:tc>
        <w:tc>
          <w:tcPr>
            <w:tcW w:type="pct" w:w="2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Error Budget (28-day)</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Reads &lt; 300ms, Writes &lt; 800ms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E-Commerce</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99.95%</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Checkout &lt; 500ms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~21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CRM</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List views &lt; 1s, Record pages &lt; 800ms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ERP</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 (business hours)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Transaction post &lt; 2s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Analytics Dashboard</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Query &lt; 200ms, Update push &lt; 2s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AI Application</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 (excl. model provider)</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Time to first token &lt; 2s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Booking SaaS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 (business hours)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Booking flow &lt; 500ms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LMS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99.9%</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Assessment submit &lt; 2s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~43 min downtime</w:t>
            </w:r>
          </w:p>
        </w:tc>
      </w:tr>
    </w:tbl>
    <w:p>
      <w:pPr>
        <w:spacing w:after="200" w:before="80" w:line="312"/>
        <w:jc w:val="center"/>
      </w:pPr>
      <w:r>
        <w:rPr>
          <w:rFonts w:ascii="Times New Roman" w:eastAsia="SimSun"/>
          <w:i/>
          <w:iCs/>
          <w:color w:val="606060"/>
          <w:sz w:val="20"/>
          <w:szCs w:val="20"/>
        </w:rPr>
        <w:t xml:space="preserve">Table 13: Recommended Service Level Objective targets by system type. Availability and latency SLOs drive the architectural and operational decisions; the error budget is the downtime equivalent of the availability SLO over a 28-day window.</w:t>
      </w:r>
    </w:p>
    <w:p>
      <w:pPr>
        <w:pStyle w:val="Heading2"/>
        <w:spacing w:after="120" w:before="280" w:line="312"/>
      </w:pPr>
      <w:bookmarkStart w:id="100022" w:name="_Toc100022"/>
      <w:r>
        <w:rPr>
          <w:rFonts w:ascii="Arial" w:eastAsia="SimHei"/>
          <w:b/>
          <w:bCs/>
          <w:color w:val="0B1C2C"/>
          <w:sz w:val="28"/>
          <w:szCs w:val="28"/>
        </w:rPr>
        <w:t xml:space="preserve">5.7 Disaster Recovery and Backup Strategy</w:t>
      </w:r>
      <w:bookmarkEnd w:id="100022"/>
    </w:p>
    <w:p>
      <w:pPr>
        <w:spacing w:after="120" w:line="312"/>
        <w:ind w:firstLine="360"/>
        <w:jc w:val="both"/>
      </w:pPr>
      <w:r>
        <w:rPr>
          <w:rFonts w:ascii="Times New Roman" w:eastAsia="SimSun"/>
          <w:color w:val="000000"/>
          <w:sz w:val="24"/>
          <w:szCs w:val="24"/>
        </w:rPr>
        <w:t xml:space="preserve">Disaster recovery is the discipline of restoring service after a catastrophic event, and it is governed by two objectives: the Recovery Time Objective, which is the maximum tolerable downtime before service is restored, and the Recovery Point Objective, which is the maximum tolerable data loss measured backward from the failure event. The RTO and RPO are specified in the planning phase and drive the choice of disaster recovery strategy. Amazon Web Services, in its disaster recovery whitepaper, defines four strategies that represent a spectrum of cost and recovery speed. The Backup and Restore strategy is the lowest cost and slowest recovery: data is backed up regularly, and in a failure the infrastructure is redeployed and the data is restored, with an RTO measured in hours. The Pilot Light strategy replicates data continuously to a recovery region and keeps a minimal core infrastructure running, so that recovery requires scaling up the application tier rather than rebuilding it, with an RTO measured in tens of minutes. The Warm Standby strategy runs a scaled-down replica of the production environment in the recovery region, so that recovery requires only scaling up, with an RTO measured in minutes. The Multi-Site Active-Active strategy runs the full environment in multiple regions simultaneously, with traffic distributed across them, so that a regional failure requires only traffic redirection, with an RTO measured in seconds.</w:t>
      </w:r>
    </w:p>
    <w:p>
      <w:pPr>
        <w:spacing w:after="120" w:line="312"/>
        <w:ind w:firstLine="360"/>
        <w:jc w:val="both"/>
      </w:pPr>
      <w:r>
        <w:rPr>
          <w:rFonts w:ascii="Times New Roman" w:eastAsia="SimSun"/>
          <w:color w:val="000000"/>
          <w:sz w:val="24"/>
          <w:szCs w:val="24"/>
        </w:rPr>
        <w:t xml:space="preserve">The choice of strategy is a function of the RTO and RPO targets and of the cost the business is willing to bear. For most SaaS systems with a 99.9 percent availability SLO, the Backup and Restore or Pilot Light strategy is sufficient, with backups taken at least daily and the recovery procedure tested at least quarterly. For systems with a 99.99 percent SLO, the Warm Standby strategy is typically required. For systems with regulatory or contractual obligations that preclude any data loss, the Multi-Site Active-Active strategy with synchronous replication is required. The critical practice, common to all strategies, is the regular testing of the recovery procedure; an untested backup is an assumption, not a recovery capability, and the first time a team attempts to restore from backup should not be during an actual incident. The recovery test should verify not only that the data can be restored but also that the application can be brought up against the restored data, that the configuration is correct, and that the service can serve traffic.</w:t>
      </w:r>
    </w:p>
    <w:p>
      <w:pPr>
        <w:pStyle w:val="Heading2"/>
        <w:spacing w:after="120" w:before="280" w:line="312"/>
      </w:pPr>
      <w:bookmarkStart w:id="100023" w:name="_Toc100023"/>
      <w:r>
        <w:rPr>
          <w:rFonts w:ascii="Arial" w:eastAsia="SimHei"/>
          <w:b/>
          <w:bCs/>
          <w:color w:val="0B1C2C"/>
          <w:sz w:val="28"/>
          <w:szCs w:val="28"/>
        </w:rPr>
        <w:t xml:space="preserve">5.8 Deployment Topology and Release Management</w:t>
      </w:r>
      <w:bookmarkEnd w:id="100023"/>
    </w:p>
    <w:p>
      <w:pPr>
        <w:spacing w:after="120" w:line="312"/>
        <w:ind w:firstLine="360"/>
        <w:jc w:val="both"/>
      </w:pPr>
      <w:r>
        <w:rPr>
          <w:rFonts w:ascii="Times New Roman" w:eastAsia="SimSun"/>
          <w:color w:val="000000"/>
          <w:sz w:val="24"/>
          <w:szCs w:val="24"/>
        </w:rPr>
        <w:t xml:space="preserve">The deployment topology of a production system determines how changes reach users and how the risk of a defective change is contained. The three dominant deployment strategies are rolling deployment, blue-green deployment, and canary deployment. A rolling deployment replaces instances of the previous version gradually with instances of the new version, which requires no additional infrastructure but provides no instant rollback and risks a period during which both versions are serving traffic. A blue-green deployment maintains two identical production environments, with one serving live traffic and the other held in reserve; a new version is deployed to the reserve environment, tested, and then traffic is switched, which provides instant rollback but requires double the infrastructure. A canary deployment routes a small fraction of traffic to the new version, monitors the error rate and the latency, and progressively increases the fraction if the metrics are within tolerance, which provides the finest control but requires sophisticated traffic routing and monitoring.</w:t>
      </w:r>
    </w:p>
    <w:p>
      <w:pPr>
        <w:spacing w:after="120" w:line="312"/>
        <w:ind w:firstLine="360"/>
        <w:jc w:val="both"/>
      </w:pPr>
      <w:r>
        <w:rPr>
          <w:rFonts w:ascii="Times New Roman" w:eastAsia="SimSun"/>
          <w:color w:val="000000"/>
          <w:sz w:val="24"/>
          <w:szCs w:val="24"/>
        </w:rPr>
        <w:t xml:space="preserve">The choice of strategy is a function of the system's risk profile and the team's operational maturity. For a system with low traffic and a small team, a rolling deployment with automated rollback on metric violation is sufficient. For a system with high traffic or a high cost of failure, such as an e-commerce checkout or a payment system, a canary deployment is the recommended strategy because it limits the exposure of a defective change to a small fraction of users. For a system that requires zero-downtime deployments and has the infrastructure budget, a blue-green deployment provides the simplest mental model and the fastest rollback. Regardless of the strategy, the deployment pipeline must be fully automated, must run the full test suite before any traffic is shifted, must monitor the key metrics during and after the deployment, and must support automated rollback triggered by metric violation. A deployment that requires manual intervention to roll back is a deployment that will, at some point, fail in a way that the team cannot recover from quickly enough.</w:t>
      </w:r>
    </w:p>
    <w:p>
      <w:pPr>
        <w:pStyle w:val="Heading2"/>
        <w:spacing w:after="120" w:before="280" w:line="312"/>
      </w:pPr>
      <w:bookmarkStart w:id="100024" w:name="_Toc100024"/>
      <w:r>
        <w:rPr>
          <w:rFonts w:ascii="Arial" w:eastAsia="SimHei"/>
          <w:b/>
          <w:bCs/>
          <w:color w:val="0B1C2C"/>
          <w:sz w:val="28"/>
          <w:szCs w:val="28"/>
        </w:rPr>
        <w:t xml:space="preserve">5.9 Internationalization and Localization</w:t>
      </w:r>
      <w:bookmarkEnd w:id="100024"/>
    </w:p>
    <w:p>
      <w:pPr>
        <w:spacing w:after="120" w:line="312"/>
        <w:ind w:firstLine="360"/>
        <w:jc w:val="both"/>
      </w:pPr>
      <w:r>
        <w:rPr>
          <w:rFonts w:ascii="Times New Roman" w:eastAsia="SimSun"/>
          <w:color w:val="000000"/>
          <w:sz w:val="24"/>
          <w:szCs w:val="24"/>
        </w:rPr>
        <w:t xml:space="preserve">Internationalization, abbreviated i18n, is the engineering discipline of designing a system so that it can be adapted to different languages and regions without code changes, and localization, abbreviated l10n, is the process of adapting the internationalized system to a specific locale. A system that is not internationalized from the start will require a rewrite of its data layer, its UI layer, and its business logic when the first international customer is acquired, and the cost of that rewrite is always higher than the cost of building the system internationalized from the start. The foundational practices of internationalization are the use of UTF-8 encoding for all text storage and transport, the separation of user-facing text from code through the use of message catalogs, the use of the Unicode Common Locale Data Repository (CLDR) for locale-aware formatting of dates, times, numbers, and currencies, and the design of layouts that accommodate text expansion, because translated text is typically 20 to 40 percent longer than the source English text.</w:t>
      </w:r>
    </w:p>
    <w:p>
      <w:pPr>
        <w:spacing w:after="120" w:line="312"/>
        <w:ind w:firstLine="360"/>
        <w:jc w:val="both"/>
      </w:pPr>
      <w:r>
        <w:rPr>
          <w:rFonts w:ascii="Times New Roman" w:eastAsia="SimSun"/>
          <w:color w:val="000000"/>
          <w:sz w:val="24"/>
          <w:szCs w:val="24"/>
        </w:rPr>
        <w:t xml:space="preserve">The W3C publishes an internationalization specification that provides a checklist of considerations for spec developers, and the W3C's guidance is the authoritative reference. Specific practices that must be implemented from the start include: storing all timestamps in UTC and converting to the user's locale only at the presentation layer; supporting right-to-left layouts for languages such as Arabic and Hebrew, which requires the UI layer to be direction-aware rather than hardcoded left-to-right; supporting locale-aware sorting, because the alphabetical order differs across locales; and supporting pluralization rules, because the number of plural forms differs across languages, with English having two (one and many) and Arabic having six. The testing of internationalization is supported by pseudo-localization, a technique that automatically transforms the source strings into accented variants and expanded lengths, which allows the team to detect hardcoded strings and layout breakage before any actual translation is done. A system that passes pseudo-localization is a system that can be localized without code changes; a system that fails pseudo-localization is a system that will require engineering work to localize, and the cost of that work grows with the size of the codebase.</w:t>
      </w:r>
    </w:p>
    <w:p>
      <w:pPr>
        <w:pStyle w:val="Heading2"/>
        <w:spacing w:after="120" w:before="280" w:line="312"/>
      </w:pPr>
      <w:bookmarkStart w:id="100025" w:name="_Toc100025"/>
      <w:r>
        <w:rPr>
          <w:rFonts w:ascii="Arial" w:eastAsia="SimHei"/>
          <w:b/>
          <w:bCs/>
          <w:color w:val="0B1C2C"/>
          <w:sz w:val="28"/>
          <w:szCs w:val="28"/>
        </w:rPr>
        <w:t xml:space="preserve">5.10 Vendor Selection Criteria</w:t>
      </w:r>
      <w:bookmarkEnd w:id="100025"/>
    </w:p>
    <w:p>
      <w:pPr>
        <w:spacing w:after="120" w:line="312"/>
        <w:ind w:firstLine="360"/>
        <w:jc w:val="both"/>
      </w:pPr>
      <w:r>
        <w:rPr>
          <w:rFonts w:ascii="Times New Roman" w:eastAsia="SimSun"/>
          <w:color w:val="000000"/>
          <w:sz w:val="24"/>
          <w:szCs w:val="24"/>
        </w:rPr>
        <w:t xml:space="preserve">A production system depends on a set of external vendors whose selection determines the system's cost, performance, and operational characteristics. The principal vendor decisions are the cloud infrastructure provider, the database services, the payment processor, the email and SMS providers, the observability platform, and, for AI-powered systems, the large language model provider. The selection of each vendor should follow a documented evaluation that balances technical capabilities, operational factors, commercial terms, and strategic risk. For cloud infrastructure, the three dominant providers, Amazon Web Services, Microsoft Azure, and Google Cloud Platform, have largely converged in functional capability, and the selection now depends on the operational tax each imposes on the team, the regional availability for the target markets, the integration with the team's existing identity and tooling, and the reversibility of the choice, meaning the ease with which the system could be moved to a different provider if the commercial or strategic situation changed.</w:t>
      </w:r>
    </w:p>
    <w:p>
      <w:pPr>
        <w:spacing w:after="120" w:line="312"/>
        <w:ind w:firstLine="360"/>
        <w:jc w:val="both"/>
      </w:pPr>
      <w:r>
        <w:rPr>
          <w:rFonts w:ascii="Times New Roman" w:eastAsia="SimSun"/>
          <w:color w:val="000000"/>
          <w:sz w:val="24"/>
          <w:szCs w:val="24"/>
        </w:rPr>
        <w:t xml:space="preserve">For the large language model provider, the evaluation criteria are the model quality on the target task, the latency at the fiftieth and ninety-ninth percentiles, the throughput, the uptime, the pricing per million tokens, the data residency and retention policies, and the ease of switching to an alternative provider. Practitioner sources note that the OpenAI-compatible interface has become the de facto standard, which means that a system built against the OpenAI API can switch to alternative providers with minimal code changes, and this reversibility is a significant risk mitigation. The use of a unified LLM API gateway, which provides a single endpoint that routes to multiple underlying providers, is a pattern that further reduces vendor lock-in and allows the team to switch providers in response to a price change, an outage, or a quality regression. For all vendor categories, the selection should be documented in an architecture decision record that records the context, the options considered, the decision, and the consequences, so that the decision can be revisited when the circumstances change.</w:t>
      </w:r>
    </w:p>
    <w:p>
      <w:pPr>
        <w:pStyle w:val="Heading1"/>
        <w:spacing w:after="160" w:before="360" w:line="312"/>
      </w:pPr>
      <w:bookmarkStart w:id="100026" w:name="_Toc100026"/>
      <w:r>
        <w:rPr>
          <w:rFonts w:ascii="Arial" w:eastAsia="SimHei"/>
          <w:b/>
          <w:bCs/>
          <w:color w:val="0B1C2C"/>
          <w:sz w:val="32"/>
          <w:szCs w:val="32"/>
        </w:rPr>
        <w:t xml:space="preserve">6. Methodology and Scope</w:t>
      </w:r>
      <w:bookmarkEnd w:id="100026"/>
    </w:p>
    <w:p>
      <w:pPr>
        <w:spacing w:after="120" w:line="312"/>
        <w:ind w:firstLine="360"/>
        <w:jc w:val="both"/>
      </w:pPr>
      <w:r>
        <w:rPr>
          <w:rFonts w:ascii="Times New Roman" w:eastAsia="SimSun"/>
          <w:color w:val="000000"/>
          <w:sz w:val="24"/>
          <w:szCs w:val="24"/>
        </w:rPr>
        <w:t xml:space="preserve">This report follows the analysis report template: background, scope and method, findings, diagnosis, and recommendations. The method combined three research activities. First, a structured review of authoritative sources on SDLC, software architecture, security standards, and market sizing was conducted, prioritizing primary sources such as the OWASP Foundation, the World Wide Web Consortium (W3C) Web Accessibility Initiative, the United States Department of Justice, Amazon Web Services database engineering publications, and established market-research firms including Grand View Research and Fortune Business Insights. Second, industry practitioner sources including technology vendors, engineering blogs, and peer-reviewed publications were reviewed to capture the current state of practice in 2025 to 2026. Third, the findings were synthesized against a consistent analytical framework applied to each system category.</w:t>
      </w:r>
    </w:p>
    <w:p>
      <w:pPr>
        <w:spacing w:after="120" w:line="312"/>
        <w:ind w:firstLine="360"/>
        <w:jc w:val="both"/>
      </w:pPr>
      <w:r>
        <w:rPr>
          <w:rFonts w:ascii="Times New Roman" w:eastAsia="SimSun"/>
          <w:color w:val="000000"/>
          <w:sz w:val="24"/>
          <w:szCs w:val="24"/>
        </w:rPr>
        <w:t xml:space="preserve">The analytical framework comprises ten dimensions, applied uniformly to each of the eight system categories examined in Part II. The dimensions are: overview and market context, which establishes the category and its commercial significance; planning from scratch, which specifies the problem, the ideal customer profile, the requirements, and the regulatory regime; SDLC application, which shows how the six phases manifest for the system; foundation and reference architecture, which specifies the structural pattern and the technology stack; data model, which specifies the core entities, attributes, and relationships; how it works, which documents the end-to-end process flows; security and compliance controls, which specifies the OWASP-aligned controls and the regulatory obligations; UI/UX and accessibility, which specifies the design system and the WCAG considerations; building process and implementation roadmap, which specifies the phases of the build; and business viability, which specifies the buyer, the monetization, and the competitive landscape. By holding the framework constant across categories, the report enables like-for-like comparison rather than narrative drift.</w:t>
      </w:r>
    </w:p>
    <w:p>
      <w:pPr>
        <w:spacing w:after="120" w:line="312"/>
        <w:ind w:firstLine="360"/>
        <w:jc w:val="both"/>
      </w:pPr>
      <w:r>
        <w:rPr>
          <w:rFonts w:ascii="Times New Roman" w:eastAsia="SimSun"/>
          <w:color w:val="000000"/>
          <w:sz w:val="24"/>
          <w:szCs w:val="24"/>
        </w:rPr>
        <w:t xml:space="preserve">The scope of the report is deliberately bounded. It addresses web-delivered, full-stack software systems intended for sale to or deployment within businesses. It does not address embedded firmware, mobile-native applications in isolation, desktop productivity software, or games. It does not provide legal advice; references to regulations such as the GDPR or the ADA are descriptive of compliance obligations, not legal opinions. It does not provide financial projections for any specific venture; market sizing figures are cited from published sources and are indicative of opportunity scale rather than forecasts for a particular product. The data models and process flows specified for each system are sufficient to anchor a real build but are not exhaustive schemas or complete sequence diagrams; a team building a specific system should expect to elaborate the model with the attributes and constraints specific to its domain. The scope boundary exists so that the findings are tractable and the recommendations are actionable; readers seeking to apply the framework to adjacent domains should expect to adapt the specific findings while preserving the structure.</w:t>
      </w:r>
    </w:p>
    <w:p>
      <w:pPr>
        <w:keepNext/>
        <w:spacing w:after="100" w:before="200" w:line="312"/>
        <w:jc w:val="left"/>
      </w:pPr>
      <w:r>
        <w:rPr>
          <w:rFonts w:ascii="Arial" w:eastAsia="SimHei"/>
          <w:b/>
          <w:bCs/>
          <w:color w:val="0B1C2C"/>
          <w:sz w:val="22"/>
          <w:szCs w:val="22"/>
        </w:rPr>
        <w:t xml:space="preserve">Table 1: The Eight System Categories and Their Primary Characteristics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tblGrid>
      <w:tr>
        <w:trPr>
          <w:cantSplit/>
          <w:tblHeader/>
        </w:trPr>
        <w:tc>
          <w:tcPr>
            <w:tcW w:type="pct" w:w="2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 Category</w:t>
            </w:r>
          </w:p>
        </w:tc>
        <w:tc>
          <w:tcPr>
            <w:tcW w:type="pct" w:w="2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Primary Buyer</w:t>
            </w:r>
          </w:p>
        </w:tc>
        <w:tc>
          <w:tcPr>
            <w:tcW w:type="pct" w:w="2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Core Data Entity</w:t>
            </w:r>
          </w:p>
        </w:tc>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Representative Monetization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 Platform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Business of any size, by subscription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Tenant, User, Subscription</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Tiered monthly/annual subscription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E-Commerce and Marketplace</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Merchant or marketplace operator</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Product, Order, OrderItem, Payment</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Transaction fee plus subscription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CRM Platform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Sales-led organization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Lead, Contact, Account, Opportunity</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Per-seat subscription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ERP System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Mid-to-large enterprise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GeneralLedger, Item, Employee, Order</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Module license plus implementation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Real-Time Analytics Dashboard</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Operations and product teams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Event, Metric, Dashboard, Alert</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Per-seat plus usage tier</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AI-Powered Application</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Customer-facing business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Conversation, Message, Document, Embedding</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Subscription plus per-interaction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Booking and Scheduling SaaS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Service business, healthcare, education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Provider, Service, Slot, Booking</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Per-seat plus booking fee</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Learning Management System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Enterprise L&amp;D, educational institution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Course, Lesson, Enrollment, Attempt</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Per-learner license</w:t>
            </w:r>
          </w:p>
        </w:tc>
      </w:tr>
    </w:tbl>
    <w:p>
      <w:pPr>
        <w:spacing w:after="200" w:before="80" w:line="312"/>
        <w:jc w:val="center"/>
      </w:pPr>
      <w:r>
        <w:rPr>
          <w:rFonts w:ascii="Times New Roman" w:eastAsia="SimSun"/>
          <w:i/>
          <w:iCs/>
          <w:color w:val="606060"/>
          <w:sz w:val="20"/>
          <w:szCs w:val="20"/>
        </w:rPr>
        <w:t xml:space="preserve">Table 1: The eight commercially validated full-stack system categories examined in this report, with their primary buyer, core data entity, and representative monetization model.</w:t>
      </w:r>
    </w:p>
    <w:p>
      <w:pPr>
        <w:pStyle w:val="Heading1"/>
        <w:spacing w:after="160" w:before="360" w:line="312"/>
      </w:pPr>
      <w:bookmarkStart w:id="100027" w:name="_Toc100027"/>
      <w:r>
        <w:rPr>
          <w:rFonts w:ascii="Arial" w:eastAsia="SimHei"/>
          <w:b/>
          <w:bCs/>
          <w:color w:val="0B1C2C"/>
          <w:sz w:val="32"/>
          <w:szCs w:val="32"/>
        </w:rPr>
        <w:t xml:space="preserve">7. System 1: Multi-Tenant SaaS Platform</w:t>
      </w:r>
      <w:bookmarkEnd w:id="100027"/>
    </w:p>
    <w:p>
      <w:pPr>
        <w:pStyle w:val="Heading2"/>
        <w:spacing w:after="120" w:before="280" w:line="312"/>
      </w:pPr>
      <w:bookmarkStart w:id="100028" w:name="_Toc100028"/>
      <w:r>
        <w:rPr>
          <w:rFonts w:ascii="Arial" w:eastAsia="SimHei"/>
          <w:b/>
          <w:bCs/>
          <w:color w:val="0B1C2C"/>
          <w:sz w:val="28"/>
          <w:szCs w:val="28"/>
        </w:rPr>
        <w:t xml:space="preserve">7.1 Overview and Market Context</w:t>
      </w:r>
      <w:bookmarkEnd w:id="100028"/>
    </w:p>
    <w:p>
      <w:pPr>
        <w:spacing w:after="120" w:line="312"/>
        <w:ind w:firstLine="360"/>
        <w:jc w:val="both"/>
      </w:pPr>
      <w:r>
        <w:rPr>
          <w:rFonts w:ascii="Times New Roman" w:eastAsia="SimSun"/>
          <w:color w:val="000000"/>
          <w:sz w:val="24"/>
          <w:szCs w:val="24"/>
        </w:rPr>
        <w:t xml:space="preserve">A multi-tenant SaaS platform is a single deployed instance of software that serves multiple customer organizations, with logical isolation of each tenant's data and configuration but shared underlying infrastructure. This pattern is the foundation of the modern software business because it allows a vendor to serve thousands of customers from a single codebase and a single operations team, achieving economic efficiency that single-tenant deployment cannot match. The multi-tenant pattern is not a single product; it is a category that subsumes many of the other systems in this report, which is why it is treated first and treated in the greatest depth. The global Software-as-a-Service market was valued at approximately 464.7 billion U.S. dollars in 2025 and is projected to exceed 1.1 trillion dollars by 2033, which establishes the commercial significance of the pattern and the size of the opportunity for a builder who executes it well.</w:t>
      </w:r>
    </w:p>
    <w:p>
      <w:pPr>
        <w:pStyle w:val="Heading2"/>
        <w:spacing w:after="120" w:before="280" w:line="312"/>
      </w:pPr>
      <w:bookmarkStart w:id="100029" w:name="_Toc100029"/>
      <w:r>
        <w:rPr>
          <w:rFonts w:ascii="Arial" w:eastAsia="SimHei"/>
          <w:b/>
          <w:bCs/>
          <w:color w:val="0B1C2C"/>
          <w:sz w:val="28"/>
          <w:szCs w:val="28"/>
        </w:rPr>
        <w:t xml:space="preserve">7.2 Planning from Scratch</w:t>
      </w:r>
      <w:bookmarkEnd w:id="100029"/>
    </w:p>
    <w:p>
      <w:pPr>
        <w:spacing w:after="120" w:line="312"/>
        <w:ind w:firstLine="360"/>
        <w:jc w:val="both"/>
      </w:pPr>
      <w:r>
        <w:rPr>
          <w:rFonts w:ascii="Times New Roman" w:eastAsia="SimSun"/>
          <w:color w:val="000000"/>
          <w:sz w:val="24"/>
          <w:szCs w:val="24"/>
        </w:rPr>
        <w:t xml:space="preserve">The planning phase for a multi-tenant SaaS platform begins with a problem statement that names a specific buyer and a specific workflow that the platform will improve. The problem statement must be narrow enough that a small team can build a credible solution within twelve to eighteen months, and it must be measurable, meaning that the team can define what success looks like in terms of a target number of tenants, a target monthly recurring revenue, and a target retention rate. A problem statement such as 'build a project management tool' is too broad; a problem statement such as 'reduce the time residential construction firms spend producing daily site reports from forty minutes to ten' is narrow, measurable, and addressed to a defined buyer.</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The ideal customer for a new multi-tenant SaaS platform is a small to mid-sized business in a specific vertical that currently solves the target workflow with a combination of spreadsheets, email, and generic tools, and that experiences measurable cost from the inefficiency. The customer must have budget to pay for a solution, must be reachable through a defined sales channel, and must be willing to serve as a design partner during the build. The initial ideal customer profile should be narrow: a single industry, a single geography, and a single company size range. Expansion to adjacent profiles is a later-phase activity.</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The platform must provide tenant provisioning and lifecycle management, authentication with single sign-on options for enterprise tiers, role-based authorization with auditable permission changes, tenant-scoped data isolation enforced at the data layer, configuration management that allows per-tenant feature flags and branding, billing integration with usage metering and proration, and an administrative console for the vendor's own customer success and support teams. A system that lacks any of these is incomplete as a commercial product, regardless of how strong its core feature set may be.</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platform must support at least 1,000 concurrent users per tenant at p95 latency below 300 milliseconds for read operations and below 800 milliseconds for write operations, availability of 99.9 percent measured monthly, recovery time objective of 4 hours and recovery point objective of 15 minutes, and data retention of 7 years for audit records. These targets are representative; a real specification should derive its targets from the needs of the specific tenant profile.</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The platform must comply with the GDPR for any tenant whose users include European residents, must provide a data processing agreement for enterprise procurement, and must support data residency options for tenants whose regulatory obligations require it. For tenants in regulated industries, the platform must support additional controls such as audit logging, single sign-on via the Security Assertion Markup Language (SAML), and role-based access control with segregation of duties.</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explicitly excludes a mobile-native application, an on-premise deployment option, a marketplace of third-party integrations, and a self-service signup flow for individual consumers. These exclusions are documented and accepted by stakeholders, so that scope creep does not consume the build timeline.</w:t>
      </w:r>
    </w:p>
    <w:p>
      <w:pPr>
        <w:pStyle w:val="Heading2"/>
        <w:spacing w:after="120" w:before="280" w:line="312"/>
      </w:pPr>
      <w:bookmarkStart w:id="100030" w:name="_Toc100030"/>
      <w:r>
        <w:rPr>
          <w:rFonts w:ascii="Arial" w:eastAsia="SimHei"/>
          <w:b/>
          <w:bCs/>
          <w:color w:val="0B1C2C"/>
          <w:sz w:val="28"/>
          <w:szCs w:val="28"/>
        </w:rPr>
        <w:t xml:space="preserve">7.3 SDLC Application</w:t>
      </w:r>
      <w:bookmarkEnd w:id="100030"/>
    </w:p>
    <w:p>
      <w:pPr>
        <w:spacing w:after="120" w:line="312"/>
        <w:ind w:firstLine="360"/>
        <w:jc w:val="both"/>
      </w:pPr>
      <w:r>
        <w:rPr>
          <w:rFonts w:ascii="Times New Roman" w:eastAsia="SimSun"/>
          <w:color w:val="000000"/>
          <w:sz w:val="24"/>
          <w:szCs w:val="24"/>
        </w:rPr>
        <w:t xml:space="preserve">The SDLC for a multi-tenant SaaS platform follows the six phases defined in Section 4, with specific artifacts. In planning, the team produces the product specification, the non-functional requirements, and the ideal customer profile described above. In design, the team produces the architecture decision record that documents the choice of shared-schema multi-tenancy with PostgreSQL Row-Level Security, the data model with the tenant_id column on every tenant-scoped table, the OpenAPI contract for the REST API, the security design that specifies the authentication flow and the authorization model, and the UX design system that specifies the component library and the accessibility commitments. In development, the team implements the platform under the engineering practices defined in Section 4.3, with particular attention to the tenant-context middleware that sets the current tenant for every request. In testing, the team verifies tenant isolation through automated tests that attempt cross-tenant access and that must fail. In deployment, the team establishes the production environment, the observability stack, and the incident response process. In maintenance, the team operates the platform and evolves it in response to tenant feedback and to changes in the regulatory landscape.</w:t>
      </w:r>
    </w:p>
    <w:p>
      <w:pPr>
        <w:pStyle w:val="Heading2"/>
        <w:spacing w:after="120" w:before="280" w:line="312"/>
      </w:pPr>
      <w:bookmarkStart w:id="100031" w:name="_Toc100031"/>
      <w:r>
        <w:rPr>
          <w:rFonts w:ascii="Arial" w:eastAsia="SimHei"/>
          <w:b/>
          <w:bCs/>
          <w:color w:val="0B1C2C"/>
          <w:sz w:val="28"/>
          <w:szCs w:val="28"/>
        </w:rPr>
        <w:t xml:space="preserve">7.4 Foundation and Reference Architecture</w:t>
      </w:r>
      <w:bookmarkEnd w:id="100031"/>
    </w:p>
    <w:p>
      <w:pPr>
        <w:spacing w:after="120" w:line="312"/>
        <w:ind w:firstLine="360"/>
        <w:jc w:val="both"/>
      </w:pPr>
      <w:r>
        <w:rPr>
          <w:rFonts w:ascii="Times New Roman" w:eastAsia="SimSun"/>
          <w:color w:val="000000"/>
          <w:sz w:val="24"/>
          <w:szCs w:val="24"/>
        </w:rPr>
        <w:t xml:space="preserve">The reference architecture for a modern multi-tenant SaaS platform in 2026 comprises a frontend built with Next.js, which provides server-side rendering, route-level code splitting, and integrated API routes, paired with a backend exposing a versioned REST API. The data tier is PostgreSQL for transactional data, chosen for its maturity, its support for row-level security which simplifies tenant isolation, and its rich ecosystem. Redis is added for session storage, rate-limit counters, and hot-path caching. Object storage such as Amazon S3 holds file uploads and static assets. Background processing is handled by a queue and worker tier, frequently using a managed service such as Amazon SQS or a self-hosted Redis-based queue to avoid operating message infrastructure directly. This stack is well documented across practitioner sources and is the consensus choice for new SaaS products in the 2025 to 2026 timeframe. Figure 2 presents the layered architecture that serves as the reference for the multi-tenant SaaS platform and, with system-specific adaptations, for the other systems examined in Part II.</w:t>
      </w:r>
    </w:p>
    <w:p>
      <w:pPr>
        <w:spacing w:after="80" w:before="16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52725"/>
                    </a:xfrm>
                    <a:prstGeom prst="rect">
                      <a:avLst/>
                    </a:prstGeom>
                  </pic:spPr>
                </pic:pic>
              </a:graphicData>
            </a:graphic>
          </wp:inline>
        </w:drawing>
      </w:r>
    </w:p>
    <w:p>
      <w:pPr>
        <w:spacing w:after="200" w:before="40" w:line="300"/>
        <w:jc w:val="center"/>
      </w:pPr>
      <w:r>
        <w:rPr>
          <w:rFonts w:ascii="Times New Roman" w:eastAsia="SimSun"/>
          <w:i/>
          <w:iCs/>
          <w:color w:val="606060"/>
          <w:sz w:val="20"/>
          <w:szCs w:val="20"/>
        </w:rPr>
        <w:t xml:space="preserve">Figure 2: Reference architecture for a multi-tenant SaaS platform, showing the four-layer separation of concerns (presentation, application, data, infrastructure) with tenant isolation enforced at the data layer through PostgreSQL Row-Level Security.</w:t>
      </w:r>
    </w:p>
    <w:p>
      <w:pPr>
        <w:spacing w:after="120" w:line="312"/>
        <w:ind w:firstLine="360"/>
        <w:jc w:val="both"/>
      </w:pPr>
      <w:r>
        <w:rPr>
          <w:rFonts w:ascii="Times New Roman" w:eastAsia="SimSun"/>
          <w:color w:val="000000"/>
          <w:sz w:val="24"/>
          <w:szCs w:val="24"/>
        </w:rPr>
        <w:t xml:space="preserve">The multi-tenancy model is the most consequential architectural decision. The three common models are database-per-tenant, schema-per-tenant, and shared-schema with row-level security. Database-per-tenant provides the strongest isolation but the highest operational cost at scale; schema-per-tenant provides a middle ground; shared-schema with row-level security provides the lowest operational cost and is the recommended starting point for most new platforms. PostgreSQL Row-Level Security operates at the database level, meaning that even if the application code omits a WHERE clause, the database itself filters results to the current tenant. The tenant context is set at the start of each database transaction, and every tenant-scoped table has a tenant_id column and a row-level security policy that restricts access to the current tenant. Amazon Web Services, in its database engineering publications, identifies row-level security as the strongest defense available for shared-schema multi-tenancy and notes that it allows the operational cost savings of a shared model without compromising isolation.</w:t>
      </w:r>
    </w:p>
    <w:p>
      <w:pPr>
        <w:pStyle w:val="Heading2"/>
        <w:spacing w:after="120" w:before="280" w:line="312"/>
      </w:pPr>
      <w:bookmarkStart w:id="100032" w:name="_Toc100032"/>
      <w:r>
        <w:rPr>
          <w:rFonts w:ascii="Arial" w:eastAsia="SimHei"/>
          <w:b/>
          <w:bCs/>
          <w:color w:val="0B1C2C"/>
          <w:sz w:val="28"/>
          <w:szCs w:val="28"/>
        </w:rPr>
        <w:t xml:space="preserve">7.5 Data Model</w:t>
      </w:r>
      <w:bookmarkEnd w:id="100032"/>
    </w:p>
    <w:p>
      <w:pPr>
        <w:spacing w:after="120" w:line="312"/>
        <w:ind w:firstLine="360"/>
        <w:jc w:val="both"/>
      </w:pPr>
      <w:r>
        <w:rPr>
          <w:rFonts w:ascii="Times New Roman" w:eastAsia="SimSun"/>
          <w:color w:val="000000"/>
          <w:sz w:val="24"/>
          <w:szCs w:val="24"/>
        </w:rPr>
        <w:t xml:space="preserve">The core data model for a multi-tenant SaaS platform centers on the entities that every SaaS product must manage regardless of its specific feature set. These entities are the foundation on which the domain-specific entities of the particular product are built.</w:t>
      </w:r>
    </w:p>
    <w:p>
      <w:pPr>
        <w:keepNext/>
        <w:spacing w:after="100" w:before="200" w:line="312"/>
        <w:jc w:val="left"/>
      </w:pPr>
      <w:r>
        <w:rPr>
          <w:rFonts w:ascii="Arial" w:eastAsia="SimHei"/>
          <w:b/>
          <w:bCs/>
          <w:color w:val="0B1C2C"/>
          <w:sz w:val="22"/>
          <w:szCs w:val="22"/>
        </w:rPr>
        <w:t xml:space="preserve">Table 2: Core Entities of a Multi-Tenant SaaS Platform</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Tenant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plan, status, created_at, settings (JSONB - JavaScript Object Notation)</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Users, Subscriptions, AuditEvents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User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email, name, role, status, last_login_at</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 has many Sessions, AuditEvents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Role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name, permissions (JSONB)</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 has many Users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Session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user_id, token_hash, expires_at, ip_address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User</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Subscription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plan_id, status, current_period_end</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 Plan</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Plan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price_cents, interval, features (JSONB)</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Subscriptions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Invoice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subscription_id, amount, status, due_date</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 Subscription</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AuditEvent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user_id, action, entity_type, entity_id, metadata, created_at</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 User</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FeatureFlag</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key, enabled, config (JSONB)</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Integration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provider, credentials_encrypted, status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Tenant</w:t>
            </w:r>
          </w:p>
        </w:tc>
      </w:tr>
    </w:tbl>
    <w:p>
      <w:pPr>
        <w:spacing w:after="200" w:before="80" w:line="312"/>
        <w:jc w:val="center"/>
      </w:pPr>
      <w:r>
        <w:rPr>
          <w:rFonts w:ascii="Times New Roman" w:eastAsia="SimSun"/>
          <w:i/>
          <w:iCs/>
          <w:color w:val="606060"/>
          <w:sz w:val="20"/>
          <w:szCs w:val="20"/>
        </w:rPr>
        <w:t xml:space="preserve">Table 2: The core data entities of a multi-tenant SaaS platform. Every tenant-scoped table carries a tenant_id column, and row-level security policies restrict access to the current tenant.</w:t>
      </w:r>
    </w:p>
    <w:p>
      <w:pPr>
        <w:spacing w:after="120" w:line="312"/>
        <w:ind w:firstLine="360"/>
        <w:jc w:val="both"/>
      </w:pPr>
      <w:r>
        <w:rPr>
          <w:rFonts w:ascii="Times New Roman" w:eastAsia="SimSun"/>
          <w:color w:val="000000"/>
          <w:sz w:val="24"/>
          <w:szCs w:val="24"/>
        </w:rPr>
        <w:t xml:space="preserve">The tenant_id column on every tenant-scoped table is the structural mechanism of isolation. The row-level security policy on each table, of the form 'USING (tenant_id = current_setting("app.current_tenant_id")::uuid)', enforces isolation at the database level. The audit event table is append-only and is never deleted, which provides the audit trail that enterprise procurement requires. The feature flag table allows per-tenant configuration without code changes, which supports the gradual rollout of new features. The integration table stores encrypted credentials for third-party services, and the encryption key must be managed through a secrets manager rather than stored in the database.</w:t>
      </w:r>
    </w:p>
    <w:p>
      <w:pPr>
        <w:pStyle w:val="Heading2"/>
        <w:spacing w:after="120" w:before="280" w:line="312"/>
      </w:pPr>
      <w:bookmarkStart w:id="100033" w:name="_Toc100033"/>
      <w:r>
        <w:rPr>
          <w:rFonts w:ascii="Arial" w:eastAsia="SimHei"/>
          <w:b/>
          <w:bCs/>
          <w:color w:val="0B1C2C"/>
          <w:sz w:val="28"/>
          <w:szCs w:val="28"/>
        </w:rPr>
        <w:t xml:space="preserve">7.6 How It Works: End-to-End Processes</w:t>
      </w:r>
      <w:bookmarkEnd w:id="100033"/>
    </w:p>
    <w:p>
      <w:pPr>
        <w:spacing w:after="120" w:line="312"/>
        <w:ind w:firstLine="360"/>
        <w:jc w:val="both"/>
      </w:pPr>
      <w:r>
        <w:rPr>
          <w:rFonts w:ascii="Times New Roman" w:eastAsia="SimSun"/>
          <w:color w:val="000000"/>
          <w:sz w:val="24"/>
          <w:szCs w:val="24"/>
        </w:rPr>
        <w:t xml:space="preserve">The primary process flows of a multi-tenant SaaS platform define how the system behaves in response to the events that occur during its operation. Four flows are foundational: tenant provisioning, user authentication, the request lifecycle with tenant context, and subscription billing.</w:t>
      </w:r>
    </w:p>
    <w:p>
      <w:pPr>
        <w:spacing w:after="120" w:line="312"/>
        <w:ind w:firstLine="360"/>
        <w:jc w:val="both"/>
      </w:pPr>
      <w:r>
        <w:rPr>
          <w:rFonts w:ascii="Times New Roman" w:eastAsia="SimSun"/>
          <w:b/>
          <w:bCs/>
          <w:color w:val="000000"/>
          <w:sz w:val="24"/>
          <w:szCs w:val="24"/>
        </w:rPr>
        <w:t xml:space="preserve">Tenant Provisioning Flow:</w:t>
      </w:r>
      <w:r>
        <w:rPr>
          <w:rFonts w:ascii="Times New Roman" w:eastAsia="SimSun"/>
          <w:color w:val="000000"/>
          <w:sz w:val="24"/>
          <w:szCs w:val="24"/>
        </w:rPr>
        <w:t xml:space="preserve"> A new tenant is created when a customer signs up or when a vendor creates a tenant on the customer's behalf. The provisioning process creates a Tenant record, assigns a default Plan, creates an initial administrative User, provisions the tenant's data space, and emits a tenant.created event that downstream services consume to send a welcome email, to configure default feature flags, and to schedule onboarding outreach. The process is transactional: either all steps succeed or none do, so that a partial provisioning does not leave the system in an inconsistent state.</w:t>
      </w:r>
    </w:p>
    <w:p>
      <w:pPr>
        <w:spacing w:after="120" w:line="312"/>
        <w:ind w:firstLine="360"/>
        <w:jc w:val="both"/>
      </w:pPr>
      <w:r>
        <w:rPr>
          <w:rFonts w:ascii="Times New Roman" w:eastAsia="SimSun"/>
          <w:b/>
          <w:bCs/>
          <w:color w:val="000000"/>
          <w:sz w:val="24"/>
          <w:szCs w:val="24"/>
        </w:rPr>
        <w:t xml:space="preserve">Authentication Flow:</w:t>
      </w:r>
      <w:r>
        <w:rPr>
          <w:rFonts w:ascii="Times New Roman" w:eastAsia="SimSun"/>
          <w:color w:val="000000"/>
          <w:sz w:val="24"/>
          <w:szCs w:val="24"/>
        </w:rPr>
        <w:t xml:space="preserve"> A user submits credentials, the system validates them against the stored password hash, and on success creates a Session record and returns a session token. The session token is a random, opaque value; it is not a JSON Web Token containing user data, because opaque tokens can be revoked instantly by deleting the session record, whereas JSON Web Tokens cannot be revoked before their expiry. For enterprise tiers, the authentication flow additionally supports SAML-based single sign-on, in which the platform trusts an identity provider selected by the tenant and creates or updates the user record on each sign-on.</w:t>
      </w:r>
    </w:p>
    <w:p>
      <w:pPr>
        <w:spacing w:after="120" w:line="312"/>
        <w:ind w:firstLine="360"/>
        <w:jc w:val="both"/>
      </w:pPr>
      <w:r>
        <w:rPr>
          <w:rFonts w:ascii="Times New Roman" w:eastAsia="SimSun"/>
          <w:b/>
          <w:bCs/>
          <w:color w:val="000000"/>
          <w:sz w:val="24"/>
          <w:szCs w:val="24"/>
        </w:rPr>
        <w:t xml:space="preserve">Request Lifecycle with Tenant Context:</w:t>
      </w:r>
      <w:r>
        <w:rPr>
          <w:rFonts w:ascii="Times New Roman" w:eastAsia="SimSun"/>
          <w:color w:val="000000"/>
          <w:sz w:val="24"/>
          <w:szCs w:val="24"/>
        </w:rPr>
        <w:t xml:space="preserve"> Every API request includes a session token. The middleware validates the token, loads the session and the associated user, determines the tenant from the user's tenant_id, and sets the current tenant in the database connection by executing 'SET LOCAL app.current_tenant_id = [tenant_id]' at the start of the transaction. Every subsequent query within that transaction is automatically filtered to the current tenant by the row-level security policies. This design means that a bug in the application code that omits a tenant filter in a WHERE clause cannot leak data across tenants, because the database enforces the filter regardless of the query.</w:t>
      </w:r>
    </w:p>
    <w:p>
      <w:pPr>
        <w:spacing w:after="120" w:line="312"/>
        <w:ind w:firstLine="360"/>
        <w:jc w:val="both"/>
      </w:pPr>
      <w:r>
        <w:rPr>
          <w:rFonts w:ascii="Times New Roman" w:eastAsia="SimSun"/>
          <w:b/>
          <w:bCs/>
          <w:color w:val="000000"/>
          <w:sz w:val="24"/>
          <w:szCs w:val="24"/>
        </w:rPr>
        <w:t xml:space="preserve">Subscription Billing Flow:</w:t>
      </w:r>
      <w:r>
        <w:rPr>
          <w:rFonts w:ascii="Times New Roman" w:eastAsia="SimSun"/>
          <w:color w:val="000000"/>
          <w:sz w:val="24"/>
          <w:szCs w:val="24"/>
        </w:rPr>
        <w:t xml:space="preserve"> The billing system integrates with a payment processor such as Stripe. When a subscription is created or renewed, the platform creates an Invoice record, charges the payment method through the processor, and on success updates the Subscription's current_period_end. When a charge fails, the platform enters a dunning flow that retries the charge according to a configured schedule and, if all retries fail, downgrades the tenant to a free plan or suspends access. The billing flow is idempotent: a duplicate webhook from the payment processor does not create a duplicate invoice, because each external event carries a unique identifier that the platform uses to deduplicate.</w:t>
      </w:r>
    </w:p>
    <w:p>
      <w:pPr>
        <w:pStyle w:val="Heading2"/>
        <w:spacing w:after="120" w:before="280" w:line="312"/>
      </w:pPr>
      <w:bookmarkStart w:id="100034" w:name="_Toc100034"/>
      <w:r>
        <w:rPr>
          <w:rFonts w:ascii="Arial" w:eastAsia="SimHei"/>
          <w:b/>
          <w:bCs/>
          <w:color w:val="0B1C2C"/>
          <w:sz w:val="28"/>
          <w:szCs w:val="28"/>
        </w:rPr>
        <w:t xml:space="preserve">7.7 Security and Compliance Controls</w:t>
      </w:r>
      <w:bookmarkEnd w:id="100034"/>
    </w:p>
    <w:p>
      <w:pPr>
        <w:spacing w:after="120" w:line="312"/>
        <w:ind w:firstLine="360"/>
        <w:jc w:val="both"/>
      </w:pPr>
      <w:r>
        <w:rPr>
          <w:rFonts w:ascii="Times New Roman" w:eastAsia="SimSun"/>
          <w:color w:val="000000"/>
          <w:sz w:val="24"/>
          <w:szCs w:val="24"/>
        </w:rPr>
        <w:t xml:space="preserve">The security controls for a multi-tenant SaaS platform address each category of the OWASP Top Ten. Broken access control is mitigated by the row-level security policy at the database level and by the role-based authorization in the application. Cryptographic failures are mitigated by the use of bcrypt or argon2 for password hashing, by the use of TLS for all transport, and by the encryption of integration credentials at rest using a key from a secrets manager. Injection is mitigated by the use of parameterized queries throughout, which the database driver enforces when prepared statements are used. Insecure design is mitigated by the threat modeling that occurs in the design phase for each new feature. Security misconfiguration is mitigated by infrastructure as code, which ensures that the production configuration is version-controlled and reviewed. Vulnerable and outdated components are mitigated by automated dependency scanning in the continuous integration pipeline. Identification and authentication failures are mitigated by the session design described above and by rate limiting on authentication endpoints. For enterprise procurement, the platform must additionally support a SOC 2 Type II attestation, which is typically achievable within twelve to eighteen months of commercial operation and which requires documented controls across security, availability, processing integrity, confidentiality, and privacy.</w:t>
      </w:r>
    </w:p>
    <w:p>
      <w:pPr>
        <w:pStyle w:val="Heading2"/>
        <w:spacing w:after="120" w:before="280" w:line="312"/>
      </w:pPr>
      <w:bookmarkStart w:id="100035" w:name="_Toc100035"/>
      <w:r>
        <w:rPr>
          <w:rFonts w:ascii="Arial" w:eastAsia="SimHei"/>
          <w:b/>
          <w:bCs/>
          <w:color w:val="0B1C2C"/>
          <w:sz w:val="28"/>
          <w:szCs w:val="28"/>
        </w:rPr>
        <w:t xml:space="preserve">7.8 UI/UX and Accessibility</w:t>
      </w:r>
      <w:bookmarkEnd w:id="100035"/>
    </w:p>
    <w:p>
      <w:pPr>
        <w:spacing w:after="120" w:line="312"/>
        <w:ind w:firstLine="360"/>
        <w:jc w:val="both"/>
      </w:pPr>
      <w:r>
        <w:rPr>
          <w:rFonts w:ascii="Times New Roman" w:eastAsia="SimSun"/>
          <w:color w:val="000000"/>
          <w:sz w:val="24"/>
          <w:szCs w:val="24"/>
        </w:rPr>
        <w:t xml:space="preserve">The user experience of a multi-tenant SaaS platform must conform to WCAG 2.2 level AA, which is the de facto procurement baseline. The design system is built on a component library that provides accessible primitives: form fields with associated labels, buttons with discernible text, dialogs with focus management, and data tables with proper header markup. The use of Radix UI primitives, which implement the WAI-ARIA patterns, combined with Tailwind CSS for styling, is the consensus choice in 2025 to 2026 because it provides accessibility, consistency, and development velocity. The platform must support responsive layouts from mobile to desktop, consistent interaction patterns, empty states and error states, and keyboard navigation. The accessibility testing regime includes automated scanning with a tool such as axe, manual testing with a screen reader such as NVDA or VoiceOver, and keyboard-only navigation testing of every critical user journey.</w:t>
      </w:r>
    </w:p>
    <w:p>
      <w:pPr>
        <w:pStyle w:val="Heading2"/>
        <w:spacing w:after="120" w:before="280" w:line="312"/>
      </w:pPr>
      <w:bookmarkStart w:id="100036" w:name="_Toc100036"/>
      <w:r>
        <w:rPr>
          <w:rFonts w:ascii="Arial" w:eastAsia="SimHei"/>
          <w:b/>
          <w:bCs/>
          <w:color w:val="0B1C2C"/>
          <w:sz w:val="28"/>
          <w:szCs w:val="28"/>
        </w:rPr>
        <w:t xml:space="preserve">7.9 Building Process and Implementation Roadmap</w:t>
      </w:r>
      <w:bookmarkEnd w:id="100036"/>
    </w:p>
    <w:p>
      <w:pPr>
        <w:spacing w:after="120" w:line="312"/>
        <w:ind w:firstLine="360"/>
        <w:jc w:val="both"/>
      </w:pPr>
      <w:r>
        <w:rPr>
          <w:rFonts w:ascii="Times New Roman" w:eastAsia="SimSun"/>
          <w:color w:val="000000"/>
          <w:sz w:val="24"/>
          <w:szCs w:val="24"/>
        </w:rPr>
        <w:t xml:space="preserve">The implementation roadmap for a multi-tenant SaaS platform spans approximately twelve to eighteen months from the start of development to commercial launch, with continued evolution thereafter. The roadmap is organized into four phases. Phase one, months one through three, establishes the foundation: the tenant provisioning flow, the authentication and session system, the tenant-context middleware, the row-level security policies, and the basic Create, Read, Update, Delete (CRUD) operations for the core entities. Phase two, months four through seven, builds the domain-specific features that define the product's value proposition. Phase three, months eight through eleven, adds the commercial layer: the subscription and billing integration, the feature flag system, and the audit logging. Phase four, months twelve through fifteen, hardens the system for production: the observability stack, the incident response process, the load testing, the penetration testing, and the accessibility audit. Commercial launch occurs at the end of phase four, and the maintenance phase begins immediately thereafter.</w:t>
      </w:r>
    </w:p>
    <w:p>
      <w:pPr>
        <w:pStyle w:val="Heading2"/>
        <w:spacing w:after="120" w:before="280" w:line="312"/>
      </w:pPr>
      <w:bookmarkStart w:id="100037" w:name="_Toc100037"/>
      <w:r>
        <w:rPr>
          <w:rFonts w:ascii="Arial" w:eastAsia="SimHei"/>
          <w:b/>
          <w:bCs/>
          <w:color w:val="0B1C2C"/>
          <w:sz w:val="28"/>
          <w:szCs w:val="28"/>
        </w:rPr>
        <w:t xml:space="preserve">7.10 Business Viability and Sources</w:t>
      </w:r>
      <w:bookmarkEnd w:id="100037"/>
    </w:p>
    <w:p>
      <w:pPr>
        <w:spacing w:after="120" w:line="312"/>
        <w:ind w:firstLine="360"/>
        <w:jc w:val="both"/>
      </w:pPr>
      <w:r>
        <w:rPr>
          <w:rFonts w:ascii="Times New Roman" w:eastAsia="SimSun"/>
          <w:color w:val="000000"/>
          <w:sz w:val="24"/>
          <w:szCs w:val="24"/>
        </w:rPr>
        <w:t xml:space="preserve">Business viability for a multi-tenant SaaS platform is strong. The SaaS market is the largest software category by revenue, and the subscription model produces predictable, compounding revenue when churn is controlled. The primary commercial risk is not market size but customer acquisition cost relative to lifetime value, which is why a focused initial vertical, a clear ideal customer profile, and a sales motion matched to that profile are more decisive of commercial success than any single feature. A team building a multi-tenant SaaS platform should expect to invest twelve to eighteen months before reaching product-market fit and should plan the SDLC and operating model accordingly. The per-seat subscription model produces predictable revenue, and the long customer lifecycle, typically three to five years for a SaaS product that achieves fit, produces durable compounding revenue. Key sources for this section include the Grand View Research SaaS market report, the Amazon Web Services publication on multi-tenant data isolation with PostgreSQL Row-Level Security, the OWASP Top Ten, and the W3C Web Content Accessibility Guidelines.</w:t>
      </w:r>
    </w:p>
    <w:p>
      <w:pPr>
        <w:pStyle w:val="Heading1"/>
        <w:spacing w:after="160" w:before="360" w:line="312"/>
      </w:pPr>
      <w:bookmarkStart w:id="100038" w:name="_Toc100038"/>
      <w:r>
        <w:rPr>
          <w:rFonts w:ascii="Arial" w:eastAsia="SimHei"/>
          <w:b/>
          <w:bCs/>
          <w:color w:val="0B1C2C"/>
          <w:sz w:val="32"/>
          <w:szCs w:val="32"/>
        </w:rPr>
        <w:t xml:space="preserve">8. System 2: E-Commerce and Marketplace</w:t>
      </w:r>
      <w:bookmarkEnd w:id="100038"/>
    </w:p>
    <w:p>
      <w:pPr>
        <w:pStyle w:val="Heading2"/>
        <w:spacing w:after="120" w:before="280" w:line="312"/>
      </w:pPr>
      <w:bookmarkStart w:id="100039" w:name="_Toc100039"/>
      <w:r>
        <w:rPr>
          <w:rFonts w:ascii="Arial" w:eastAsia="SimHei"/>
          <w:b/>
          <w:bCs/>
          <w:color w:val="0B1C2C"/>
          <w:sz w:val="28"/>
          <w:szCs w:val="28"/>
        </w:rPr>
        <w:t xml:space="preserve">8.1 Overview and Market Context</w:t>
      </w:r>
      <w:bookmarkEnd w:id="100039"/>
    </w:p>
    <w:p>
      <w:pPr>
        <w:spacing w:after="120" w:line="312"/>
        <w:ind w:firstLine="360"/>
        <w:jc w:val="both"/>
      </w:pPr>
      <w:r>
        <w:rPr>
          <w:rFonts w:ascii="Times New Roman" w:eastAsia="SimSun"/>
          <w:color w:val="000000"/>
          <w:sz w:val="24"/>
          <w:szCs w:val="24"/>
        </w:rPr>
        <w:t xml:space="preserve">E-commerce systems enable the sale of physical or digital goods online, and marketplace systems extend that pattern to multiple sellers transacting through a shared platform. The distinction is architecturally significant because a marketplace must mediate between buyers and sellers, manage settlement and disbursement, and often enforce quality or trust mechanisms that a single-seller store does not require. Both patterns are commercially proven and both can be built as sellable products, but the marketplace pattern has a higher operational ceiling and a correspondingly higher build complexity. Research published in 2025 demonstrates that microservices architectures for e-commerce outperform monolithic and hybrid systems in scalability, latency, and resource utilization, with event-driven communication and real-time data processing as the dominant pattern at scale.</w:t>
      </w:r>
    </w:p>
    <w:p>
      <w:pPr>
        <w:pStyle w:val="Heading2"/>
        <w:spacing w:after="120" w:before="280" w:line="312"/>
      </w:pPr>
      <w:bookmarkStart w:id="100040" w:name="_Toc100040"/>
      <w:r>
        <w:rPr>
          <w:rFonts w:ascii="Arial" w:eastAsia="SimHei"/>
          <w:b/>
          <w:bCs/>
          <w:color w:val="0B1C2C"/>
          <w:sz w:val="28"/>
          <w:szCs w:val="28"/>
        </w:rPr>
        <w:t xml:space="preserve">8.2 Planning from Scratch</w:t>
      </w:r>
      <w:bookmarkEnd w:id="100040"/>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Reduce the time and cost for a specific category of merchant to launch and operate an online store, with a measurable outcome such as 'reduce time-to-first-sale from thirty days to seven' for a defined merchant profile.</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A merchant in a specific vertical, such as specialty food, musical instruments, or industrial parts, whose product catalog and fulfillment workflow are not well served by generic e-commerce platforms. The customer has between fifty and five thousand products, processes between one hundred and ten thousand orders per month, and requires specific capabilities such as variant management, multi-warehouse inventory, or integration with a vertical-specific supplier.</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A product catalog with variant and inventory management, a shopping cart and checkout flow, payment processing with PCI-DSS compliance, order management with status transitions, shipping integration with carrier APIs, tax calculation that respects jurisdiction rules, customer accounts with order history, and a content management capability for product pages and marketing content. For marketplaces, the scope expands to seller onboarding and verification, commission and payout management, dispute resolution, and reputation and review systems.</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peak traffic of ten times the daily average during flash sales, checkout latency below 500 milliseconds at p95, availability of 99.95 percent measured monthly, and an order processing throughput of at least one hundred orders per second. The checkout flow is the critical path: a failure or a delay at checkout directly converts to lost revenue.</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PCI-DSS for payment data, satisfied by tokenization through a compliant processor such as Stripe or Adyen. GDPR for customer personal data. Consumer protection regulations that vary by jurisdiction, including return and refund policies that must be configurable per market.</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excludes a native mobile application, a point-of-sale integration, a multi-currency settlement layer, and a physical-warehouse management system. The system integrates with existing warehouse and fulfillment systems through a documented API rather than replacing them.</w:t>
      </w:r>
    </w:p>
    <w:p>
      <w:pPr>
        <w:pStyle w:val="Heading2"/>
        <w:spacing w:after="120" w:before="280" w:line="312"/>
      </w:pPr>
      <w:bookmarkStart w:id="100041" w:name="_Toc100041"/>
      <w:r>
        <w:rPr>
          <w:rFonts w:ascii="Arial" w:eastAsia="SimHei"/>
          <w:b/>
          <w:bCs/>
          <w:color w:val="0B1C2C"/>
          <w:sz w:val="28"/>
          <w:szCs w:val="28"/>
        </w:rPr>
        <w:t xml:space="preserve">8.3 SDLC Application</w:t>
      </w:r>
      <w:bookmarkEnd w:id="100041"/>
    </w:p>
    <w:p>
      <w:pPr>
        <w:spacing w:after="120" w:line="312"/>
        <w:ind w:firstLine="360"/>
        <w:jc w:val="both"/>
      </w:pPr>
      <w:r>
        <w:rPr>
          <w:rFonts w:ascii="Times New Roman" w:eastAsia="SimSun"/>
          <w:color w:val="000000"/>
          <w:sz w:val="24"/>
          <w:szCs w:val="24"/>
        </w:rPr>
        <w:t xml:space="preserve">The SDLC for an e-commerce system follows the six phases, with particular emphasis on the design and testing phases because of the financial consequences of defects. In design, the architecture decision record documents the choice between a modular monolith and a microservices architecture, with the recommendation to start with a modular monolith whose modules preserve the boundaries that a future decomposition into services would follow. The data model is specified at the entity level with particular attention to the order state machine, which defines the legal transitions of an order from creation through fulfillment. The API contract specifies the cart, checkout, and order management endpoints. In testing, the regime includes functional testing of the order state machine, security testing of the payment flow through a PCI-DSS-aligned penetration test, performance testing of the checkout under peak load, and accessibility testing of the cart and checkout flows, which are the conversion-critical paths.</w:t>
      </w:r>
    </w:p>
    <w:p>
      <w:pPr>
        <w:pStyle w:val="Heading2"/>
        <w:spacing w:after="120" w:before="280" w:line="312"/>
      </w:pPr>
      <w:bookmarkStart w:id="100042" w:name="_Toc100042"/>
      <w:r>
        <w:rPr>
          <w:rFonts w:ascii="Arial" w:eastAsia="SimHei"/>
          <w:b/>
          <w:bCs/>
          <w:color w:val="0B1C2C"/>
          <w:sz w:val="28"/>
          <w:szCs w:val="28"/>
        </w:rPr>
        <w:t xml:space="preserve">8.4 Foundation and Reference Architecture</w:t>
      </w:r>
      <w:bookmarkEnd w:id="100042"/>
    </w:p>
    <w:p>
      <w:pPr>
        <w:spacing w:after="120" w:line="312"/>
        <w:ind w:firstLine="360"/>
        <w:jc w:val="both"/>
      </w:pPr>
      <w:r>
        <w:rPr>
          <w:rFonts w:ascii="Times New Roman" w:eastAsia="SimSun"/>
          <w:color w:val="000000"/>
          <w:sz w:val="24"/>
          <w:szCs w:val="24"/>
        </w:rPr>
        <w:t xml:space="preserve">The reference architecture for a modern e-commerce system uses a layered approach. The frontend is a Next.js application that provides server-side rendering for product pages, which is critical for search engine optimization, and a fast, client-side checkout flow. The backend is a modular monolith with clearly bounded modules: catalog, cart, checkout, order, inventory, payment, shipping, and tax. Each module exposes an internal API and owns its data, and the modules communicate through in-process events in the monolith and through a message bus if the system is later decomposed into services. The data tier is PostgreSQL for transactional data, with Redis for cart storage and session data. Object storage holds product images and digital goods. A search infrastructure, frequently a managed service such as Algolia or a self-hosted OpenSearch, provides fast product search. Payment is handled through a tokenization service that returns a token to the platform, so that the platform never touches raw card data and the PCI-DSS scope is minimized.</w:t>
      </w:r>
    </w:p>
    <w:p>
      <w:pPr>
        <w:pStyle w:val="Heading2"/>
        <w:spacing w:after="120" w:before="280" w:line="312"/>
      </w:pPr>
      <w:bookmarkStart w:id="100043" w:name="_Toc100043"/>
      <w:r>
        <w:rPr>
          <w:rFonts w:ascii="Arial" w:eastAsia="SimHei"/>
          <w:b/>
          <w:bCs/>
          <w:color w:val="0B1C2C"/>
          <w:sz w:val="28"/>
          <w:szCs w:val="28"/>
        </w:rPr>
        <w:t xml:space="preserve">8.5 Data Model</w:t>
      </w:r>
      <w:bookmarkEnd w:id="100043"/>
    </w:p>
    <w:p>
      <w:pPr>
        <w:spacing w:after="120" w:line="312"/>
        <w:ind w:firstLine="360"/>
        <w:jc w:val="both"/>
      </w:pPr>
      <w:r>
        <w:rPr>
          <w:rFonts w:ascii="Times New Roman" w:eastAsia="SimSun"/>
          <w:color w:val="000000"/>
          <w:sz w:val="24"/>
          <w:szCs w:val="24"/>
        </w:rPr>
        <w:t xml:space="preserve">The e-commerce data model centers on the entities that represent the catalog, the cart, the order, and the fulfillment. Practitioner sources identify five primary entities for a basic e-commerce system: Users, Products, Orders, Order Items, and Payments, with one-to-many relationships from Users to Orders, from Orders to Order Items, and from Products to Order Items, and a one-to-one relationship from Orders to Payments. A production-grade model extends this foundation with variants, inventory, shipping, and tax entities.</w:t>
      </w:r>
    </w:p>
    <w:p>
      <w:pPr>
        <w:keepNext/>
        <w:spacing w:after="100" w:before="200" w:line="312"/>
        <w:jc w:val="left"/>
      </w:pPr>
      <w:r>
        <w:rPr>
          <w:rFonts w:ascii="Arial" w:eastAsia="SimHei"/>
          <w:b/>
          <w:bCs/>
          <w:color w:val="0B1C2C"/>
          <w:sz w:val="22"/>
          <w:szCs w:val="22"/>
        </w:rPr>
        <w:t xml:space="preserve">Table 3: Core Entities of an E-Commerce System</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Product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sku, name, description, status, base_price_cents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ProductVariants, ProductImages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ProductVariant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product_id, sku, attributes (JSONB), price_cents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Product; has many InventoryItems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InventoryItem</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variant_id, warehouse_id, quantity, reserved_quantity</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ProductVariant, Warehouse</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Cart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user_id, session_id, status, created_at</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CartItems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CartItem</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cart_id, variant_id, quantity, unit_price_cents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Cart, ProductVariant</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Order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user_id, status, total_cents, currency, placed_at</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OrderItems; has one Payment, Shipment</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OrderItem</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order_id, variant_id, quantity, unit_price_cents, tax_cents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Order, ProductVariant</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Payment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order_id, processor, processor_token, amount_cents, status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Order</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Shipment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order_id, carrier, tracking_number, status, shipped_at</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Order; has many ShipmentItems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TaxLine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order_id, jurisdiction, rate, amount_cents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Order</w:t>
            </w:r>
          </w:p>
        </w:tc>
      </w:tr>
    </w:tbl>
    <w:p>
      <w:pPr>
        <w:spacing w:after="200" w:before="80" w:line="312"/>
        <w:jc w:val="center"/>
      </w:pPr>
      <w:r>
        <w:rPr>
          <w:rFonts w:ascii="Times New Roman" w:eastAsia="SimSun"/>
          <w:i/>
          <w:iCs/>
          <w:color w:val="606060"/>
          <w:sz w:val="20"/>
          <w:szCs w:val="20"/>
        </w:rPr>
        <w:t xml:space="preserve">Table 3: The core data entities of an e-commerce system. The Order entity carries a status field that implements the order state machine: pending, paid, fulfilling, shipped, delivered, cancelled, refunded.</w:t>
      </w:r>
    </w:p>
    <w:p>
      <w:pPr>
        <w:spacing w:after="120" w:line="312"/>
        <w:ind w:firstLine="360"/>
        <w:jc w:val="both"/>
      </w:pPr>
      <w:r>
        <w:rPr>
          <w:rFonts w:ascii="Times New Roman" w:eastAsia="SimSun"/>
          <w:color w:val="000000"/>
          <w:sz w:val="24"/>
          <w:szCs w:val="24"/>
        </w:rPr>
        <w:t xml:space="preserve">The order state machine is the most consequential piece of the data model. Each status transition is governed by a rule: a pending order can transition to paid or cancelled; a paid order can transition to fulfilling or refunded; a fulfilling order can transition to shipped; a shipped order can transition to delivered. The transition rules are enforced in the application layer and are tested exhaustively, because an illegal transition, such as shipping an order that was never paid, is a defect with direct financial consequence. The reserved_quantity field on InventoryItem supports the reservation of stock at the moment of cart creation, so that two customers attempting to buy the last item do not both succeed.</w:t>
      </w:r>
    </w:p>
    <w:p>
      <w:pPr>
        <w:pStyle w:val="Heading2"/>
        <w:spacing w:after="120" w:before="280" w:line="312"/>
      </w:pPr>
      <w:bookmarkStart w:id="100044" w:name="_Toc100044"/>
      <w:r>
        <w:rPr>
          <w:rFonts w:ascii="Arial" w:eastAsia="SimHei"/>
          <w:b/>
          <w:bCs/>
          <w:color w:val="0B1C2C"/>
          <w:sz w:val="28"/>
          <w:szCs w:val="28"/>
        </w:rPr>
        <w:t xml:space="preserve">8.6 How It Works: End-to-End Processes</w:t>
      </w:r>
      <w:bookmarkEnd w:id="100044"/>
    </w:p>
    <w:p>
      <w:pPr>
        <w:spacing w:after="120" w:line="312"/>
        <w:ind w:firstLine="360"/>
        <w:jc w:val="both"/>
      </w:pPr>
      <w:r>
        <w:rPr>
          <w:rFonts w:ascii="Times New Roman" w:eastAsia="SimSun"/>
          <w:b/>
          <w:bCs/>
          <w:color w:val="000000"/>
          <w:sz w:val="24"/>
          <w:szCs w:val="24"/>
        </w:rPr>
        <w:t xml:space="preserve">Catalog and Search Flow:</w:t>
      </w:r>
      <w:r>
        <w:rPr>
          <w:rFonts w:ascii="Times New Roman" w:eastAsia="SimSun"/>
          <w:color w:val="000000"/>
          <w:sz w:val="24"/>
          <w:szCs w:val="24"/>
        </w:rPr>
        <w:t xml:space="preserve"> A customer searches for a product through the search infrastructure, which returns a ranked list of products. The customer selects a product, the platform loads the product detail page with its variants and availability, and the customer selects a variant and adds it to the cart. The cart is stored in Redis for fast access and is persisted to PostgreSQL for durability. The add-to-cart operation reserves the inventory by incrementing the reserved_quantity on the relevant InventoryItem, with a Time To Live (TTL) that releases the reservation if the customer abandons the cart.</w:t>
      </w:r>
    </w:p>
    <w:p>
      <w:pPr>
        <w:spacing w:after="120" w:line="312"/>
        <w:ind w:firstLine="360"/>
        <w:jc w:val="both"/>
      </w:pPr>
      <w:r>
        <w:rPr>
          <w:rFonts w:ascii="Times New Roman" w:eastAsia="SimSun"/>
          <w:b/>
          <w:bCs/>
          <w:color w:val="000000"/>
          <w:sz w:val="24"/>
          <w:szCs w:val="24"/>
        </w:rPr>
        <w:t xml:space="preserve">Checkout Flow:</w:t>
      </w:r>
      <w:r>
        <w:rPr>
          <w:rFonts w:ascii="Times New Roman" w:eastAsia="SimSun"/>
          <w:color w:val="000000"/>
          <w:sz w:val="24"/>
          <w:szCs w:val="24"/>
        </w:rPr>
        <w:t xml:space="preserve"> The customer proceeds to checkout, enters or selects a shipping address, selects a shipping method, and enters payment information. The payment information is sent directly to the payment processor, which returns a token; the platform stores only the token. The platform computes the tax based on the shipping address and the product tax codes, creates an Order record in pending status, charges the payment method through the token, and on success transitions the order to paid status and decrements the inventory. The checkout flow is idempotent: a duplicate submission does not create a duplicate order, because the cart carries a unique idempotency key that the checkout endpoint uses to deduplicate.</w:t>
      </w:r>
    </w:p>
    <w:p>
      <w:pPr>
        <w:spacing w:after="120" w:line="312"/>
        <w:ind w:firstLine="360"/>
        <w:jc w:val="both"/>
      </w:pPr>
      <w:r>
        <w:rPr>
          <w:rFonts w:ascii="Times New Roman" w:eastAsia="SimSun"/>
          <w:b/>
          <w:bCs/>
          <w:color w:val="000000"/>
          <w:sz w:val="24"/>
          <w:szCs w:val="24"/>
        </w:rPr>
        <w:t xml:space="preserve">Fulfillment Flow:</w:t>
      </w:r>
      <w:r>
        <w:rPr>
          <w:rFonts w:ascii="Times New Roman" w:eastAsia="SimSun"/>
          <w:color w:val="000000"/>
          <w:sz w:val="24"/>
          <w:szCs w:val="24"/>
        </w:rPr>
        <w:t xml:space="preserve"> A paid order is sent to the fulfillment system, which may be an internal warehouse module or an external warehouse management system through an integration. The fulfillment system picks, packs, and ships the order, creates a Shipment record with a tracking number, and transitions the order to shipped status. The customer receives a shipment notification with the tracking number. When the carrier confirms delivery, the order transitions to delivered status. For digital goods, the fulfillment flow grants access to the purchased content rather than shipping a physical item.</w:t>
      </w:r>
    </w:p>
    <w:p>
      <w:pPr>
        <w:spacing w:after="120" w:line="312"/>
        <w:ind w:firstLine="360"/>
        <w:jc w:val="both"/>
      </w:pPr>
      <w:r>
        <w:rPr>
          <w:rFonts w:ascii="Times New Roman" w:eastAsia="SimSun"/>
          <w:b/>
          <w:bCs/>
          <w:color w:val="000000"/>
          <w:sz w:val="24"/>
          <w:szCs w:val="24"/>
        </w:rPr>
        <w:t xml:space="preserve">Returns and Refunds Flow:</w:t>
      </w:r>
      <w:r>
        <w:rPr>
          <w:rFonts w:ascii="Times New Roman" w:eastAsia="SimSun"/>
          <w:color w:val="000000"/>
          <w:sz w:val="24"/>
          <w:szCs w:val="24"/>
        </w:rPr>
        <w:t xml:space="preserve"> A customer requests a return, the platform creates a Return record linked to the original Order, the customer ships the item back, the warehouse confirms receipt, and the platform issues a refund through the payment processor, which creates a refund record linked to the original Payment. The order status transitions to refunded, and the inventory is restocked.</w:t>
      </w:r>
    </w:p>
    <w:p>
      <w:pPr>
        <w:pStyle w:val="Heading2"/>
        <w:spacing w:after="120" w:before="280" w:line="312"/>
      </w:pPr>
      <w:bookmarkStart w:id="100045" w:name="_Toc100045"/>
      <w:r>
        <w:rPr>
          <w:rFonts w:ascii="Arial" w:eastAsia="SimHei"/>
          <w:b/>
          <w:bCs/>
          <w:color w:val="0B1C2C"/>
          <w:sz w:val="28"/>
          <w:szCs w:val="28"/>
        </w:rPr>
        <w:t xml:space="preserve">8.7 Security and Compliance Controls</w:t>
      </w:r>
      <w:bookmarkEnd w:id="100045"/>
    </w:p>
    <w:p>
      <w:pPr>
        <w:spacing w:after="120" w:line="312"/>
        <w:ind w:firstLine="360"/>
        <w:jc w:val="both"/>
      </w:pPr>
      <w:r>
        <w:rPr>
          <w:rFonts w:ascii="Times New Roman" w:eastAsia="SimSun"/>
          <w:color w:val="000000"/>
          <w:sz w:val="24"/>
          <w:szCs w:val="24"/>
        </w:rPr>
        <w:t xml:space="preserve">The security controls for an e-commerce system center on PCI-DSS compliance for payment data, which in practice is satisfied by tokenization through a compliant processor so that the platform never touches raw card data and the PCI-DSS scope is reduced to the Self-Assessment Questionnaire A rather than the more onerous SAQ D. Beyond PCI, e-commerce systems are frequent targets for credential stuffing, in which attackers attempt to log in using credentials leaked from other breaches, and for inventory exhaustion attacks, in which attackers add all available stock to carts to prevent legitimate purchases. The controls include rate limiting on authentication endpoints, bot detection on the checkout flow, CAPTCHA on suspicious attempts, and a fraud-review workflow for orders that match fraud indicators. The OWASP Top Ten controls apply throughout, with particular attention to injection prevention in the search and filter parameters, which are common attack vectors. GDPR and equivalent privacy regulations apply to customer data, and the platform must provide mechanisms for data export and deletion on request, with the deletion respecting the legal retention obligations for financial records.</w:t>
      </w:r>
    </w:p>
    <w:p>
      <w:pPr>
        <w:pStyle w:val="Heading2"/>
        <w:spacing w:after="120" w:before="280" w:line="312"/>
      </w:pPr>
      <w:bookmarkStart w:id="100046" w:name="_Toc100046"/>
      <w:r>
        <w:rPr>
          <w:rFonts w:ascii="Arial" w:eastAsia="SimHei"/>
          <w:b/>
          <w:bCs/>
          <w:color w:val="0B1C2C"/>
          <w:sz w:val="28"/>
          <w:szCs w:val="28"/>
        </w:rPr>
        <w:t xml:space="preserve">8.8 UI/UX and Accessibility</w:t>
      </w:r>
      <w:bookmarkEnd w:id="100046"/>
    </w:p>
    <w:p>
      <w:pPr>
        <w:spacing w:after="120" w:line="312"/>
        <w:ind w:firstLine="360"/>
        <w:jc w:val="both"/>
      </w:pPr>
      <w:r>
        <w:rPr>
          <w:rFonts w:ascii="Times New Roman" w:eastAsia="SimSun"/>
          <w:color w:val="000000"/>
          <w:sz w:val="24"/>
          <w:szCs w:val="24"/>
        </w:rPr>
        <w:t xml:space="preserve">The user experience of an e-commerce system is commercially critical because conversion rate, the proportion of visitors who complete a purchase, is the dominant commercial metric, and accessibility failures directly reduce conversion among users with disabilities and among users on constrained devices or networks. The checkout flow in particular must be streamlined, must support guest checkout, must provide clear error messaging, and must conform to WCAG 2.2 AA. Payment page performance, measured in time to interactive, has a documented relationship to conversion; a delay of even a few hundred milliseconds at the payment step produces measurable revenue loss. The product detail page must provide accessible image galleries, with alt text for product images, and must present variant selection through accessible form controls. The search and filter interface must be operable from the keyboard, and the results must be announced to screen readers as they update.</w:t>
      </w:r>
    </w:p>
    <w:p>
      <w:pPr>
        <w:pStyle w:val="Heading2"/>
        <w:spacing w:after="120" w:before="280" w:line="312"/>
      </w:pPr>
      <w:bookmarkStart w:id="100047" w:name="_Toc100047"/>
      <w:r>
        <w:rPr>
          <w:rFonts w:ascii="Arial" w:eastAsia="SimHei"/>
          <w:b/>
          <w:bCs/>
          <w:color w:val="0B1C2C"/>
          <w:sz w:val="28"/>
          <w:szCs w:val="28"/>
        </w:rPr>
        <w:t xml:space="preserve">8.9 Building Process and Implementation Roadmap</w:t>
      </w:r>
      <w:bookmarkEnd w:id="100047"/>
    </w:p>
    <w:p>
      <w:pPr>
        <w:spacing w:after="120" w:line="312"/>
        <w:ind w:firstLine="360"/>
        <w:jc w:val="both"/>
      </w:pPr>
      <w:r>
        <w:rPr>
          <w:rFonts w:ascii="Times New Roman" w:eastAsia="SimSun"/>
          <w:color w:val="000000"/>
          <w:sz w:val="24"/>
          <w:szCs w:val="24"/>
        </w:rPr>
        <w:t xml:space="preserve">The implementation roadmap for an e-commerce system spans approximately nine to fifteen months. Phase one, months one through three, builds the catalog, the product detail page, and the search integration. Phase two, months four through six, builds the cart, the checkout flow, and the payment integration with tokenization. Phase three, months seven through nine, builds the order management, the fulfillment integration, and the shipping integration. Phase four, months ten through twelve, adds the tax calculation, the returns and refunds flow, and the customer account features. Phase five, months thirteen through fifteen, hardens the system: load testing of the checkout, penetration testing of the payment flow, accessibility audit of the cart and checkout, and the launch. For a marketplace, an additional phase adds the seller onboarding, commission, and payout flows.</w:t>
      </w:r>
    </w:p>
    <w:p>
      <w:pPr>
        <w:pStyle w:val="Heading2"/>
        <w:spacing w:after="120" w:before="280" w:line="312"/>
      </w:pPr>
      <w:bookmarkStart w:id="100048" w:name="_Toc100048"/>
      <w:r>
        <w:rPr>
          <w:rFonts w:ascii="Arial" w:eastAsia="SimHei"/>
          <w:b/>
          <w:bCs/>
          <w:color w:val="0B1C2C"/>
          <w:sz w:val="28"/>
          <w:szCs w:val="28"/>
        </w:rPr>
        <w:t xml:space="preserve">8.10 Business Viability and Sources</w:t>
      </w:r>
      <w:bookmarkEnd w:id="100048"/>
    </w:p>
    <w:p>
      <w:pPr>
        <w:spacing w:after="120" w:line="312"/>
        <w:ind w:firstLine="360"/>
        <w:jc w:val="both"/>
      </w:pPr>
      <w:r>
        <w:rPr>
          <w:rFonts w:ascii="Times New Roman" w:eastAsia="SimSun"/>
          <w:color w:val="000000"/>
          <w:sz w:val="24"/>
          <w:szCs w:val="24"/>
        </w:rPr>
        <w:t xml:space="preserve">Business viability for e-commerce as a product category splits into two paths. Selling an e-commerce platform to merchants is competitive and dominated by Shopify, BigCommerce, and WooCommerce, so a new entrant must differentiate sharply, typically through vertical specialization, superior internationalization, or a specific capability such as headless commerce. Building and operating a marketplace directly, rather than selling the software, is a different proposition and lies outside the scope of this report. For a team building sellable e-commerce software, the vertical-SaaS path, targeting a specific industry such as specialty food, musical instruments, or industrial parts, is the most defensible entry point. The transaction-fee-plus-subscription monetization model aligns vendor revenue with customer success. Key sources include the ResearchGate publication on microservices architecture for e-commerce platforms, the practitioner literature on e-commerce data modeling, the OWASP Top Ten, and the PCI-DSS standard maintained by the PCI Security Standards Council.</w:t>
      </w:r>
    </w:p>
    <w:p>
      <w:pPr>
        <w:pStyle w:val="Heading1"/>
        <w:spacing w:after="160" w:before="360" w:line="312"/>
      </w:pPr>
      <w:bookmarkStart w:id="100049" w:name="_Toc100049"/>
      <w:r>
        <w:rPr>
          <w:rFonts w:ascii="Arial" w:eastAsia="SimHei"/>
          <w:b/>
          <w:bCs/>
          <w:color w:val="0B1C2C"/>
          <w:sz w:val="32"/>
          <w:szCs w:val="32"/>
        </w:rPr>
        <w:t xml:space="preserve">9. System 3: CRM and Customer Engagement Platform</w:t>
      </w:r>
      <w:bookmarkEnd w:id="100049"/>
    </w:p>
    <w:p>
      <w:pPr>
        <w:pStyle w:val="Heading2"/>
        <w:spacing w:after="120" w:before="280" w:line="312"/>
      </w:pPr>
      <w:bookmarkStart w:id="100050" w:name="_Toc100050"/>
      <w:r>
        <w:rPr>
          <w:rFonts w:ascii="Arial" w:eastAsia="SimHei"/>
          <w:b/>
          <w:bCs/>
          <w:color w:val="0B1C2C"/>
          <w:sz w:val="28"/>
          <w:szCs w:val="28"/>
        </w:rPr>
        <w:t xml:space="preserve">9.1 Overview and Market Context</w:t>
      </w:r>
      <w:bookmarkEnd w:id="100050"/>
    </w:p>
    <w:p>
      <w:pPr>
        <w:spacing w:after="120" w:line="312"/>
        <w:ind w:firstLine="360"/>
        <w:jc w:val="both"/>
      </w:pPr>
      <w:r>
        <w:rPr>
          <w:rFonts w:ascii="Times New Roman" w:eastAsia="SimSun"/>
          <w:color w:val="000000"/>
          <w:sz w:val="24"/>
          <w:szCs w:val="24"/>
        </w:rPr>
        <w:t xml:space="preserve">A Customer Relationship Management system is the system of record for an organization's interactions with its customers and prospects, spanning sales, marketing, and service. CRM is one of the most commercially established software categories, and while the market is dominated by large incumbents such as Salesforce, HubSpot, and Microsoft Dynamics, the category remains attractive for focused entrants because the definition of CRM continues to expand, particularly through the integration of AI for lead scoring, conversation summarization, and next-best-action recommendation. The 360-degree customer view, which consolidates contact details, communication history, preferences, and transaction data into a single record, is widely cited as the core feature of enterprise CRM, and its absence is the single clearest signal that a system is not a serious contender in the category.</w:t>
      </w:r>
    </w:p>
    <w:p>
      <w:pPr>
        <w:pStyle w:val="Heading2"/>
        <w:spacing w:after="120" w:before="280" w:line="312"/>
      </w:pPr>
      <w:bookmarkStart w:id="100051" w:name="_Toc100051"/>
      <w:r>
        <w:rPr>
          <w:rFonts w:ascii="Arial" w:eastAsia="SimHei"/>
          <w:b/>
          <w:bCs/>
          <w:color w:val="0B1C2C"/>
          <w:sz w:val="28"/>
          <w:szCs w:val="28"/>
        </w:rPr>
        <w:t xml:space="preserve">9.2 Planning from Scratch</w:t>
      </w:r>
      <w:bookmarkEnd w:id="100051"/>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Reduce the time a specific category of sales team spends on administrative work and increase the conversion rate from lead to closed-won, with a measurable outcome such as 'increase lead-to-opportunity conversion from 15 percent to 25 percent' for a defined sales motion.</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A sales-led organization in a specific vertical, such as business-to-business software, professional services, or financial advisory, with between five and one hundred sales representatives, a defined sales process, and an existing CRM that is perceived as too generic, too expensive, or too cumbersome for the team's workflow.</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Contact and account management with a 360-degree customer view, pipeline and opportunity management with customizable stages, activity tracking for calls, emails, and meetings, workflow automation for lead assignment and follow-up reminders, reporting and dashboards for sales performance and forecasting, and integration with email providers, calendar systems, and communication channels. The 360-degree customer view consolidates contact details, communication history, preferences, and interaction history into a single record.</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sub-second response times for list views and record pages at p95, concurrent access by the full sales team during peak hours, and an availability of 99.9 percent. Real-time updates for shared pipelines, where multiple sales representatives work the same accounts, require WebSocket-based push from the server to the client.</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GDPR for contact data, with particular attention to lawful basis for processing and to data subject access requests. For regulated industries such as financial services and healthcare, the CRM must support data retention policies, legal hold, and integration with archiving systems.</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excludes a marketing automation module, a customer service ticketing module, and a full telephony integration. The system integrates with existing email and calendar systems through their APIs rather than replacing them.</w:t>
      </w:r>
    </w:p>
    <w:p>
      <w:pPr>
        <w:pStyle w:val="Heading2"/>
        <w:spacing w:after="120" w:before="280" w:line="312"/>
      </w:pPr>
      <w:bookmarkStart w:id="100052" w:name="_Toc100052"/>
      <w:r>
        <w:rPr>
          <w:rFonts w:ascii="Arial" w:eastAsia="SimHei"/>
          <w:b/>
          <w:bCs/>
          <w:color w:val="0B1C2C"/>
          <w:sz w:val="28"/>
          <w:szCs w:val="28"/>
        </w:rPr>
        <w:t xml:space="preserve">9.3 SDLC Application</w:t>
      </w:r>
      <w:bookmarkEnd w:id="100052"/>
    </w:p>
    <w:p>
      <w:pPr>
        <w:spacing w:after="120" w:line="312"/>
        <w:ind w:firstLine="360"/>
        <w:jc w:val="both"/>
      </w:pPr>
      <w:r>
        <w:rPr>
          <w:rFonts w:ascii="Times New Roman" w:eastAsia="SimSun"/>
          <w:color w:val="000000"/>
          <w:sz w:val="24"/>
          <w:szCs w:val="24"/>
        </w:rPr>
        <w:t xml:space="preserve">The SDLC for a CRM follows the six phases, with particular emphasis on the design of the data model and the process flows, because the CRM's behavior is defined by the relationships between leads, contacts, accounts, and opportunities and by the flows that convert one into another. In design, the architecture decision record documents the choice of a search infrastructure for fast retrieval across the full customer record, the data model with the lead-to-contact conversion flow, and the API contract for the record and activity endpoints. In testing, the regime includes functional testing of the conversion flows, performance testing of the list views under the concurrent load of the full sales team, and accessibility testing of the dense, list-heavy interfaces that characterize a CRM.</w:t>
      </w:r>
    </w:p>
    <w:p>
      <w:pPr>
        <w:pStyle w:val="Heading2"/>
        <w:spacing w:after="120" w:before="280" w:line="312"/>
      </w:pPr>
      <w:bookmarkStart w:id="100053" w:name="_Toc100053"/>
      <w:r>
        <w:rPr>
          <w:rFonts w:ascii="Arial" w:eastAsia="SimHei"/>
          <w:b/>
          <w:bCs/>
          <w:color w:val="0B1C2C"/>
          <w:sz w:val="28"/>
          <w:szCs w:val="28"/>
        </w:rPr>
        <w:t xml:space="preserve">9.4 Foundation and Reference Architecture</w:t>
      </w:r>
      <w:bookmarkEnd w:id="100053"/>
    </w:p>
    <w:p>
      <w:pPr>
        <w:spacing w:after="120" w:line="312"/>
        <w:ind w:firstLine="360"/>
        <w:jc w:val="both"/>
      </w:pPr>
      <w:r>
        <w:rPr>
          <w:rFonts w:ascii="Times New Roman" w:eastAsia="SimSun"/>
          <w:color w:val="000000"/>
          <w:sz w:val="24"/>
          <w:szCs w:val="24"/>
        </w:rPr>
        <w:t xml:space="preserve">The reference architecture for a CRM typically combines a transactional core for structured data such as contacts and opportunities, a time-series or event store for activity history and interaction logs, a search infrastructure that supports fast retrieval across the full customer record, and an automation engine that executes workflows in response to events. The frontend must support dense, list-heavy interfaces with inline editing, bulk operations, and configurable views, which places different demands on the UI layer than a typical SaaS dashboard. Real-time updates, particularly for shared pipelines where multiple sales representatives work the same accounts, often require WebSocket-based push from the server to the client. The technology stack is consistent with the multi-tenant SaaS platform: Next.js frontend, PostgreSQL transactional core, Redis for caching and session storage, and a search infrastructure such as OpenSearch or a managed service such as Algolia.</w:t>
      </w:r>
    </w:p>
    <w:p>
      <w:pPr>
        <w:pStyle w:val="Heading2"/>
        <w:spacing w:after="120" w:before="280" w:line="312"/>
      </w:pPr>
      <w:bookmarkStart w:id="100054" w:name="_Toc100054"/>
      <w:r>
        <w:rPr>
          <w:rFonts w:ascii="Arial" w:eastAsia="SimHei"/>
          <w:b/>
          <w:bCs/>
          <w:color w:val="0B1C2C"/>
          <w:sz w:val="28"/>
          <w:szCs w:val="28"/>
        </w:rPr>
        <w:t xml:space="preserve">9.5 Data Model</w:t>
      </w:r>
      <w:bookmarkEnd w:id="100054"/>
    </w:p>
    <w:p>
      <w:pPr>
        <w:spacing w:after="120" w:line="312"/>
        <w:ind w:firstLine="360"/>
        <w:jc w:val="both"/>
      </w:pPr>
      <w:r>
        <w:rPr>
          <w:rFonts w:ascii="Times New Roman" w:eastAsia="SimSun"/>
          <w:color w:val="000000"/>
          <w:sz w:val="24"/>
          <w:szCs w:val="24"/>
        </w:rPr>
        <w:t xml:space="preserve">The CRM data model centers on the entities that represent the sales process: leads, contacts, accounts, and opportunities. The relationship between these entities is the source of frequent confusion in CRM implementations, and practitioner sources emphasize that the design of the lead-to-contact conversion process is a critical decision. In the canonical model, leads represent potential customers who have not yet been qualified, contacts represent qualified individuals, accounts represent the organizations that contacts belong to, and opportunities represent potential sales to accounts. A lead is converted into a contact, an account, and optionally an opportunity through a conversion flow that transfers the lead's data into the new entities and links them.</w:t>
      </w:r>
    </w:p>
    <w:p>
      <w:pPr>
        <w:keepNext/>
        <w:spacing w:after="100" w:before="200" w:line="312"/>
        <w:jc w:val="left"/>
      </w:pPr>
      <w:r>
        <w:rPr>
          <w:rFonts w:ascii="Arial" w:eastAsia="SimHei"/>
          <w:b/>
          <w:bCs/>
          <w:color w:val="0B1C2C"/>
          <w:sz w:val="22"/>
          <w:szCs w:val="22"/>
        </w:rPr>
        <w:t xml:space="preserve">Table 4: Core Entities of a CRM Platform</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Lead</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email, phone, company, source, status, owner_id</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Converted to Contact, Account, Opportunity</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Contact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account_id, name, email, phone, title, owner_id</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Account; has many Activities, Opportunities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Account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domain, industry, size, owner_id</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Contacts, Opportunities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Opportunity</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account_id, contact_id, name, amount_cents, stage, close_date, owner_id</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Account, Contact; has many Activities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Activity</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contact_id, opportunity_id, type, subject, occurred_at, metadata</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Contact, Opportunity</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Stage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probability, order, is_closed, is_won</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Opportunities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Workflow</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trigger, conditions (JSONB), actions (JSONB), status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Executes on Events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Pipeline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stages (JSONB)</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Has many Opportunities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User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email, role, status</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Owns Leads, Contacts, Accounts, Opportunities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AuditEvent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entity_type, entity_id, action, user_id, metadata, created_at</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User</w:t>
            </w:r>
          </w:p>
        </w:tc>
      </w:tr>
    </w:tbl>
    <w:p>
      <w:pPr>
        <w:spacing w:after="200" w:before="80" w:line="312"/>
        <w:jc w:val="center"/>
      </w:pPr>
      <w:r>
        <w:rPr>
          <w:rFonts w:ascii="Times New Roman" w:eastAsia="SimSun"/>
          <w:i/>
          <w:iCs/>
          <w:color w:val="606060"/>
          <w:sz w:val="20"/>
          <w:szCs w:val="20"/>
        </w:rPr>
        <w:t xml:space="preserve">Table 4: The core data entities of a CRM platform. The lead-to-contact conversion flow transfers lead data into Contact, Account, and Opportunity entities and is the most consequential process in the system.</w:t>
      </w:r>
    </w:p>
    <w:p>
      <w:pPr>
        <w:spacing w:after="120" w:line="312"/>
        <w:ind w:firstLine="360"/>
        <w:jc w:val="both"/>
      </w:pPr>
      <w:r>
        <w:rPr>
          <w:rFonts w:ascii="Times New Roman" w:eastAsia="SimSun"/>
          <w:color w:val="000000"/>
          <w:sz w:val="24"/>
          <w:szCs w:val="24"/>
        </w:rPr>
        <w:t xml:space="preserve">The stage entity implements the sales pipeline as a state machine. Each stage carries a probability that is used in forecasting, and the order field defines the sequence of stages in the pipeline. The is_closed and is_won flags distinguish closed-lost from closed-won opportunities. The workflow entity implements the automation engine: a trigger such as 'lead.created' combined with conditions such as 'lead.industry equals technology' and actions such as 'assign to user X and send email Y'. The activity entity is polymorphic, recording calls, emails, meetings, and notes against the contact or opportunity they relate to.</w:t>
      </w:r>
    </w:p>
    <w:p>
      <w:pPr>
        <w:pStyle w:val="Heading2"/>
        <w:spacing w:after="120" w:before="280" w:line="312"/>
      </w:pPr>
      <w:bookmarkStart w:id="100055" w:name="_Toc100055"/>
      <w:r>
        <w:rPr>
          <w:rFonts w:ascii="Arial" w:eastAsia="SimHei"/>
          <w:b/>
          <w:bCs/>
          <w:color w:val="0B1C2C"/>
          <w:sz w:val="28"/>
          <w:szCs w:val="28"/>
        </w:rPr>
        <w:t xml:space="preserve">9.6 How It Works: End-to-End Processes</w:t>
      </w:r>
      <w:bookmarkEnd w:id="100055"/>
    </w:p>
    <w:p>
      <w:pPr>
        <w:spacing w:after="120" w:line="312"/>
        <w:ind w:firstLine="360"/>
        <w:jc w:val="both"/>
      </w:pPr>
      <w:r>
        <w:rPr>
          <w:rFonts w:ascii="Times New Roman" w:eastAsia="SimSun"/>
          <w:b/>
          <w:bCs/>
          <w:color w:val="000000"/>
          <w:sz w:val="24"/>
          <w:szCs w:val="24"/>
        </w:rPr>
        <w:t xml:space="preserve">Lead Capture and Qualification Flow:</w:t>
      </w:r>
      <w:r>
        <w:rPr>
          <w:rFonts w:ascii="Times New Roman" w:eastAsia="SimSun"/>
          <w:color w:val="000000"/>
          <w:sz w:val="24"/>
          <w:szCs w:val="24"/>
        </w:rPr>
        <w:t xml:space="preserve"> A lead is created through a web form, an email reply, an import, or a manual entry. The lead is assigned to a sales representative through an assignment rule, and a workflow triggers a welcome email and a task to call the lead within a defined timeframe. The representative qualifies the lead through a conversation, and if the lead is qualified, the representative converts the lead into a contact, an account, and an opportunity. The conversion transfers the lead's data into the new entities, links them, and marks the lead as converted. If the lead is not qualified, the lead is marked as disqualified with a reason, and the lead remains in the system for future re-engagement.</w:t>
      </w:r>
    </w:p>
    <w:p>
      <w:pPr>
        <w:spacing w:after="120" w:line="312"/>
        <w:ind w:firstLine="360"/>
        <w:jc w:val="both"/>
      </w:pPr>
      <w:r>
        <w:rPr>
          <w:rFonts w:ascii="Times New Roman" w:eastAsia="SimSun"/>
          <w:b/>
          <w:bCs/>
          <w:color w:val="000000"/>
          <w:sz w:val="24"/>
          <w:szCs w:val="24"/>
        </w:rPr>
        <w:t xml:space="preserve">Opportunity Management Flow:</w:t>
      </w:r>
      <w:r>
        <w:rPr>
          <w:rFonts w:ascii="Times New Roman" w:eastAsia="SimSun"/>
          <w:color w:val="000000"/>
          <w:sz w:val="24"/>
          <w:szCs w:val="24"/>
        </w:rPr>
        <w:t xml:space="preserve"> An opportunity progresses through the stages of the pipeline, with each stage transition recorded as an activity. The representative updates the opportunity's amount, close date, and stage as the deal progresses, and the system updates the forecast automatically based on the stage probabilities. When the opportunity is won, the system triggers a workflow that creates a customer record, sends a handoff email to the implementation team, and updates the forecast. When the opportunity is lost, the system records the loss reason and updates the forecast.</w:t>
      </w:r>
    </w:p>
    <w:p>
      <w:pPr>
        <w:spacing w:after="120" w:line="312"/>
        <w:ind w:firstLine="360"/>
        <w:jc w:val="both"/>
      </w:pPr>
      <w:r>
        <w:rPr>
          <w:rFonts w:ascii="Times New Roman" w:eastAsia="SimSun"/>
          <w:b/>
          <w:bCs/>
          <w:color w:val="000000"/>
          <w:sz w:val="24"/>
          <w:szCs w:val="24"/>
        </w:rPr>
        <w:t xml:space="preserve">Activity Tracking Flow:</w:t>
      </w:r>
      <w:r>
        <w:rPr>
          <w:rFonts w:ascii="Times New Roman" w:eastAsia="SimSun"/>
          <w:color w:val="000000"/>
          <w:sz w:val="24"/>
          <w:szCs w:val="24"/>
        </w:rPr>
        <w:t xml:space="preserve"> Activities are recorded against contacts and opportunities through manual entry, through email integration that logs sent and received emails, and through calendar integration that logs meetings. Each activity carries a timestamp, a type, a subject, and metadata. The activities are displayed in the contact and opportunity records in reverse chronological order, providing the 360-degree view of the customer relationship.</w:t>
      </w:r>
    </w:p>
    <w:p>
      <w:pPr>
        <w:spacing w:after="120" w:line="312"/>
        <w:ind w:firstLine="360"/>
        <w:jc w:val="both"/>
      </w:pPr>
      <w:r>
        <w:rPr>
          <w:rFonts w:ascii="Times New Roman" w:eastAsia="SimSun"/>
          <w:b/>
          <w:bCs/>
          <w:color w:val="000000"/>
          <w:sz w:val="24"/>
          <w:szCs w:val="24"/>
        </w:rPr>
        <w:t xml:space="preserve">Reporting and Forecasting Flow:</w:t>
      </w:r>
      <w:r>
        <w:rPr>
          <w:rFonts w:ascii="Times New Roman" w:eastAsia="SimSun"/>
          <w:color w:val="000000"/>
          <w:sz w:val="24"/>
          <w:szCs w:val="24"/>
        </w:rPr>
        <w:t xml:space="preserve"> The reporting engine aggregates opportunities by stage, by owner, by close date, and by other dimensions, and produces dashboards that show the pipeline value, the forecast, the win rate, and the average deal size. The forecast is computed as the sum of the opportunity amounts weighted by their stage probabilities, and is compared to the quota to produce a quota-attainment metric.</w:t>
      </w:r>
    </w:p>
    <w:p>
      <w:pPr>
        <w:pStyle w:val="Heading2"/>
        <w:spacing w:after="120" w:before="280" w:line="312"/>
      </w:pPr>
      <w:bookmarkStart w:id="100056" w:name="_Toc100056"/>
      <w:r>
        <w:rPr>
          <w:rFonts w:ascii="Arial" w:eastAsia="SimHei"/>
          <w:b/>
          <w:bCs/>
          <w:color w:val="0B1C2C"/>
          <w:sz w:val="28"/>
          <w:szCs w:val="28"/>
        </w:rPr>
        <w:t xml:space="preserve">9.7 Security and Compliance Controls</w:t>
      </w:r>
      <w:bookmarkEnd w:id="100056"/>
    </w:p>
    <w:p>
      <w:pPr>
        <w:spacing w:after="120" w:line="312"/>
        <w:ind w:firstLine="360"/>
        <w:jc w:val="both"/>
      </w:pPr>
      <w:r>
        <w:rPr>
          <w:rFonts w:ascii="Times New Roman" w:eastAsia="SimSun"/>
          <w:color w:val="000000"/>
          <w:sz w:val="24"/>
          <w:szCs w:val="24"/>
        </w:rPr>
        <w:t xml:space="preserve">Security for CRM is heightened because the system holds the organization's most sensitive commercial data: customer contact information, deal terms, and communication history. Role-based access control must be granular, allowing a sales representative to see only their own opportunities and a manager to see the opportunities of their entire team. Record-level sharing must be enforceable, so that an opportunity can be shared with a specific user for collaboration without being visible to the entire team. Audit logs must capture who accessed or modified which record and when, and must be immutable and retained for the period required by the organization's record-retention policy. For regulated industries such as financial services and healthcare, the CRM must support data retention policies, legal hold, and integration with archiving systems. GDPR obligations are particularly salient because CRM data is precisely the personal data that data subject access requests seek, and the system must provide a mechanism to export and to delete a contact's data on request, with the deletion respecting legal hold and retention obligations.</w:t>
      </w:r>
    </w:p>
    <w:p>
      <w:pPr>
        <w:pStyle w:val="Heading2"/>
        <w:spacing w:after="120" w:before="280" w:line="312"/>
      </w:pPr>
      <w:bookmarkStart w:id="100057" w:name="_Toc100057"/>
      <w:r>
        <w:rPr>
          <w:rFonts w:ascii="Arial" w:eastAsia="SimHei"/>
          <w:b/>
          <w:bCs/>
          <w:color w:val="0B1C2C"/>
          <w:sz w:val="28"/>
          <w:szCs w:val="28"/>
        </w:rPr>
        <w:t xml:space="preserve">9.8 UI/UX and Accessibility</w:t>
      </w:r>
      <w:bookmarkEnd w:id="100057"/>
    </w:p>
    <w:p>
      <w:pPr>
        <w:spacing w:after="120" w:line="312"/>
        <w:ind w:firstLine="360"/>
        <w:jc w:val="both"/>
      </w:pPr>
      <w:r>
        <w:rPr>
          <w:rFonts w:ascii="Times New Roman" w:eastAsia="SimSun"/>
          <w:color w:val="000000"/>
          <w:sz w:val="24"/>
          <w:szCs w:val="24"/>
        </w:rPr>
        <w:t xml:space="preserve">The user experience of a CRM must accommodate power users who spend their entire workday in the system. This changes the design calculus: keyboard shortcuts, fast navigation between records, configurable layouts, and dense information display matter more than whitespace and minimalism. Accessibility remains non-negotiable, and the density must not come at the cost of WCAG 2.2 AA conformance, but the design language is that of a professional tool rather than a consumer application. The list views must support sorting, filtering, and bulk operations through accessible form controls, and the record pages must present the 360-degree view in a layout that is navigable by keyboard and by screen reader. The pipeline view, which is often a kanban-style board, must be operable from the keyboard, with drag-and-drop interactions supplemented by keyboard-accessible stage-transition controls.</w:t>
      </w:r>
    </w:p>
    <w:p>
      <w:pPr>
        <w:pStyle w:val="Heading2"/>
        <w:spacing w:after="120" w:before="280" w:line="312"/>
      </w:pPr>
      <w:bookmarkStart w:id="100058" w:name="_Toc100058"/>
      <w:r>
        <w:rPr>
          <w:rFonts w:ascii="Arial" w:eastAsia="SimHei"/>
          <w:b/>
          <w:bCs/>
          <w:color w:val="0B1C2C"/>
          <w:sz w:val="28"/>
          <w:szCs w:val="28"/>
        </w:rPr>
        <w:t xml:space="preserve">9.9 Building Process and Implementation Roadmap</w:t>
      </w:r>
      <w:bookmarkEnd w:id="100058"/>
    </w:p>
    <w:p>
      <w:pPr>
        <w:spacing w:after="120" w:line="312"/>
        <w:ind w:firstLine="360"/>
        <w:jc w:val="both"/>
      </w:pPr>
      <w:r>
        <w:rPr>
          <w:rFonts w:ascii="Times New Roman" w:eastAsia="SimSun"/>
          <w:color w:val="000000"/>
          <w:sz w:val="24"/>
          <w:szCs w:val="24"/>
        </w:rPr>
        <w:t xml:space="preserve">The implementation roadmap for a CRM spans approximately twelve to eighteen months. Phase one, months one through three, builds the core entities: leads, contacts, accounts, opportunities, and the lead-to-contact conversion flow. Phase two, months four through six, builds the activity tracking and the email and calendar integrations. Phase three, months seven through nine, builds the pipeline management, the stage state machine, and the reporting and forecasting. Phase four, months ten through twelve, adds the workflow automation engine and the role-based access control with record-level sharing. Phase five, months thirteen through fifteen, adds the AI features such as lead scoring and conversation summarization, which require a training data set and an evaluation harness. Phase six, months sixteen through eighteen, hardens the system for production and launches.</w:t>
      </w:r>
    </w:p>
    <w:p>
      <w:pPr>
        <w:pStyle w:val="Heading2"/>
        <w:spacing w:after="120" w:before="280" w:line="312"/>
      </w:pPr>
      <w:bookmarkStart w:id="100059" w:name="_Toc100059"/>
      <w:r>
        <w:rPr>
          <w:rFonts w:ascii="Arial" w:eastAsia="SimHei"/>
          <w:b/>
          <w:bCs/>
          <w:color w:val="0B1C2C"/>
          <w:sz w:val="28"/>
          <w:szCs w:val="28"/>
        </w:rPr>
        <w:t xml:space="preserve">9.10 Business Viability and Sources</w:t>
      </w:r>
      <w:bookmarkEnd w:id="100059"/>
    </w:p>
    <w:p>
      <w:pPr>
        <w:spacing w:after="120" w:line="312"/>
        <w:ind w:firstLine="360"/>
        <w:jc w:val="both"/>
      </w:pPr>
      <w:r>
        <w:rPr>
          <w:rFonts w:ascii="Times New Roman" w:eastAsia="SimSun"/>
          <w:color w:val="000000"/>
          <w:sz w:val="24"/>
          <w:szCs w:val="24"/>
        </w:rPr>
        <w:t xml:space="preserve">Business viability for a new CRM entrant depends on differentiation. The horizontal CRM market is effectively closed to new entrants because the incumbents are entrenched and switching costs are high. The viable paths are vertical, targeting a specific industry such as real estate, legal practice management, or healthcare provider management, or capability-led, focusing on a single workflow such as pipeline management for a specific sales motion and integrating with the customer's existing system of record rather than replacing it. The per-seat subscription model produces predictable revenue, and a focused vertical can sustain a price point that reflects the value of specialization. Key sources include the Microsoft Dynamics documentation on the lead-to-contact conversion, the Rework CRM data model design guide, the HubSpot data model builder documentation, and the OWASP Top Ten.</w:t>
      </w:r>
    </w:p>
    <w:p>
      <w:pPr>
        <w:pStyle w:val="Heading1"/>
        <w:spacing w:after="160" w:before="360" w:line="312"/>
      </w:pPr>
      <w:bookmarkStart w:id="100060" w:name="_Toc100060"/>
      <w:r>
        <w:rPr>
          <w:rFonts w:ascii="Arial" w:eastAsia="SimHei"/>
          <w:b/>
          <w:bCs/>
          <w:color w:val="0B1C2C"/>
          <w:sz w:val="32"/>
          <w:szCs w:val="32"/>
        </w:rPr>
        <w:t xml:space="preserve">10. System 4: ERP and Business Operations System</w:t>
      </w:r>
      <w:bookmarkEnd w:id="100060"/>
    </w:p>
    <w:p>
      <w:pPr>
        <w:pStyle w:val="Heading2"/>
        <w:spacing w:after="120" w:before="280" w:line="312"/>
      </w:pPr>
      <w:bookmarkStart w:id="100061" w:name="_Toc100061"/>
      <w:r>
        <w:rPr>
          <w:rFonts w:ascii="Arial" w:eastAsia="SimHei"/>
          <w:b/>
          <w:bCs/>
          <w:color w:val="0B1C2C"/>
          <w:sz w:val="28"/>
          <w:szCs w:val="28"/>
        </w:rPr>
        <w:t xml:space="preserve">10.1 Overview and Market Context</w:t>
      </w:r>
      <w:bookmarkEnd w:id="100061"/>
    </w:p>
    <w:p>
      <w:pPr>
        <w:spacing w:after="120" w:line="312"/>
        <w:ind w:firstLine="360"/>
        <w:jc w:val="both"/>
      </w:pPr>
      <w:r>
        <w:rPr>
          <w:rFonts w:ascii="Times New Roman" w:eastAsia="SimSun"/>
          <w:color w:val="000000"/>
          <w:sz w:val="24"/>
          <w:szCs w:val="24"/>
        </w:rPr>
        <w:t xml:space="preserve">Enterprise Resource Planning systems integrate the core business processes of an organization, including finance, supply chain, human resources, manufacturing, and procurement, into a single system with a shared data model. ERP is the most demanding category examined in this report because the scope is broad, the data model is complex, the implementation cycles are long, and the cost of failure is high. It is also commercially significant because ERP is the system that runs the operational core of most mid-to-large enterprises, and the category is in active evolution as cloud-native architectures reshape what an ERP can be. The modular design is the defining architectural feature of an ERP because it allows an organization to deploy only the modules relevant to its operations and to add modules as the business evolves, and the shared data architecture is what makes ERP different from standalone software: when a sales order is created, the inventory, finance, and manufacturing modules all see the same information in real time.</w:t>
      </w:r>
    </w:p>
    <w:p>
      <w:pPr>
        <w:pStyle w:val="Heading2"/>
        <w:spacing w:after="120" w:before="280" w:line="312"/>
      </w:pPr>
      <w:bookmarkStart w:id="100062" w:name="_Toc100062"/>
      <w:r>
        <w:rPr>
          <w:rFonts w:ascii="Arial" w:eastAsia="SimHei"/>
          <w:b/>
          <w:bCs/>
          <w:color w:val="0B1C2C"/>
          <w:sz w:val="28"/>
          <w:szCs w:val="28"/>
        </w:rPr>
        <w:t xml:space="preserve">10.2 Planning from Scratch</w:t>
      </w:r>
      <w:bookmarkEnd w:id="100062"/>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Provide an integrated operational system for a specific category of mid-market enterprise that currently operates on disconnected spreadsheets and point solutions, with a measurable outcome such as 'reduce month-end close from fifteen days to five' for a defined company profile.</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A mid-market enterprise in a specific vertical, such as construction, field services, or nonprofit organizations, with between fifty and one thousand employees, multiple operational sites, and a need for integrated financial, operational, and human-resource management that the generic modules of incumbent ERPs do not fit well.</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The core modules are financial management with general ledger, accounts payable and receivable, and fixed assets; supply chain management with inventory, procurement, and order fulfillment; human resources with employee records, payroll, and benefits; and, depending on the vertical, manufacturing with bill of materials, production planning, and quality management. Each module plugs into the shared data backbone, so that the system provides a single source of accurate data across all business functions.</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the concurrent use of the entire organization, availability of 99.9 percent during business hours, financial-period close with no transaction posting after period close, and a complete audit trail of every transaction for the retention period required by financial regulation.</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Sarbanes-Oxley section 404 for publicly traded customers, which requires internal controls over financial reporting. Data residency requirements for financial and employee data. Industry-specific regulations such as the healthcare HIPAA or the financial-services regulations that apply to the customer's vertical.</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focuses on the financial management, supply chain, and human resources modules for a specific vertical. Manufacturing, project management, and customer relationship management modules are excluded from the initial build and are added in later phases.</w:t>
      </w:r>
    </w:p>
    <w:p>
      <w:pPr>
        <w:pStyle w:val="Heading2"/>
        <w:spacing w:after="120" w:before="280" w:line="312"/>
      </w:pPr>
      <w:bookmarkStart w:id="100063" w:name="_Toc100063"/>
      <w:r>
        <w:rPr>
          <w:rFonts w:ascii="Arial" w:eastAsia="SimHei"/>
          <w:b/>
          <w:bCs/>
          <w:color w:val="0B1C2C"/>
          <w:sz w:val="28"/>
          <w:szCs w:val="28"/>
        </w:rPr>
        <w:t xml:space="preserve">10.3 SDLC Application</w:t>
      </w:r>
      <w:bookmarkEnd w:id="100063"/>
    </w:p>
    <w:p>
      <w:pPr>
        <w:spacing w:after="120" w:line="312"/>
        <w:ind w:firstLine="360"/>
        <w:jc w:val="both"/>
      </w:pPr>
      <w:r>
        <w:rPr>
          <w:rFonts w:ascii="Times New Roman" w:eastAsia="SimSun"/>
          <w:color w:val="000000"/>
          <w:sz w:val="24"/>
          <w:szCs w:val="24"/>
        </w:rPr>
        <w:t xml:space="preserve">The SDLC for an ERP is the most demanding of any category because the scope is broad and the cost of failure is high. In planning, the team produces a module-by-module specification with the business processes that each module supports, the data entities that each module owns, and the integration points between modules. In design, the architecture decision record documents the choice of a layered architecture with a presentation layer, an application layer, a shared services layer, and a data layer, and the data model is specified at the entity level with particular attention to the general ledger, which is the foundation of the financial module. In testing, the regime includes functional testing of every business process, financial-period close testing, audit-trail verification, and performance testing under the concurrent load of the full organization. In deployment, the implementation includes data migration from the customer's existing systems, user training, and a parallel-run period during which the new system and the old system operate simultaneously to verify correctness.</w:t>
      </w:r>
    </w:p>
    <w:p>
      <w:pPr>
        <w:pStyle w:val="Heading2"/>
        <w:spacing w:after="120" w:before="280" w:line="312"/>
      </w:pPr>
      <w:bookmarkStart w:id="100064" w:name="_Toc100064"/>
      <w:r>
        <w:rPr>
          <w:rFonts w:ascii="Arial" w:eastAsia="SimHei"/>
          <w:b/>
          <w:bCs/>
          <w:color w:val="0B1C2C"/>
          <w:sz w:val="28"/>
          <w:szCs w:val="28"/>
        </w:rPr>
        <w:t xml:space="preserve">10.4 Foundation and Reference Architecture</w:t>
      </w:r>
      <w:bookmarkEnd w:id="100064"/>
    </w:p>
    <w:p>
      <w:pPr>
        <w:spacing w:after="120" w:line="312"/>
        <w:ind w:firstLine="360"/>
        <w:jc w:val="both"/>
      </w:pPr>
      <w:r>
        <w:rPr>
          <w:rFonts w:ascii="Times New Roman" w:eastAsia="SimSun"/>
          <w:color w:val="000000"/>
          <w:sz w:val="24"/>
          <w:szCs w:val="24"/>
        </w:rPr>
        <w:t xml:space="preserve">The reference architecture for a modern ERP uses a layered approach comprising a presentation layer, an application layer, and a data layer, with a shared services layer for cross-cutting concerns such as authentication, workflow, and reporting. The presentation layer must support web, mobile, and increasingly voice and conversational interfaces, because different users interact with the ERP in different contexts: a finance professional uses a dense web interface, a warehouse worker uses a mobile device, and an executive uses a dashboard. The application layer implements the business logic for each module and exposes it through a consistent API. The data layer is typically a combination of a transactional database for current state, a data warehouse for analytical workloads, and increasingly a real-time stream for event-driven processing. Research published in 2025 frames ERP architecture through a software-architecture perspective and emphasizes that the interconnection of modules, the consistency of data access patterns, and the flexibility to adapt to changing business processes are the properties that determine whether an ERP delivers value over its lifecycle.</w:t>
      </w:r>
    </w:p>
    <w:p>
      <w:pPr>
        <w:pStyle w:val="Heading2"/>
        <w:spacing w:after="120" w:before="280" w:line="312"/>
      </w:pPr>
      <w:bookmarkStart w:id="100065" w:name="_Toc100065"/>
      <w:r>
        <w:rPr>
          <w:rFonts w:ascii="Arial" w:eastAsia="SimHei"/>
          <w:b/>
          <w:bCs/>
          <w:color w:val="0B1C2C"/>
          <w:sz w:val="28"/>
          <w:szCs w:val="28"/>
        </w:rPr>
        <w:t xml:space="preserve">10.5 Data Model</w:t>
      </w:r>
      <w:bookmarkEnd w:id="100065"/>
    </w:p>
    <w:p>
      <w:pPr>
        <w:spacing w:after="120" w:line="312"/>
        <w:ind w:firstLine="360"/>
        <w:jc w:val="both"/>
      </w:pPr>
      <w:r>
        <w:rPr>
          <w:rFonts w:ascii="Times New Roman" w:eastAsia="SimSun"/>
          <w:color w:val="000000"/>
          <w:sz w:val="24"/>
          <w:szCs w:val="24"/>
        </w:rPr>
        <w:t xml:space="preserve">The ERP data model is the most complex of any category because it must represent the financial, operational, and human-resource state of the organization in a single consistent model. The financial module is the foundation, and its core entity is the general ledger, which records every financial transaction as a double-entry: every transaction debits one or more accounts and credits one or more accounts, with the total debits equal to the total credits. The supply chain module adds the inventory and procurement entities, and the human resources module adds the employee and payroll entities. The modules are connected through the shared data backbone: a sales order in the order management module creates an accounts receivable entry in the financial module and a reservation in the inventory module.</w:t>
      </w:r>
    </w:p>
    <w:p>
      <w:pPr>
        <w:keepNext/>
        <w:spacing w:after="100" w:before="200" w:line="312"/>
        <w:jc w:val="left"/>
      </w:pPr>
      <w:r>
        <w:rPr>
          <w:rFonts w:ascii="Arial" w:eastAsia="SimHei"/>
          <w:b/>
          <w:bCs/>
          <w:color w:val="0B1C2C"/>
          <w:sz w:val="22"/>
          <w:szCs w:val="22"/>
        </w:rPr>
        <w:t xml:space="preserve">Table 5: Core Entities of an ERP System (Financial and Supply Chain Modules)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Account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code, name, type (asset/liability/equity/revenue/expense)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JournalEntries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JournalEntry</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period_id, entry_date, description, source,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JournalLines; belongs to Period</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JournalLine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journal_entry_id, account_id, debit_cents, credit_cents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JournalEntry, Account</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Period</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start_date, end_date, status (open/closed)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JournalEntries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Item</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sku, name, type (product/service), unit_cost_cents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InventoryItems, BillOfMaterials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InventoryItem</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item_id, warehouse_id, quantity_on_hand, quantity_reserved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Item, Warehouse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Warehouse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location,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InventoryItems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PurchaseOrder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vendor_id, status, total_cents, expected_date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PurchaseOrderLines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SalesOrder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customer_id, status, total_cents, order_date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SalesOrderLines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Employee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name, department_id, hire_date, status, salary_cents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Department</w:t>
            </w:r>
          </w:p>
        </w:tc>
      </w:tr>
    </w:tbl>
    <w:p>
      <w:pPr>
        <w:spacing w:after="200" w:before="80" w:line="312"/>
        <w:jc w:val="center"/>
      </w:pPr>
      <w:r>
        <w:rPr>
          <w:rFonts w:ascii="Times New Roman" w:eastAsia="SimSun"/>
          <w:i/>
          <w:iCs/>
          <w:color w:val="606060"/>
          <w:sz w:val="20"/>
          <w:szCs w:val="20"/>
        </w:rPr>
        <w:t xml:space="preserve">Table 5: The core data entities of an ERP system, focused on the financial and supply chain modules. The general ledger is implemented through the Account, JournalEntry, and JournalLine entities, which enforce double-entry bookkeeping.</w:t>
      </w:r>
    </w:p>
    <w:p>
      <w:pPr>
        <w:spacing w:after="120" w:line="312"/>
        <w:ind w:firstLine="360"/>
        <w:jc w:val="both"/>
      </w:pPr>
      <w:r>
        <w:rPr>
          <w:rFonts w:ascii="Times New Roman" w:eastAsia="SimSun"/>
          <w:color w:val="000000"/>
          <w:sz w:val="24"/>
          <w:szCs w:val="24"/>
        </w:rPr>
        <w:t xml:space="preserve">The double-entry constraint is enforced at the database level through a check constraint that verifies that the sum of debits equals the sum of credits for each JournalEntry. The Period entity implements the financial-period close: once a period is closed, no JournalEntry with an entry_date in that period can be created or modified, which is the control that ensures the integrity of the financial statements. The Item entity is polymorphic, representing both physical products and services, and the BillOfMaterials entity represents the manufacturing recipe that defines how a product is assembled from its components.</w:t>
      </w:r>
    </w:p>
    <w:p>
      <w:pPr>
        <w:pStyle w:val="Heading2"/>
        <w:spacing w:after="120" w:before="280" w:line="312"/>
      </w:pPr>
      <w:bookmarkStart w:id="100066" w:name="_Toc100066"/>
      <w:r>
        <w:rPr>
          <w:rFonts w:ascii="Arial" w:eastAsia="SimHei"/>
          <w:b/>
          <w:bCs/>
          <w:color w:val="0B1C2C"/>
          <w:sz w:val="28"/>
          <w:szCs w:val="28"/>
        </w:rPr>
        <w:t xml:space="preserve">10.6 How It Works: End-to-End Processes</w:t>
      </w:r>
      <w:bookmarkEnd w:id="100066"/>
    </w:p>
    <w:p>
      <w:pPr>
        <w:spacing w:after="120" w:line="312"/>
        <w:ind w:firstLine="360"/>
        <w:jc w:val="both"/>
      </w:pPr>
      <w:r>
        <w:rPr>
          <w:rFonts w:ascii="Times New Roman" w:eastAsia="SimSun"/>
          <w:b/>
          <w:bCs/>
          <w:color w:val="000000"/>
          <w:sz w:val="24"/>
          <w:szCs w:val="24"/>
        </w:rPr>
        <w:t xml:space="preserve">Procure-to-Pay Flow:</w:t>
      </w:r>
      <w:r>
        <w:rPr>
          <w:rFonts w:ascii="Times New Roman" w:eastAsia="SimSun"/>
          <w:color w:val="000000"/>
          <w:sz w:val="24"/>
          <w:szCs w:val="24"/>
        </w:rPr>
        <w:t xml:space="preserve"> A purchase requisition is created by a department, approved through a workflow, and converted into a PurchaseOrder sent to a vendor. The vendor ships the goods, the warehouse receives them, and the receipt creates an InventoryItem record and an accounts-payable entry in the financial module. The vendor invoice is matched against the purchase order and the receipt, a process known as three-way matching, and on match the invoice is approved for payment. The payment creates a JournalEntry that credits cash and debits accounts payable, and the flow is complete.</w:t>
      </w:r>
    </w:p>
    <w:p>
      <w:pPr>
        <w:spacing w:after="120" w:line="312"/>
        <w:ind w:firstLine="360"/>
        <w:jc w:val="both"/>
      </w:pPr>
      <w:r>
        <w:rPr>
          <w:rFonts w:ascii="Times New Roman" w:eastAsia="SimSun"/>
          <w:b/>
          <w:bCs/>
          <w:color w:val="000000"/>
          <w:sz w:val="24"/>
          <w:szCs w:val="24"/>
        </w:rPr>
        <w:t xml:space="preserve">Order-to-Cash Flow:</w:t>
      </w:r>
      <w:r>
        <w:rPr>
          <w:rFonts w:ascii="Times New Roman" w:eastAsia="SimSun"/>
          <w:color w:val="000000"/>
          <w:sz w:val="24"/>
          <w:szCs w:val="24"/>
        </w:rPr>
        <w:t xml:space="preserve"> A sales order is created by a sales representative or through an integration with an e-commerce system. The sales order creates a reservation in the inventory module and an accounts-receivable entry in the financial module. The warehouse picks, packs, and ships the order, which decrements the inventory and creates a shipment record. The customer invoice is generated, sent, and on payment the payment creates a JournalEntry that debits cash and credits accounts receivable.</w:t>
      </w:r>
    </w:p>
    <w:p>
      <w:pPr>
        <w:spacing w:after="120" w:line="312"/>
        <w:ind w:firstLine="360"/>
        <w:jc w:val="both"/>
      </w:pPr>
      <w:r>
        <w:rPr>
          <w:rFonts w:ascii="Times New Roman" w:eastAsia="SimSun"/>
          <w:b/>
          <w:bCs/>
          <w:color w:val="000000"/>
          <w:sz w:val="24"/>
          <w:szCs w:val="24"/>
        </w:rPr>
        <w:t xml:space="preserve">Record-to-Report Flow:</w:t>
      </w:r>
      <w:r>
        <w:rPr>
          <w:rFonts w:ascii="Times New Roman" w:eastAsia="SimSun"/>
          <w:color w:val="000000"/>
          <w:sz w:val="24"/>
          <w:szCs w:val="24"/>
        </w:rPr>
        <w:t xml:space="preserve"> Throughout the financial period, every transaction creates JournalEntries that are posted to the general ledger. At period close, the period is closed, adjusting entries are made for accruals and deferrals, and the financial statements are generated from the general ledger balances. The balance sheet, the income statement, and the cash flow statement are produced by aggregating the account balances by account type, and are reviewed and published.</w:t>
      </w:r>
    </w:p>
    <w:p>
      <w:pPr>
        <w:spacing w:after="120" w:line="312"/>
        <w:ind w:firstLine="360"/>
        <w:jc w:val="both"/>
      </w:pPr>
      <w:r>
        <w:rPr>
          <w:rFonts w:ascii="Times New Roman" w:eastAsia="SimSun"/>
          <w:b/>
          <w:bCs/>
          <w:color w:val="000000"/>
          <w:sz w:val="24"/>
          <w:szCs w:val="24"/>
        </w:rPr>
        <w:t xml:space="preserve">Hire-to-Retire Flow:</w:t>
      </w:r>
      <w:r>
        <w:rPr>
          <w:rFonts w:ascii="Times New Roman" w:eastAsia="SimSun"/>
          <w:color w:val="000000"/>
          <w:sz w:val="24"/>
          <w:szCs w:val="24"/>
        </w:rPr>
        <w:t xml:space="preserve"> An employee is hired, which creates an Employee record and triggers a workflow that configures their access, their benefits, and their payroll. Throughout employment, the employee's time is recorded, their performance is reviewed, and their compensation is adjusted. At termination, the employee record is updated, the access is revoked, and the final payroll is processed.</w:t>
      </w:r>
    </w:p>
    <w:p>
      <w:pPr>
        <w:pStyle w:val="Heading2"/>
        <w:spacing w:after="120" w:before="280" w:line="312"/>
      </w:pPr>
      <w:bookmarkStart w:id="100067" w:name="_Toc100067"/>
      <w:r>
        <w:rPr>
          <w:rFonts w:ascii="Arial" w:eastAsia="SimHei"/>
          <w:b/>
          <w:bCs/>
          <w:color w:val="0B1C2C"/>
          <w:sz w:val="28"/>
          <w:szCs w:val="28"/>
        </w:rPr>
        <w:t xml:space="preserve">10.7 Security and Compliance Controls</w:t>
      </w:r>
      <w:bookmarkEnd w:id="100067"/>
    </w:p>
    <w:p>
      <w:pPr>
        <w:spacing w:after="120" w:line="312"/>
        <w:ind w:firstLine="360"/>
        <w:jc w:val="both"/>
      </w:pPr>
      <w:r>
        <w:rPr>
          <w:rFonts w:ascii="Times New Roman" w:eastAsia="SimSun"/>
          <w:color w:val="000000"/>
          <w:sz w:val="24"/>
          <w:szCs w:val="24"/>
        </w:rPr>
        <w:t xml:space="preserve">Security for ERP is the most stringent of any category examined because ERP holds the financial records that feed regulatory reporting and audit. The system must support a complete audit trail of every transaction, recording who created, modified, or approved each transaction and when. Segregation of duties must be enforceable, so that the user who creates a purchase order cannot be the same user who approves the payment, which is a control that prevents fraud. Period-close controls must prevent any transaction posting after period close, which is a control that ensures the integrity of the financial statements. For publicly traded companies, the ERP must satisfy the internal-controls requirements of applicable financial regulation, which in the United States means Sarbanes-Oxley section 404. Data residency requirements are common because financial and employee data are subject to jurisdictional restrictions, and the system must support the configuration of data residency per module or per entity.</w:t>
      </w:r>
    </w:p>
    <w:p>
      <w:pPr>
        <w:pStyle w:val="Heading2"/>
        <w:spacing w:after="120" w:before="280" w:line="312"/>
      </w:pPr>
      <w:bookmarkStart w:id="100068" w:name="_Toc100068"/>
      <w:r>
        <w:rPr>
          <w:rFonts w:ascii="Arial" w:eastAsia="SimHei"/>
          <w:b/>
          <w:bCs/>
          <w:color w:val="0B1C2C"/>
          <w:sz w:val="28"/>
          <w:szCs w:val="28"/>
        </w:rPr>
        <w:t xml:space="preserve">10.8 UI/UX and Accessibility</w:t>
      </w:r>
      <w:bookmarkEnd w:id="100068"/>
    </w:p>
    <w:p>
      <w:pPr>
        <w:spacing w:after="120" w:line="312"/>
        <w:ind w:firstLine="360"/>
        <w:jc w:val="both"/>
      </w:pPr>
      <w:r>
        <w:rPr>
          <w:rFonts w:ascii="Times New Roman" w:eastAsia="SimSun"/>
          <w:color w:val="000000"/>
          <w:sz w:val="24"/>
          <w:szCs w:val="24"/>
        </w:rPr>
        <w:t xml:space="preserve">The user experience of an ERP must serve a diverse user base that includes finance professionals, warehouse staff, production-line operators, and executives. A single interaction style cannot serve all of these users, so the system must support role-based interfaces that present the relevant data and actions for each role while sharing the underlying data model. The finance professional sees a dense, form-heavy interface with keyboard shortcuts for rapid data entry. The warehouse worker sees a mobile-optimized interface with barcode scanning and large touch targets. The executive sees a dashboard with high-level metrics and drill-down capability. Accessibility is particularly important because ERP users often include employees who must use the system as a condition of employment, which raises the legal expectation of accessibility under employment law in addition to procurement requirements.</w:t>
      </w:r>
    </w:p>
    <w:p>
      <w:pPr>
        <w:pStyle w:val="Heading2"/>
        <w:spacing w:after="120" w:before="280" w:line="312"/>
      </w:pPr>
      <w:bookmarkStart w:id="100069" w:name="_Toc100069"/>
      <w:r>
        <w:rPr>
          <w:rFonts w:ascii="Arial" w:eastAsia="SimHei"/>
          <w:b/>
          <w:bCs/>
          <w:color w:val="0B1C2C"/>
          <w:sz w:val="28"/>
          <w:szCs w:val="28"/>
        </w:rPr>
        <w:t xml:space="preserve">10.9 Building Process and Implementation Roadmap</w:t>
      </w:r>
      <w:bookmarkEnd w:id="100069"/>
    </w:p>
    <w:p>
      <w:pPr>
        <w:spacing w:after="120" w:line="312"/>
        <w:ind w:firstLine="360"/>
        <w:jc w:val="both"/>
      </w:pPr>
      <w:r>
        <w:rPr>
          <w:rFonts w:ascii="Times New Roman" w:eastAsia="SimSun"/>
          <w:color w:val="000000"/>
          <w:sz w:val="24"/>
          <w:szCs w:val="24"/>
        </w:rPr>
        <w:t xml:space="preserve">The implementation roadmap for an ERP is the longest of any category, spanning eighteen to thirty-six months from the start of development to the first customer go-live, with continued module development thereafter. Phase one, months one through six, builds the financial management module: the general ledger, the accounts payable and receivable, and the period-close. Phase two, months seven through twelve, builds the supply chain module: the inventory, the procurement, and the order management. Phase three, months thirteen through eighteen, builds the human resources module: the employee records, the payroll, and the benefits. Phase four, months nineteen through twenty-four, adds the reporting and the analytics, and the integration layer that connects the modules. Phase five, months twenty-five through thirty, hardens the system and conducts the first customer implementation, which includes data migration, user training, and a parallel-run period. The commercial model combines software license, implementation services, and ongoing support, and the long customer lifecycle, typically seven to ten years, produces durable revenue but requires a correspondingly long-term operating commitment.</w:t>
      </w:r>
    </w:p>
    <w:p>
      <w:pPr>
        <w:pStyle w:val="Heading2"/>
        <w:spacing w:after="120" w:before="280" w:line="312"/>
      </w:pPr>
      <w:bookmarkStart w:id="100070" w:name="_Toc100070"/>
      <w:r>
        <w:rPr>
          <w:rFonts w:ascii="Arial" w:eastAsia="SimHei"/>
          <w:b/>
          <w:bCs/>
          <w:color w:val="0B1C2C"/>
          <w:sz w:val="28"/>
          <w:szCs w:val="28"/>
        </w:rPr>
        <w:t xml:space="preserve">10.10 Business Viability and Sources</w:t>
      </w:r>
      <w:bookmarkEnd w:id="100070"/>
    </w:p>
    <w:p>
      <w:pPr>
        <w:spacing w:after="120" w:line="312"/>
        <w:ind w:firstLine="360"/>
        <w:jc w:val="both"/>
      </w:pPr>
      <w:r>
        <w:rPr>
          <w:rFonts w:ascii="Times New Roman" w:eastAsia="SimSun"/>
          <w:color w:val="000000"/>
          <w:sz w:val="24"/>
          <w:szCs w:val="24"/>
        </w:rPr>
        <w:t xml:space="preserve">Business viability for a new ERP entrant is challenging but not impossible. The horizontal ERP market is dominated by a small number of large vendors such as SAP, Oracle, and Microsoft, and the implementation and change-management costs of a full ERP replacement make displacement rare. The viable paths are cloud-native modular ERP for the mid-market, where incumbents are often perceived as heavy and slow to deploy, and vertical ERP for industries such as construction, field services, or nonprofit organizations where the generic modules do not fit the business model. Key sources include the NetSuite ERP modules guide, the Oracle ERP modules documentation, the ScienceDirect publication on ERP system architecture, and the practitioner literature on ERP implementation.</w:t>
      </w:r>
    </w:p>
    <w:p>
      <w:pPr>
        <w:pStyle w:val="Heading1"/>
        <w:spacing w:after="160" w:before="360" w:line="312"/>
      </w:pPr>
      <w:bookmarkStart w:id="100071" w:name="_Toc100071"/>
      <w:r>
        <w:rPr>
          <w:rFonts w:ascii="Arial" w:eastAsia="SimHei"/>
          <w:b/>
          <w:bCs/>
          <w:color w:val="0B1C2C"/>
          <w:sz w:val="32"/>
          <w:szCs w:val="32"/>
        </w:rPr>
        <w:t xml:space="preserve">11. System 5: Real-Time Analytics Dashboard</w:t>
      </w:r>
      <w:bookmarkEnd w:id="100071"/>
    </w:p>
    <w:p>
      <w:pPr>
        <w:pStyle w:val="Heading2"/>
        <w:spacing w:after="120" w:before="280" w:line="312"/>
      </w:pPr>
      <w:bookmarkStart w:id="100072" w:name="_Toc100072"/>
      <w:r>
        <w:rPr>
          <w:rFonts w:ascii="Arial" w:eastAsia="SimHei"/>
          <w:b/>
          <w:bCs/>
          <w:color w:val="0B1C2C"/>
          <w:sz w:val="28"/>
          <w:szCs w:val="28"/>
        </w:rPr>
        <w:t xml:space="preserve">11.1 Overview and Market Context</w:t>
      </w:r>
      <w:bookmarkEnd w:id="100072"/>
    </w:p>
    <w:p>
      <w:pPr>
        <w:spacing w:after="120" w:line="312"/>
        <w:ind w:firstLine="360"/>
        <w:jc w:val="both"/>
      </w:pPr>
      <w:r>
        <w:rPr>
          <w:rFonts w:ascii="Times New Roman" w:eastAsia="SimSun"/>
          <w:color w:val="000000"/>
          <w:sz w:val="24"/>
          <w:szCs w:val="24"/>
        </w:rPr>
        <w:t xml:space="preserve">Real-time analytics dashboards provide live visibility into operational data, allowing teams to monitor metrics, detect anomalies, and respond to changing conditions without the latency of batch reporting. The category has grown in importance as businesses move from periodic decision-making to continuous operation, and the technical patterns for building real-time dashboards have matured to the point where a focused team can deliver a production-grade system. Real-time analytics works by continuously ingesting data from event streams into a specialized database optimized for analytical queries, and the dominant architecture in 2025 to 2026 uses Apache Kafka as the event stream, ClickHouse as the analytical database, and WebSocket connections to push updates to the browser.</w:t>
      </w:r>
    </w:p>
    <w:p>
      <w:pPr>
        <w:pStyle w:val="Heading2"/>
        <w:spacing w:after="120" w:before="280" w:line="312"/>
      </w:pPr>
      <w:bookmarkStart w:id="100073" w:name="_Toc100073"/>
      <w:r>
        <w:rPr>
          <w:rFonts w:ascii="Arial" w:eastAsia="SimHei"/>
          <w:b/>
          <w:bCs/>
          <w:color w:val="0B1C2C"/>
          <w:sz w:val="28"/>
          <w:szCs w:val="28"/>
        </w:rPr>
        <w:t xml:space="preserve">11.2 Planning from Scratch</w:t>
      </w:r>
      <w:bookmarkEnd w:id="100073"/>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Provide a specific category of operations team with live visibility into a defined set of metrics, with a measurable outcome such as 'reduce mean time to incident detection from fifteen minutes to two minutes' for a defined operations team.</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An operations, product, or business team that currently relies on periodic batch reports and that experiences measurable cost from the latency between an event occurring and the team becoming aware of it. The customer has between ten and one hundred dashboard users, ingests between one million and one billion events per day, and requires sub-second query latency on recent data.</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A data ingestion layer that accepts events from upstream systems through a streaming API, a processing layer that aggregates and transforms those events, a storage layer that retains both raw and aggregated data, a query layer that serves dashboard reads with low latency, and a visualization layer that renders charts and tables that update without full page refreshes. A complete system also includes alerting, so that thresholds trigger notifications, and access control, so that different users see the data they are authorized to see.</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event ingestion of at least ten thousand events per second, dashboard query latency below 200 milliseconds at p95 for recent data, dashboard update latency below two seconds from event ingestion to visible update, and availability of 99.9 percent. The real-time constraint, the sub-two-second end-to-end latency, is the defining non-functional requirement and is what distinguishes a real-time dashboard from a near-real-time or batch dashboard.</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GDPR and equivalent privacy regulations if the events contain personal data. Data residency requirements for regulated industries. Audit logging of dashboard access if the data is sensitive.</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excludes a full business-intelligence platform with ad-hoc query capabilities, a data warehouse for historical analysis beyond the real-time window, and a machine-learning layer for anomaly detection. The system focuses on the real-time window, typically the most recent thirty days, and integrates with an existing data warehouse for longer-term analysis.</w:t>
      </w:r>
    </w:p>
    <w:p>
      <w:pPr>
        <w:pStyle w:val="Heading2"/>
        <w:spacing w:after="120" w:before="280" w:line="312"/>
      </w:pPr>
      <w:bookmarkStart w:id="100074" w:name="_Toc100074"/>
      <w:r>
        <w:rPr>
          <w:rFonts w:ascii="Arial" w:eastAsia="SimHei"/>
          <w:b/>
          <w:bCs/>
          <w:color w:val="0B1C2C"/>
          <w:sz w:val="28"/>
          <w:szCs w:val="28"/>
        </w:rPr>
        <w:t xml:space="preserve">11.3 SDLC Application</w:t>
      </w:r>
      <w:bookmarkEnd w:id="100074"/>
    </w:p>
    <w:p>
      <w:pPr>
        <w:spacing w:after="120" w:line="312"/>
        <w:ind w:firstLine="360"/>
        <w:jc w:val="both"/>
      </w:pPr>
      <w:r>
        <w:rPr>
          <w:rFonts w:ascii="Times New Roman" w:eastAsia="SimSun"/>
          <w:color w:val="000000"/>
          <w:sz w:val="24"/>
          <w:szCs w:val="24"/>
        </w:rPr>
        <w:t xml:space="preserve">The SDLC for a real-time analytics dashboard follows the six phases, with particular emphasis on the design of the data pipeline and on the performance testing of the end-to-end latency. In design, the architecture decision record documents the choice of Kafka as the event stream, ClickHouse as the analytical database, and WebSocket as the push channel, and it documents the data model as a time-partitioned, columnar-oriented schema optimized for the query patterns of the dashboard. In testing, the regime includes functional testing of the aggregation logic, performance testing of the ingestion pipeline at the target event rate, end-to-end latency testing from event ingestion to dashboard update, and failover testing of the streaming infrastructure to verify that the system recovers from a broker failure without data loss.</w:t>
      </w:r>
    </w:p>
    <w:p>
      <w:pPr>
        <w:pStyle w:val="Heading2"/>
        <w:spacing w:after="120" w:before="280" w:line="312"/>
      </w:pPr>
      <w:bookmarkStart w:id="100075" w:name="_Toc100075"/>
      <w:r>
        <w:rPr>
          <w:rFonts w:ascii="Arial" w:eastAsia="SimHei"/>
          <w:b/>
          <w:bCs/>
          <w:color w:val="0B1C2C"/>
          <w:sz w:val="28"/>
          <w:szCs w:val="28"/>
        </w:rPr>
        <w:t xml:space="preserve">11.4 Foundation and Reference Architecture</w:t>
      </w:r>
      <w:bookmarkEnd w:id="100075"/>
    </w:p>
    <w:p>
      <w:pPr>
        <w:spacing w:after="120" w:line="312"/>
        <w:ind w:firstLine="360"/>
        <w:jc w:val="both"/>
      </w:pPr>
      <w:r>
        <w:rPr>
          <w:rFonts w:ascii="Times New Roman" w:eastAsia="SimSun"/>
          <w:color w:val="000000"/>
          <w:sz w:val="24"/>
          <w:szCs w:val="24"/>
        </w:rPr>
        <w:t xml:space="preserve">The reference architecture for a real-time analytics dashboard centers on WebSocket technology for the push channel between server and client. Unlike traditional request-response patterns, WebSockets allow the server to push updates to the browser as soon as new data is available, which is the mechanism that makes a dashboard feel live. The server-side architecture typically uses an event stream, processed by a stream-processing engine, with results written to a low-latency store such as Redis or a purpose-built real-time database such as ClickHouse. The frontend uses a reactive framework that efficiently updates only the components whose underlying data has changed. Practitioner sources note that building a real-time dashboard is more than opening a WebSocket connection; the system must also handle backpressure, reconnection, and the consistency of data across multiple subscribers. The complete pipeline flows from event sources through a Kafka topic, through a stream processor that computes aggregates, into ClickHouse for storage and query, and out to the dashboard through a WebSocket connection that pushes updates whenever the underlying aggregates change.</w:t>
      </w:r>
    </w:p>
    <w:p>
      <w:pPr>
        <w:pStyle w:val="Heading2"/>
        <w:spacing w:after="120" w:before="280" w:line="312"/>
      </w:pPr>
      <w:bookmarkStart w:id="100076" w:name="_Toc100076"/>
      <w:r>
        <w:rPr>
          <w:rFonts w:ascii="Arial" w:eastAsia="SimHei"/>
          <w:b/>
          <w:bCs/>
          <w:color w:val="0B1C2C"/>
          <w:sz w:val="28"/>
          <w:szCs w:val="28"/>
        </w:rPr>
        <w:t xml:space="preserve">11.5 Data Model</w:t>
      </w:r>
      <w:bookmarkEnd w:id="100076"/>
    </w:p>
    <w:p>
      <w:pPr>
        <w:spacing w:after="120" w:line="312"/>
        <w:ind w:firstLine="360"/>
        <w:jc w:val="both"/>
      </w:pPr>
      <w:r>
        <w:rPr>
          <w:rFonts w:ascii="Times New Roman" w:eastAsia="SimSun"/>
          <w:color w:val="000000"/>
          <w:sz w:val="24"/>
          <w:szCs w:val="24"/>
        </w:rPr>
        <w:t xml:space="preserve">The data model for a real-time analytics dashboard is organized around the event, the metric, and the dashboard. The event is the atomic unit of data, representing a single occurrence such as a page view, a transaction, or a sensor reading. The metric is an aggregate derived from events, such as the count of events in a time window or the average of a numeric field. The dashboard is the visualization layer that presents the metrics to the user. The storage is optimized for the query patterns of the dashboard, which are typically aggregations over time windows, rather than for the transactional patterns of a relational database.</w:t>
      </w:r>
    </w:p>
    <w:p>
      <w:pPr>
        <w:keepNext/>
        <w:spacing w:after="100" w:before="200" w:line="312"/>
        <w:jc w:val="left"/>
      </w:pPr>
      <w:r>
        <w:rPr>
          <w:rFonts w:ascii="Arial" w:eastAsia="SimHei"/>
          <w:b/>
          <w:bCs/>
          <w:color w:val="0B1C2C"/>
          <w:sz w:val="22"/>
          <w:szCs w:val="22"/>
        </w:rPr>
        <w:t xml:space="preserve">Table 6: Core Entities of a Real-Time Analytics Dashboard</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Event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source, type, timestamp, properties (JSONB), user_id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Ingested into Kafka; aggregated into Metrics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Metric</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name, aggregation (count/sum/avg), window, dimensions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Computed from Events; displayed on Dashboards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Dashboard</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name, owner_id, widgets (JSONB), refresh_interval</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Widgets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Widget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dashboard_id, metric_id, chart_type, config (JSONB)</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Dashboard, Metric</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Alert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metric_id, condition, threshold, channel,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Triggers on Metric threshold breach</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DataSource</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name, type (kafka/api/webhook), config (JSONB)</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Produces Events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User</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name, email, role,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Owns Dashboards; receives Alerts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AuditEvent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user_id, action, entity_type, entity_id, created_at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User</w:t>
            </w:r>
          </w:p>
        </w:tc>
      </w:tr>
    </w:tbl>
    <w:p>
      <w:pPr>
        <w:spacing w:after="200" w:before="80" w:line="312"/>
        <w:jc w:val="center"/>
      </w:pPr>
      <w:r>
        <w:rPr>
          <w:rFonts w:ascii="Times New Roman" w:eastAsia="SimSun"/>
          <w:i/>
          <w:iCs/>
          <w:color w:val="606060"/>
          <w:sz w:val="20"/>
          <w:szCs w:val="20"/>
        </w:rPr>
        <w:t xml:space="preserve">Table 6: The core data entities of a real-time analytics dashboard. Events flow from data sources through Kafka into ClickHouse, where they are aggregated into metrics that drive dashboard widgets and alerts.</w:t>
      </w:r>
    </w:p>
    <w:p>
      <w:pPr>
        <w:spacing w:after="120" w:line="312"/>
        <w:ind w:firstLine="360"/>
        <w:jc w:val="both"/>
      </w:pPr>
      <w:r>
        <w:rPr>
          <w:rFonts w:ascii="Times New Roman" w:eastAsia="SimSun"/>
          <w:color w:val="000000"/>
          <w:sz w:val="24"/>
          <w:szCs w:val="24"/>
        </w:rPr>
        <w:t xml:space="preserve">The event is stored in ClickHouse rather than in PostgreSQL, because ClickHouse is a columnar database optimized for the aggregation queries that the dashboard executes, and it can sustain ingestion rates of hundreds of thousands of events per second on commodity hardware. The metric is computed either at ingestion time through a materialized view in ClickHouse or at query time through an aggregation query, and the choice between the two is a function of the query latency target and the cardinality of the dimensions. The dashboard and widget entities are stored in PostgreSQL, because they are transactional data with low volume and complex relationships. The alert entity is evaluated by a scheduler that queries the metric on a configured interval and that triggers a notification through the configured channel when the condition is met.</w:t>
      </w:r>
    </w:p>
    <w:p>
      <w:pPr>
        <w:pStyle w:val="Heading2"/>
        <w:spacing w:after="120" w:before="280" w:line="312"/>
      </w:pPr>
      <w:bookmarkStart w:id="100077" w:name="_Toc100077"/>
      <w:r>
        <w:rPr>
          <w:rFonts w:ascii="Arial" w:eastAsia="SimHei"/>
          <w:b/>
          <w:bCs/>
          <w:color w:val="0B1C2C"/>
          <w:sz w:val="28"/>
          <w:szCs w:val="28"/>
        </w:rPr>
        <w:t xml:space="preserve">11.6 How It Works: End-to-End Processes</w:t>
      </w:r>
      <w:bookmarkEnd w:id="100077"/>
    </w:p>
    <w:p>
      <w:pPr>
        <w:spacing w:after="120" w:line="312"/>
        <w:ind w:firstLine="360"/>
        <w:jc w:val="both"/>
      </w:pPr>
      <w:r>
        <w:rPr>
          <w:rFonts w:ascii="Times New Roman" w:eastAsia="SimSun"/>
          <w:b/>
          <w:bCs/>
          <w:color w:val="000000"/>
          <w:sz w:val="24"/>
          <w:szCs w:val="24"/>
        </w:rPr>
        <w:t xml:space="preserve">Event Ingestion Flow:</w:t>
      </w:r>
      <w:r>
        <w:rPr>
          <w:rFonts w:ascii="Times New Roman" w:eastAsia="SimSun"/>
          <w:color w:val="000000"/>
          <w:sz w:val="24"/>
          <w:szCs w:val="24"/>
        </w:rPr>
        <w:t xml:space="preserve"> An upstream system produces an event and sends it to a Kafka topic. The event is serialized in a schema registered with a schema registry, which ensures that the producers and consumers agree on the event structure. Kafka partitions the topic by a key such as the user_id, which ensures that all events for a given user are delivered in order to the same consumer. A stream processor consumes the topic, enriches the event with additional data if needed, and writes it to ClickHouse through a batch insert, which is the optimal ingestion pattern for ClickHouse.</w:t>
      </w:r>
    </w:p>
    <w:p>
      <w:pPr>
        <w:spacing w:after="120" w:line="312"/>
        <w:ind w:firstLine="360"/>
        <w:jc w:val="both"/>
      </w:pPr>
      <w:r>
        <w:rPr>
          <w:rFonts w:ascii="Times New Roman" w:eastAsia="SimSun"/>
          <w:b/>
          <w:bCs/>
          <w:color w:val="000000"/>
          <w:sz w:val="24"/>
          <w:szCs w:val="24"/>
        </w:rPr>
        <w:t xml:space="preserve">Metric Computation Flow:</w:t>
      </w:r>
      <w:r>
        <w:rPr>
          <w:rFonts w:ascii="Times New Roman" w:eastAsia="SimSun"/>
          <w:color w:val="000000"/>
          <w:sz w:val="24"/>
          <w:szCs w:val="24"/>
        </w:rPr>
        <w:t xml:space="preserve"> A metric is computed either through a materialized view that aggregates events as they are ingested, or through a query that aggregates events at query time. The materialized view approach provides lower query latency at the cost of higher ingestion cost and storage, and is preferred for metrics that are queried frequently. The query-time approach provides lower ingestion cost and greater flexibility at the cost of higher query latency, and is preferred for metrics that are queried infrequently or that are exploratory. The choice is documented per metric in the metric definition.</w:t>
      </w:r>
    </w:p>
    <w:p>
      <w:pPr>
        <w:spacing w:after="120" w:line="312"/>
        <w:ind w:firstLine="360"/>
        <w:jc w:val="both"/>
      </w:pPr>
      <w:r>
        <w:rPr>
          <w:rFonts w:ascii="Times New Roman" w:eastAsia="SimSun"/>
          <w:b/>
          <w:bCs/>
          <w:color w:val="000000"/>
          <w:sz w:val="24"/>
          <w:szCs w:val="24"/>
        </w:rPr>
        <w:t xml:space="preserve">Dashboard Update Flow:</w:t>
      </w:r>
      <w:r>
        <w:rPr>
          <w:rFonts w:ascii="Times New Roman" w:eastAsia="SimSun"/>
          <w:color w:val="000000"/>
          <w:sz w:val="24"/>
          <w:szCs w:val="24"/>
        </w:rPr>
        <w:t xml:space="preserve"> A user opens a dashboard, the platform queries ClickHouse for the current values of the dashboard's metrics, and renders the dashboard. The platform then opens a WebSocket connection through which the server pushes updates whenever the underlying metrics change. The server computes the updates by querying ClickHouse on a configured interval, typically every few seconds, comparing the result to the previous result, and pushing the delta to the client only if the metric has changed. The client updates only the widgets whose underlying data has changed, which minimizes the rendering cost and preserves the responsiveness of the interface.</w:t>
      </w:r>
    </w:p>
    <w:p>
      <w:pPr>
        <w:spacing w:after="120" w:line="312"/>
        <w:ind w:firstLine="360"/>
        <w:jc w:val="both"/>
      </w:pPr>
      <w:r>
        <w:rPr>
          <w:rFonts w:ascii="Times New Roman" w:eastAsia="SimSun"/>
          <w:b/>
          <w:bCs/>
          <w:color w:val="000000"/>
          <w:sz w:val="24"/>
          <w:szCs w:val="24"/>
        </w:rPr>
        <w:t xml:space="preserve">Alert Evaluation Flow:</w:t>
      </w:r>
      <w:r>
        <w:rPr>
          <w:rFonts w:ascii="Times New Roman" w:eastAsia="SimSun"/>
          <w:color w:val="000000"/>
          <w:sz w:val="24"/>
          <w:szCs w:val="24"/>
        </w:rPr>
        <w:t xml:space="preserve"> A scheduler evaluates each alert on its configured interval by querying the metric and comparing it to the threshold. If the condition is met, the scheduler creates an alert notification, sends it through the configured channel such as email, Slack, or a webhook, and records the alert as fired to prevent duplicate notifications within a cooldown period. The alert can be acknowledged by a user, which stops further notifications until the alert is resolved or until a new condition is met.</w:t>
      </w:r>
    </w:p>
    <w:p>
      <w:pPr>
        <w:pStyle w:val="Heading2"/>
        <w:spacing w:after="120" w:before="280" w:line="312"/>
      </w:pPr>
      <w:bookmarkStart w:id="100078" w:name="_Toc100078"/>
      <w:r>
        <w:rPr>
          <w:rFonts w:ascii="Arial" w:eastAsia="SimHei"/>
          <w:b/>
          <w:bCs/>
          <w:color w:val="0B1C2C"/>
          <w:sz w:val="28"/>
          <w:szCs w:val="28"/>
        </w:rPr>
        <w:t xml:space="preserve">11.7 Security and Compliance Controls</w:t>
      </w:r>
      <w:bookmarkEnd w:id="100078"/>
    </w:p>
    <w:p>
      <w:pPr>
        <w:spacing w:after="120" w:line="312"/>
        <w:ind w:firstLine="360"/>
        <w:jc w:val="both"/>
      </w:pPr>
      <w:r>
        <w:rPr>
          <w:rFonts w:ascii="Times New Roman" w:eastAsia="SimSun"/>
          <w:color w:val="000000"/>
          <w:sz w:val="24"/>
          <w:szCs w:val="24"/>
        </w:rPr>
        <w:t xml:space="preserve">Security for an analytics dashboard depends on the sensitivity of the underlying data. If the dashboard exposes personally identifiable information, even in aggregate, the system must enforce row-level security, must mask data for unauthorized users, and must log access. The access-control model must support both dashboard-level permissions, which control who can view a dashboard, and data-level permissions, which control which subset of the data a user can see on a shared dashboard. If the dashboard is exposed to external parties such as customers or partners, the authentication and authorization model must be robust against the full range of OWASP Top Ten threats, and the system must be designed so that a compromise of the dashboard does not expose the upstream data sources. The event data in ClickHouse must be retained only for the period required by the dashboard, with older data archived to a data warehouse or deleted, which supports both the performance of the dashboard and the data-minimization principles of the GDPR.</w:t>
      </w:r>
    </w:p>
    <w:p>
      <w:pPr>
        <w:pStyle w:val="Heading2"/>
        <w:spacing w:after="120" w:before="280" w:line="312"/>
      </w:pPr>
      <w:bookmarkStart w:id="100079" w:name="_Toc100079"/>
      <w:r>
        <w:rPr>
          <w:rFonts w:ascii="Arial" w:eastAsia="SimHei"/>
          <w:b/>
          <w:bCs/>
          <w:color w:val="0B1C2C"/>
          <w:sz w:val="28"/>
          <w:szCs w:val="28"/>
        </w:rPr>
        <w:t xml:space="preserve">11.8 UI/UX and Accessibility</w:t>
      </w:r>
      <w:bookmarkEnd w:id="100079"/>
    </w:p>
    <w:p>
      <w:pPr>
        <w:spacing w:after="120" w:line="312"/>
        <w:ind w:firstLine="360"/>
        <w:jc w:val="both"/>
      </w:pPr>
      <w:r>
        <w:rPr>
          <w:rFonts w:ascii="Times New Roman" w:eastAsia="SimSun"/>
          <w:color w:val="000000"/>
          <w:sz w:val="24"/>
          <w:szCs w:val="24"/>
        </w:rPr>
        <w:t xml:space="preserve">The user experience of a real-time analytics dashboard presents a specific accessibility challenge: charts and visualizations are inherently difficult to make accessible to users with visual impairments. WCAG 2.2 requires that information conveyed through color is also available through another visual means, that charts have text alternatives, and that interactive elements are operable from the keyboard. A production-grade dashboard must provide data tables as alternatives to charts, must use color palettes that are distinguishable to users with color vision deficiencies, and must support screen-reader navigation of the data. The dashboard must also handle the real-time updates in an accessible way: when a value changes, the change must be announced to screen-reader users in a way that is comprehensible rather than disruptive, which requires careful use of ARIA live regions. The performance of the dashboard is itself an accessibility consideration, because a dashboard that re-renders excessively can be disorienting for users with cognitive disabilities and can be unusable for users on assistive technology that cannot keep up with rapid changes.</w:t>
      </w:r>
    </w:p>
    <w:p>
      <w:pPr>
        <w:pStyle w:val="Heading2"/>
        <w:spacing w:after="120" w:before="280" w:line="312"/>
      </w:pPr>
      <w:bookmarkStart w:id="100080" w:name="_Toc100080"/>
      <w:r>
        <w:rPr>
          <w:rFonts w:ascii="Arial" w:eastAsia="SimHei"/>
          <w:b/>
          <w:bCs/>
          <w:color w:val="0B1C2C"/>
          <w:sz w:val="28"/>
          <w:szCs w:val="28"/>
        </w:rPr>
        <w:t xml:space="preserve">11.9 Building Process and Implementation Roadmap</w:t>
      </w:r>
      <w:bookmarkEnd w:id="100080"/>
    </w:p>
    <w:p>
      <w:pPr>
        <w:spacing w:after="120" w:line="312"/>
        <w:ind w:firstLine="360"/>
        <w:jc w:val="both"/>
      </w:pPr>
      <w:r>
        <w:rPr>
          <w:rFonts w:ascii="Times New Roman" w:eastAsia="SimSun"/>
          <w:color w:val="000000"/>
          <w:sz w:val="24"/>
          <w:szCs w:val="24"/>
        </w:rPr>
        <w:t xml:space="preserve">The implementation roadmap for a real-time analytics dashboard spans approximately nine to fifteen months. Phase one, months one through three, builds the ingestion pipeline: the Kafka topic, the stream processor, and the ClickHouse ingestion. Phase two, months four through six, builds the query and metric layer: the materialized views, the query API, and the metric definitions. Phase three, months seven through nine, builds the dashboard frontend: the widget rendering, the WebSocket push, and the dashboard configuration. Phase four, months ten through twelve, adds the alerting, the access control, and the audit logging. Phase five, months thirteen through fifteen, hardens the system: load testing of the ingestion, latency testing of the end-to-end update path, and accessibility audit of the dashboard.</w:t>
      </w:r>
    </w:p>
    <w:p>
      <w:pPr>
        <w:pStyle w:val="Heading2"/>
        <w:spacing w:after="120" w:before="280" w:line="312"/>
      </w:pPr>
      <w:bookmarkStart w:id="100081" w:name="_Toc100081"/>
      <w:r>
        <w:rPr>
          <w:rFonts w:ascii="Arial" w:eastAsia="SimHei"/>
          <w:b/>
          <w:bCs/>
          <w:color w:val="0B1C2C"/>
          <w:sz w:val="28"/>
          <w:szCs w:val="28"/>
        </w:rPr>
        <w:t xml:space="preserve">11.10 Business Viability and Sources</w:t>
      </w:r>
      <w:bookmarkEnd w:id="100081"/>
    </w:p>
    <w:p>
      <w:pPr>
        <w:spacing w:after="120" w:line="312"/>
        <w:ind w:firstLine="360"/>
        <w:jc w:val="both"/>
      </w:pPr>
      <w:r>
        <w:rPr>
          <w:rFonts w:ascii="Times New Roman" w:eastAsia="SimSun"/>
          <w:color w:val="000000"/>
          <w:sz w:val="24"/>
          <w:szCs w:val="24"/>
        </w:rPr>
        <w:t xml:space="preserve">Business viability for analytics dashboards is strong because every business generates data and increasingly expects to act on it in real time. The commercial model is typically a combination of per-seat subscription for dashboard access and usage-based pricing for data volume, which aligns vendor revenue with the value the customer derives. The competitive landscape is crowded, so differentiation typically comes from depth in a specific domain, such as application performance monitoring, product analytics, or financial observability, or from a superior integration story that connects to the data sources a specific buyer already operates. Key sources include the ClickHouse documentation on real-time analytics, the Tinybird guide to real-time app architectures, the Sencha guide to building real-time dashboards with WebSockets, and the OWASP Top Ten.</w:t>
      </w:r>
    </w:p>
    <w:p>
      <w:pPr>
        <w:pStyle w:val="Heading1"/>
        <w:spacing w:after="160" w:before="360" w:line="312"/>
      </w:pPr>
      <w:bookmarkStart w:id="100082" w:name="_Toc100082"/>
      <w:r>
        <w:rPr>
          <w:rFonts w:ascii="Arial" w:eastAsia="SimHei"/>
          <w:b/>
          <w:bCs/>
          <w:color w:val="0B1C2C"/>
          <w:sz w:val="32"/>
          <w:szCs w:val="32"/>
        </w:rPr>
        <w:t xml:space="preserve">12. System 6: AI-Powered Customer-Facing Application</w:t>
      </w:r>
      <w:bookmarkEnd w:id="100082"/>
    </w:p>
    <w:p>
      <w:pPr>
        <w:pStyle w:val="Heading2"/>
        <w:spacing w:after="120" w:before="280" w:line="312"/>
      </w:pPr>
      <w:bookmarkStart w:id="100083" w:name="_Toc100083"/>
      <w:r>
        <w:rPr>
          <w:rFonts w:ascii="Arial" w:eastAsia="SimHei"/>
          <w:b/>
          <w:bCs/>
          <w:color w:val="0B1C2C"/>
          <w:sz w:val="28"/>
          <w:szCs w:val="28"/>
        </w:rPr>
        <w:t xml:space="preserve">12.1 Overview and Market Context</w:t>
      </w:r>
      <w:bookmarkEnd w:id="100083"/>
    </w:p>
    <w:p>
      <w:pPr>
        <w:spacing w:after="120" w:line="312"/>
        <w:ind w:firstLine="360"/>
        <w:jc w:val="both"/>
      </w:pPr>
      <w:r>
        <w:rPr>
          <w:rFonts w:ascii="Times New Roman" w:eastAsia="SimSun"/>
          <w:color w:val="000000"/>
          <w:sz w:val="24"/>
          <w:szCs w:val="24"/>
        </w:rPr>
        <w:t xml:space="preserve">AI-powered applications, particularly those built on large language models, represent the fastest-growing segment of the software market. The AI SaaS market was valued at 22.21 billion dollars in 2025, and the chatbot market alone is projected to grow from 9.6 billion dollars in 2025 to 41.2 billion dollars by 2033. The category is commercially significant and technically distinct because the behavior of an AI-powered system is probabilistic rather than deterministic, which changes the engineering discipline required to ship a production-grade product. The simplest form of retrieval-augmented generation, embedding documents and passing retrieved chunks to a language model, remains a useful prototyping pattern but rarely survives the transition to production; production systems evolved into sophisticated retrieval pipelines combining hybrid search, cross-encoder reranking, and query transformation. Practitioner sources report that these techniques can improve retrieval recall substantially over naive approaches, though the magnitude of improvement varies by dataset and benchmark, and the field has not yet converged on a single universal figure.</w:t>
      </w:r>
    </w:p>
    <w:p>
      <w:pPr>
        <w:pStyle w:val="Heading2"/>
        <w:spacing w:after="120" w:before="280" w:line="312"/>
      </w:pPr>
      <w:bookmarkStart w:id="100084" w:name="_Toc100084"/>
      <w:r>
        <w:rPr>
          <w:rFonts w:ascii="Arial" w:eastAsia="SimHei"/>
          <w:b/>
          <w:bCs/>
          <w:color w:val="0B1C2C"/>
          <w:sz w:val="28"/>
          <w:szCs w:val="28"/>
        </w:rPr>
        <w:t xml:space="preserve">12.2 Planning from Scratch</w:t>
      </w:r>
      <w:bookmarkEnd w:id="100084"/>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Reduce the cost or increase the speed of a specific customer-facing workflow through the measured application of a large language model, with a measurable outcome such as 'resolve 60 percent of incoming support tickets without human intervention while maintaining customer satisfaction above 4.2 out of 5' for a defined support operation.</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A business with a high-volume, repetitive customer-facing workflow that currently requires human intervention and that can be measurably improved by an AI system. The customer must have a defined workflow, a measurable outcome, and a willingness to provide the training data and feedback needed to tune the system.</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A conversation or interaction interface, integration with one or more model providers, a prompt-management layer that versions and tests prompts, a retrieval or grounding mechanism that provides the model with relevant context, guardrails that constrain the model's outputs to safe and on-brand responses, a feedback loop that captures user satisfaction for continuous improvement, and a human-handoff path for cases the model cannot handle.</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a response time below two seconds to the first token and below ten seconds to the complete response at p95, availability of 99.9 percent excluding upstream model-provider outages, and a cost per interaction that supports the unit economics of the pricing model. The latency target, particularly the time to first token, is critical because users perceive latency in AI systems differently from traditional systems and will tolerate a streaming response that begins quickly over a faster complete response.</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GDPR for conversation data, with particular attention to the disclosure that the user is interacting with an AI, which is a regulatory expectation in several jurisdictions. The EU AI Act imposes additional obligations on high-risk AI systems, which must be assessed during planning. For regulated industries such as healthcare or financial services, the use of AI in customer-facing interactions may be subject to additional requirements that constrain what the system may say or decide.</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supports a single conversation modality, typically text chat, and a single language. Voice, multi-language, and autonomous action execution are excluded from the initial build and are added in later phases once the text-only system has demonstrated reliability.</w:t>
      </w:r>
    </w:p>
    <w:p>
      <w:pPr>
        <w:pStyle w:val="Heading2"/>
        <w:spacing w:after="120" w:before="280" w:line="312"/>
      </w:pPr>
      <w:bookmarkStart w:id="100085" w:name="_Toc100085"/>
      <w:r>
        <w:rPr>
          <w:rFonts w:ascii="Arial" w:eastAsia="SimHei"/>
          <w:b/>
          <w:bCs/>
          <w:color w:val="0B1C2C"/>
          <w:sz w:val="28"/>
          <w:szCs w:val="28"/>
        </w:rPr>
        <w:t xml:space="preserve">12.3 SDLC Application</w:t>
      </w:r>
      <w:bookmarkEnd w:id="100085"/>
    </w:p>
    <w:p>
      <w:pPr>
        <w:spacing w:after="120" w:line="312"/>
        <w:ind w:firstLine="360"/>
        <w:jc w:val="both"/>
      </w:pPr>
      <w:r>
        <w:rPr>
          <w:rFonts w:ascii="Times New Roman" w:eastAsia="SimSun"/>
          <w:color w:val="000000"/>
          <w:sz w:val="24"/>
          <w:szCs w:val="24"/>
        </w:rPr>
        <w:t xml:space="preserve">The SDLC for an AI-powered application follows the six phases, with particular emphasis on the evaluation harness and the guardrail design. In planning, the team produces a specification that includes the target workflow, the success criteria including the metrics by which the system will be evaluated, and the human-handoff policy. In design, the architecture decision record documents the choice of model provider, the retrieval architecture, the prompt-management approach, and the guardrail design. In development, the team implements the orchestration layer, the retrieval pipeline, the guardrail filters, and the evaluation harness, which is itself a first-class artifact tested in continuous integration. In testing, the regime includes functional testing of the conversation flows, evaluation testing against a labeled dataset to detect regressions in model or prompt changes, guardrail testing to verify that unsafe inputs and outputs are filtered, and latency testing of the streaming response. In deployment, the system is released progressively, with a fraction of traffic routed to the AI system and the remainder handled by humans, so that the system's real-world performance can be measured before full cutover. In maintenance, the team monitors the conversation quality, the guardrail effectiveness, and the cost per interaction, and iterates on the prompts and the retrieval in response to observed performance.</w:t>
      </w:r>
    </w:p>
    <w:p>
      <w:pPr>
        <w:pStyle w:val="Heading2"/>
        <w:spacing w:after="120" w:before="280" w:line="312"/>
      </w:pPr>
      <w:bookmarkStart w:id="100086" w:name="_Toc100086"/>
      <w:r>
        <w:rPr>
          <w:rFonts w:ascii="Arial" w:eastAsia="SimHei"/>
          <w:b/>
          <w:bCs/>
          <w:color w:val="0B1C2C"/>
          <w:sz w:val="28"/>
          <w:szCs w:val="28"/>
        </w:rPr>
        <w:t xml:space="preserve">12.4 Foundation and Reference Architecture</w:t>
      </w:r>
      <w:bookmarkEnd w:id="100086"/>
    </w:p>
    <w:p>
      <w:pPr>
        <w:spacing w:after="120" w:line="312"/>
        <w:ind w:firstLine="360"/>
        <w:jc w:val="both"/>
      </w:pPr>
      <w:r>
        <w:rPr>
          <w:rFonts w:ascii="Times New Roman" w:eastAsia="SimSun"/>
          <w:color w:val="000000"/>
          <w:sz w:val="24"/>
          <w:szCs w:val="24"/>
        </w:rPr>
        <w:t xml:space="preserve">The reference architecture for an AI-powered application adds several components to the standard SaaS stack. A vector database, such as Pinecone, Weaviate, or pgvector on PostgreSQL, stores embeddings for retrieval-augmented generation. An orchestration layer, frequently built on a framework such as LangChain or a vendor-specific equivalent, manages the sequence of model calls, tool invocations, and context assembly. An evaluation harness, run as part of continuous integration, tests prompt and model changes against a labeled dataset to detect regressions. A guardrail layer, using tools from the model provider or specialized vendors, filters inputs and outputs for safety, toxicity, and policy violations. The frontend must handle streaming responses gracefully, because users perceive latency in AI systems differently from traditional request-response systems and will tolerate a streaming response that begins quickly over a faster complete response. The complete pipeline flows from a user message through input guardrails, through query transformation that rewrites the message for retrieval, through a vector search that retrieves relevant context, through a model call that generates a response grounded in the context, through output guardrails, and back to the user as a streaming response.</w:t>
      </w:r>
    </w:p>
    <w:p>
      <w:pPr>
        <w:pStyle w:val="Heading2"/>
        <w:spacing w:after="120" w:before="280" w:line="312"/>
      </w:pPr>
      <w:bookmarkStart w:id="100087" w:name="_Toc100087"/>
      <w:r>
        <w:rPr>
          <w:rFonts w:ascii="Arial" w:eastAsia="SimHei"/>
          <w:b/>
          <w:bCs/>
          <w:color w:val="0B1C2C"/>
          <w:sz w:val="28"/>
          <w:szCs w:val="28"/>
        </w:rPr>
        <w:t xml:space="preserve">12.5 Data Model</w:t>
      </w:r>
      <w:bookmarkEnd w:id="100087"/>
    </w:p>
    <w:p>
      <w:pPr>
        <w:spacing w:after="120" w:line="312"/>
        <w:ind w:firstLine="360"/>
        <w:jc w:val="both"/>
      </w:pPr>
      <w:r>
        <w:rPr>
          <w:rFonts w:ascii="Times New Roman" w:eastAsia="SimSun"/>
          <w:color w:val="000000"/>
          <w:sz w:val="24"/>
          <w:szCs w:val="24"/>
        </w:rPr>
        <w:t xml:space="preserve">The data model for an AI-powered application centers on the conversation, the message, the document, and the embedding. The conversation is the container for a sequence of messages exchanged between the user and the system. The message is the atomic unit, carrying the role (user, assistant, or system), the content, and the metadata. The document is the unit of knowledge that grounds the model's responses, and the embedding is the vector representation of the document that enables semantic retrieval. The model call and the retrieval are recorded for observability and for the feedback loop.</w:t>
      </w:r>
    </w:p>
    <w:p>
      <w:pPr>
        <w:keepNext/>
        <w:spacing w:after="100" w:before="200" w:line="312"/>
        <w:jc w:val="left"/>
      </w:pPr>
      <w:r>
        <w:rPr>
          <w:rFonts w:ascii="Arial" w:eastAsia="SimHei"/>
          <w:b/>
          <w:bCs/>
          <w:color w:val="0B1C2C"/>
          <w:sz w:val="22"/>
          <w:szCs w:val="22"/>
        </w:rPr>
        <w:t xml:space="preserve">Table 7: Core Entities of an AI-Powered Application</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Conversation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user_id, status, started_at, handed_off_at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Messages, ModelCalls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Message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conversation_id, role, content, token_count, created_at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Conversation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Document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source, title, content, metadata (JSONB)</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Chunks, Embeddings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Chunk</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document_id, content, position, token_count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Document; has one Embedding</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Embedding</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chunk_id, model, vector (vector type)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Chunk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ModelCall</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conversation_id, model, prompt, response, tokens_in, tokens_out, latency_ms, cost_cents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Conversation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Retrieval</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model_call_id, query, chunk_ids, scores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ModelCall</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Feedback</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message_id, rating, comment, created_at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Message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GuardrailEvent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conversation_id, direction, triggered_rule, action</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Conversation</w:t>
            </w:r>
          </w:p>
        </w:tc>
      </w:tr>
    </w:tbl>
    <w:p>
      <w:pPr>
        <w:spacing w:after="200" w:before="80" w:line="312"/>
        <w:jc w:val="center"/>
      </w:pPr>
      <w:r>
        <w:rPr>
          <w:rFonts w:ascii="Times New Roman" w:eastAsia="SimSun"/>
          <w:i/>
          <w:iCs/>
          <w:color w:val="606060"/>
          <w:sz w:val="20"/>
          <w:szCs w:val="20"/>
        </w:rPr>
        <w:t xml:space="preserve">Table 7: The core data entities of an AI-powered application. Documents are chunked and embedded for retrieval-augmented generation; every model call and retrieval is recorded for observability and for the feedback loop.</w:t>
      </w:r>
    </w:p>
    <w:p>
      <w:pPr>
        <w:spacing w:after="120" w:line="312"/>
        <w:ind w:firstLine="360"/>
        <w:jc w:val="both"/>
      </w:pPr>
      <w:r>
        <w:rPr>
          <w:rFonts w:ascii="Times New Roman" w:eastAsia="SimSun"/>
          <w:color w:val="000000"/>
          <w:sz w:val="24"/>
          <w:szCs w:val="24"/>
        </w:rPr>
        <w:t xml:space="preserve">The embedding is stored in a vector index, either in a dedicated vector database or in PostgreSQL using the pgvector extension, which supports approximate nearest-neighbor search and is sufficient for many applications. The model call entity records the prompt, the response, the token counts, the latency, and the cost, which supports both observability and the unit-economics analysis that determines whether the system is commercially viable at scale. The feedback entity captures the user's rating of individual messages, which is the data that drives the continuous improvement of the prompts and the retrieval. The guardrail event entity records every instance in which a guardrail was triggered, which supports the monitoring of the system's safety and the tuning of the guardrail configuration.</w:t>
      </w:r>
    </w:p>
    <w:p>
      <w:pPr>
        <w:pStyle w:val="Heading2"/>
        <w:spacing w:after="120" w:before="280" w:line="312"/>
      </w:pPr>
      <w:bookmarkStart w:id="100088" w:name="_Toc100088"/>
      <w:r>
        <w:rPr>
          <w:rFonts w:ascii="Arial" w:eastAsia="SimHei"/>
          <w:b/>
          <w:bCs/>
          <w:color w:val="0B1C2C"/>
          <w:sz w:val="28"/>
          <w:szCs w:val="28"/>
        </w:rPr>
        <w:t xml:space="preserve">12.6 How It Works: End-to-End Processes</w:t>
      </w:r>
      <w:bookmarkEnd w:id="100088"/>
    </w:p>
    <w:p>
      <w:pPr>
        <w:spacing w:after="120" w:line="312"/>
        <w:ind w:firstLine="360"/>
        <w:jc w:val="both"/>
      </w:pPr>
      <w:r>
        <w:rPr>
          <w:rFonts w:ascii="Times New Roman" w:eastAsia="SimSun"/>
          <w:b/>
          <w:bCs/>
          <w:color w:val="000000"/>
          <w:sz w:val="24"/>
          <w:szCs w:val="24"/>
        </w:rPr>
        <w:t xml:space="preserve">Conversation Flow:</w:t>
      </w:r>
      <w:r>
        <w:rPr>
          <w:rFonts w:ascii="Times New Roman" w:eastAsia="SimSun"/>
          <w:color w:val="000000"/>
          <w:sz w:val="24"/>
          <w:szCs w:val="24"/>
        </w:rPr>
        <w:t xml:space="preserve"> A user sends a message through the conversation interface. The message passes through the input guardrails, which check for prompt injection, toxic content, and policy violations. If a guardrail is triggered, the system returns a canned response or escalates to a human. If the guardrails pass, the orchestration layer transforms the message into a retrieval query, executes the query against the vector index to retrieve the most relevant chunks, assembles a prompt that includes the retrieved context and the conversation history, calls the model, and streams the response back to the user. The response passes through the output guardrails before being displayed, and the model call, the retrieval, and the guardrail events are recorded for observability.</w:t>
      </w:r>
    </w:p>
    <w:p>
      <w:pPr>
        <w:spacing w:after="120" w:line="312"/>
        <w:ind w:firstLine="360"/>
        <w:jc w:val="both"/>
      </w:pPr>
      <w:r>
        <w:rPr>
          <w:rFonts w:ascii="Times New Roman" w:eastAsia="SimSun"/>
          <w:b/>
          <w:bCs/>
          <w:color w:val="000000"/>
          <w:sz w:val="24"/>
          <w:szCs w:val="24"/>
        </w:rPr>
        <w:t xml:space="preserve">Retrieval-Augmented Generation Flow:</w:t>
      </w:r>
      <w:r>
        <w:rPr>
          <w:rFonts w:ascii="Times New Roman" w:eastAsia="SimSun"/>
          <w:color w:val="000000"/>
          <w:sz w:val="24"/>
          <w:szCs w:val="24"/>
        </w:rPr>
        <w:t xml:space="preserve"> The retrieval step is the most consequential for the quality of the response. A naive retrieval embeds the user's message and searches the vector index for the nearest chunks, but production systems use query transformation to rewrite the message for retrieval, hybrid search that combines vector similarity with keyword matching, and cross-encoder reranking that re-scores the retrieved chunks for relevance. The retrieved chunks are assembled into the prompt with citations, so that the model's response can reference the sources, which is the property that makes the response trustworthy rather than merely plausible.</w:t>
      </w:r>
    </w:p>
    <w:p>
      <w:pPr>
        <w:spacing w:after="120" w:line="312"/>
        <w:ind w:firstLine="360"/>
        <w:jc w:val="both"/>
      </w:pPr>
      <w:r>
        <w:rPr>
          <w:rFonts w:ascii="Times New Roman" w:eastAsia="SimSun"/>
          <w:b/>
          <w:bCs/>
          <w:color w:val="000000"/>
          <w:sz w:val="24"/>
          <w:szCs w:val="24"/>
        </w:rPr>
        <w:t xml:space="preserve">Feedback and Improvement Flow:</w:t>
      </w:r>
      <w:r>
        <w:rPr>
          <w:rFonts w:ascii="Times New Roman" w:eastAsia="SimSun"/>
          <w:color w:val="000000"/>
          <w:sz w:val="24"/>
          <w:szCs w:val="24"/>
        </w:rPr>
        <w:t xml:space="preserve"> A user rates a response, which creates a Feedback record linked to the message. The feedback is aggregated and reviewed, and the prompts and the retrieval are iterated in response. Before any change is deployed, the evaluation harness runs the proposed change against a labeled dataset and compares the results to the current system; a change that degrades performance on the dataset is blocked from deployment. This evaluation-driven development is the discipline that prevents the system from regressing as it evolves.</w:t>
      </w:r>
    </w:p>
    <w:p>
      <w:pPr>
        <w:spacing w:after="120" w:line="312"/>
        <w:ind w:firstLine="360"/>
        <w:jc w:val="both"/>
      </w:pPr>
      <w:r>
        <w:rPr>
          <w:rFonts w:ascii="Times New Roman" w:eastAsia="SimSun"/>
          <w:b/>
          <w:bCs/>
          <w:color w:val="000000"/>
          <w:sz w:val="24"/>
          <w:szCs w:val="24"/>
        </w:rPr>
        <w:t xml:space="preserve">Human Handoff Flow:</w:t>
      </w:r>
      <w:r>
        <w:rPr>
          <w:rFonts w:ascii="Times New Roman" w:eastAsia="SimSun"/>
          <w:color w:val="000000"/>
          <w:sz w:val="24"/>
          <w:szCs w:val="24"/>
        </w:rPr>
        <w:t xml:space="preserve"> When the system cannot handle a conversation, either because a guardrail is triggered, because the user requests a human, or because the system's confidence is below a threshold, the conversation is handed off to a human agent. The handoff transfers the full conversation history to the human, so that the user does not need to repeat themselves, and the human takes over the conversation. The handoff event is recorded, and the conversation is later reviewed to identify the gap that caused the handoff, which feeds the improvement loop.</w:t>
      </w:r>
    </w:p>
    <w:p>
      <w:pPr>
        <w:pStyle w:val="Heading2"/>
        <w:spacing w:after="120" w:before="280" w:line="312"/>
      </w:pPr>
      <w:bookmarkStart w:id="100089" w:name="_Toc100089"/>
      <w:r>
        <w:rPr>
          <w:rFonts w:ascii="Arial" w:eastAsia="SimHei"/>
          <w:b/>
          <w:bCs/>
          <w:color w:val="0B1C2C"/>
          <w:sz w:val="28"/>
          <w:szCs w:val="28"/>
        </w:rPr>
        <w:t xml:space="preserve">12.7 Security and Compliance Controls</w:t>
      </w:r>
      <w:bookmarkEnd w:id="100089"/>
    </w:p>
    <w:p>
      <w:pPr>
        <w:spacing w:after="120" w:line="312"/>
        <w:ind w:firstLine="360"/>
        <w:jc w:val="both"/>
      </w:pPr>
      <w:r>
        <w:rPr>
          <w:rFonts w:ascii="Times New Roman" w:eastAsia="SimSun"/>
          <w:color w:val="000000"/>
          <w:sz w:val="24"/>
          <w:szCs w:val="24"/>
        </w:rPr>
        <w:t xml:space="preserve">Security for AI applications extends beyond the traditional OWASP baseline. The OWASP Foundation publishes a specific Top 10 for Large Language Model Applications, which addresses risks such as prompt injection, in which an attacker crafts an input that causes the model to ignore its instructions; insecure output handling, in which the model's output is used in a downstream system without sanitization; training data poisoning, in which the data used to train or ground the model is manipulated; and excessive agency, in which the model is given the ability to take actions that it should not. A production-grade AI application must mitigate each of these. The input guardrails check for prompt injection patterns; the output guardrails sanitize the model's output before it is used downstream; the documents used for retrieval are access-controlled, so that a user cannot retrieve documents they are not authorized to see; and the actions the model can take are limited to a defined set, with human approval required for high-impact actions. Privacy obligations are heightened because user conversations are often personal data, and the system's data retention, model training, and human-review practices must be disclosed and must be configurable per tenant. Transparency about the system's nature, that the user is interacting with an AI, is both an ethical expectation and, in several jurisdictions, a regulatory one.</w:t>
      </w:r>
    </w:p>
    <w:p>
      <w:pPr>
        <w:pStyle w:val="Heading2"/>
        <w:spacing w:after="120" w:before="280" w:line="312"/>
      </w:pPr>
      <w:bookmarkStart w:id="100090" w:name="_Toc100090"/>
      <w:r>
        <w:rPr>
          <w:rFonts w:ascii="Arial" w:eastAsia="SimHei"/>
          <w:b/>
          <w:bCs/>
          <w:color w:val="0B1C2C"/>
          <w:sz w:val="28"/>
          <w:szCs w:val="28"/>
        </w:rPr>
        <w:t xml:space="preserve">12.8 UI/UX and Accessibility</w:t>
      </w:r>
      <w:bookmarkEnd w:id="100090"/>
    </w:p>
    <w:p>
      <w:pPr>
        <w:spacing w:after="120" w:line="312"/>
        <w:ind w:firstLine="360"/>
        <w:jc w:val="both"/>
      </w:pPr>
      <w:r>
        <w:rPr>
          <w:rFonts w:ascii="Times New Roman" w:eastAsia="SimSun"/>
          <w:color w:val="000000"/>
          <w:sz w:val="24"/>
          <w:szCs w:val="24"/>
        </w:rPr>
        <w:t xml:space="preserve">The user experience of an AI interface must address the conversational paradigm. Screen readers must be able to announce streamed tokens in a way that is comprehensible rather than fragmented, which requires batching the streamed tokens into sentences or phrases before announcing them. Users with motor impairments must be able to interact without relying on rapid typing. The system must provide clear affordances for correction, regeneration, and escalation to a human, because AI systems will make mistakes and the user experience must accommodate that reality. Transparency about the system's nature, that the user is interacting with an AI, is both an ethical expectation and, in several jurisdictions, a regulatory one. The conversation interface must support keyboard navigation, must provide visible focus indicators, and must present the conversation history in a way that is navigable by screen reader, with each message properly labeled as user or assistant.</w:t>
      </w:r>
    </w:p>
    <w:p>
      <w:pPr>
        <w:pStyle w:val="Heading2"/>
        <w:spacing w:after="120" w:before="280" w:line="312"/>
      </w:pPr>
      <w:bookmarkStart w:id="100091" w:name="_Toc100091"/>
      <w:r>
        <w:rPr>
          <w:rFonts w:ascii="Arial" w:eastAsia="SimHei"/>
          <w:b/>
          <w:bCs/>
          <w:color w:val="0B1C2C"/>
          <w:sz w:val="28"/>
          <w:szCs w:val="28"/>
        </w:rPr>
        <w:t xml:space="preserve">12.9 Building Process and Implementation Roadmap</w:t>
      </w:r>
      <w:bookmarkEnd w:id="100091"/>
    </w:p>
    <w:p>
      <w:pPr>
        <w:spacing w:after="120" w:line="312"/>
        <w:ind w:firstLine="360"/>
        <w:jc w:val="both"/>
      </w:pPr>
      <w:r>
        <w:rPr>
          <w:rFonts w:ascii="Times New Roman" w:eastAsia="SimSun"/>
          <w:color w:val="000000"/>
          <w:sz w:val="24"/>
          <w:szCs w:val="24"/>
        </w:rPr>
        <w:t xml:space="preserve">The implementation roadmap for an AI-powered application spans approximately six to twelve months, shorter than the other systems because the model providers handle the most complex component. Phase one, months one through two, builds the conversation interface, the model integration, and the basic orchestration. Phase two, months three through four, builds the retrieval-augmented generation pipeline: the document ingestion, the chunking, the embedding, and the vector search. Phase three, months five through six, builds the guardrails and the evaluation harness. Phase four, months seven through eight, builds the feedback loop and the human-handoff flow. Phase five, months nine through twelve, hardens the system: evaluation testing against the labeled dataset, guardrail testing, latency testing, and the progressive deployment with human fallback. The shorter timeline reflects the leverage provided by the model providers, but it also means that the system's defensibility depends on the surrounding capabilities, the retrieval, the guardrails, and the workflow integration, rather than on the model itself, which is a commodity available to all competitors.</w:t>
      </w:r>
    </w:p>
    <w:p>
      <w:pPr>
        <w:pStyle w:val="Heading2"/>
        <w:spacing w:after="120" w:before="280" w:line="312"/>
      </w:pPr>
      <w:bookmarkStart w:id="100092" w:name="_Toc100092"/>
      <w:r>
        <w:rPr>
          <w:rFonts w:ascii="Arial" w:eastAsia="SimHei"/>
          <w:b/>
          <w:bCs/>
          <w:color w:val="0B1C2C"/>
          <w:sz w:val="28"/>
          <w:szCs w:val="28"/>
        </w:rPr>
        <w:t xml:space="preserve">12.10 Business Viability and Sources</w:t>
      </w:r>
      <w:bookmarkEnd w:id="100092"/>
    </w:p>
    <w:p>
      <w:pPr>
        <w:spacing w:after="120" w:line="312"/>
        <w:ind w:firstLine="360"/>
        <w:jc w:val="both"/>
      </w:pPr>
      <w:r>
        <w:rPr>
          <w:rFonts w:ascii="Times New Roman" w:eastAsia="SimSun"/>
          <w:color w:val="000000"/>
          <w:sz w:val="24"/>
          <w:szCs w:val="24"/>
        </w:rPr>
        <w:t xml:space="preserve">Business viability for AI-powered applications is high but requires discipline. The market is crowded with derivative products, and the underlying model providers continually expand their own capabilities, which can render a thin wrapper obsolete. The durable opportunities are in applications where the value comes from a proprietary data integration, a specialized workflow, or a domain expertise that the model alone does not provide. The commercial model must account for the per-interaction cost of model inference, which can be significant, and pricing must be structured so that the unit economics remain positive as usage scales. Key sources include the Applied AI briefing on enterprise RAG architecture, the Cloudian guide to RAG architecture, the Grand View Research chatbot market report, the Fortune Business Insights AI SaaS market report, and the OWASP Top 10 for Large Language Model Applications.</w:t>
      </w:r>
    </w:p>
    <w:p>
      <w:pPr>
        <w:pStyle w:val="Heading1"/>
        <w:spacing w:after="160" w:before="360" w:line="312"/>
      </w:pPr>
      <w:bookmarkStart w:id="100093" w:name="_Toc100093"/>
      <w:r>
        <w:rPr>
          <w:rFonts w:ascii="Arial" w:eastAsia="SimHei"/>
          <w:b/>
          <w:bCs/>
          <w:color w:val="0B1C2C"/>
          <w:sz w:val="32"/>
          <w:szCs w:val="32"/>
        </w:rPr>
        <w:t xml:space="preserve">13. System 7: Booking and Scheduling SaaS</w:t>
      </w:r>
      <w:bookmarkEnd w:id="100093"/>
    </w:p>
    <w:p>
      <w:pPr>
        <w:pStyle w:val="Heading2"/>
        <w:spacing w:after="120" w:before="280" w:line="312"/>
      </w:pPr>
      <w:bookmarkStart w:id="100094" w:name="_Toc100094"/>
      <w:r>
        <w:rPr>
          <w:rFonts w:ascii="Arial" w:eastAsia="SimHei"/>
          <w:b/>
          <w:bCs/>
          <w:color w:val="0B1C2C"/>
          <w:sz w:val="28"/>
          <w:szCs w:val="28"/>
        </w:rPr>
        <w:t xml:space="preserve">13.1 Overview and Market Context</w:t>
      </w:r>
      <w:bookmarkEnd w:id="100094"/>
    </w:p>
    <w:p>
      <w:pPr>
        <w:spacing w:after="120" w:line="312"/>
        <w:ind w:firstLine="360"/>
        <w:jc w:val="both"/>
      </w:pPr>
      <w:r>
        <w:rPr>
          <w:rFonts w:ascii="Times New Roman" w:eastAsia="SimSun"/>
          <w:color w:val="000000"/>
          <w:sz w:val="24"/>
          <w:szCs w:val="24"/>
        </w:rPr>
        <w:t xml:space="preserve">Booking and scheduling software allows service businesses to manage appointments between providers and customers through an online platform. The category is attractive for a focused builder because the problem is well defined, the buyer is clear, and the value proposition is immediately measurable in reduced no-shows and increased utilization. The category spans healthcare, education, consulting, fitness, beauty, and professional services, each with specific regulatory and workflow considerations. The increasing adoption of SaaS solutions has made appointment booking platforms one of the most attractive software business models, and modern appointment scheduling software is used across industries including healthcare, education, consulting, fitness, beauty, financial services, legal services, real estate, hospitality, and professional services.</w:t>
      </w:r>
    </w:p>
    <w:p>
      <w:pPr>
        <w:pStyle w:val="Heading2"/>
        <w:spacing w:after="120" w:before="280" w:line="312"/>
      </w:pPr>
      <w:bookmarkStart w:id="100095" w:name="_Toc100095"/>
      <w:r>
        <w:rPr>
          <w:rFonts w:ascii="Arial" w:eastAsia="SimHei"/>
          <w:b/>
          <w:bCs/>
          <w:color w:val="0B1C2C"/>
          <w:sz w:val="28"/>
          <w:szCs w:val="28"/>
        </w:rPr>
        <w:t xml:space="preserve">13.2 Planning from Scratch</w:t>
      </w:r>
      <w:bookmarkEnd w:id="100095"/>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Reduce the administrative time and the no-show rate for a specific category of service business, with a measurable outcome such as 'reduce no-show rate from 18 percent to 8 percent' for a defined service business.</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A service business with between one and fifty providers, each with their own availability, services, and rooms or resources. The customer currently manages bookings through phone and email and experiences measurable cost from no-shows, double-bookings, and the administrative overhead of schedule management.</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A calendar of available time slots with configurable availability rules, two-way calendar synchronization with major providers so that bookings do not conflict with existing commitments, automated reminders to reduce no-shows, self-service rescheduling and cancellation, payment processing for deposits or full payment at booking, intake forms and waivers where required, and reporting on utilization, revenue, and no-show rates. For multi-provider businesses, the system must support provider-specific availability, services, and rooms or resources.</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booking flow latency below 500 milliseconds at p95, availability of 99.9 percent during business hours, and correct handling of time zones for bookings made across zones. The time-zone handling is a non-trivial requirement and is the source of a disproportionate number of defects in booking systems.</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For healthcare, the system may be subject to HIPAA in the United States or equivalent regulations elsewhere, which impose specific requirements on the handling of protected health information, including any information collected in intake forms. For all verticals, the system holds personal data, must enforce access control, and must provide data export and deletion. Payment processing must use a PCI-compliant tokenization approach.</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supports a single vertical and a single time zone. Group bookings, multi-location management, and a marketplace model that matches customers to the next available provider are excluded from the initial build.</w:t>
      </w:r>
    </w:p>
    <w:p>
      <w:pPr>
        <w:pStyle w:val="Heading2"/>
        <w:spacing w:after="120" w:before="280" w:line="312"/>
      </w:pPr>
      <w:bookmarkStart w:id="100096" w:name="_Toc100096"/>
      <w:r>
        <w:rPr>
          <w:rFonts w:ascii="Arial" w:eastAsia="SimHei"/>
          <w:b/>
          <w:bCs/>
          <w:color w:val="0B1C2C"/>
          <w:sz w:val="28"/>
          <w:szCs w:val="28"/>
        </w:rPr>
        <w:t xml:space="preserve">13.3 SDLC Application</w:t>
      </w:r>
      <w:bookmarkEnd w:id="100096"/>
    </w:p>
    <w:p>
      <w:pPr>
        <w:spacing w:after="120" w:line="312"/>
        <w:ind w:firstLine="360"/>
        <w:jc w:val="both"/>
      </w:pPr>
      <w:r>
        <w:rPr>
          <w:rFonts w:ascii="Times New Roman" w:eastAsia="SimSun"/>
          <w:color w:val="000000"/>
          <w:sz w:val="24"/>
          <w:szCs w:val="24"/>
        </w:rPr>
        <w:t xml:space="preserve">The SDLC for a booking system follows the six phases, with particular emphasis on the design of the calendar engine and on the testing of the time-zone handling. In design, the architecture decision record documents the choice of the calendar model, which represents availability as a set of rules rather than as a materialized set of slots, and the data model with the provider, service, slot, and booking entities. In testing, the regime includes functional testing of the availability computation, time-zone testing of bookings made across zones, concurrency testing of two customers attempting to book the same slot simultaneously, and integration testing of the calendar synchronization with each supported calendar provider.</w:t>
      </w:r>
    </w:p>
    <w:p>
      <w:pPr>
        <w:pStyle w:val="Heading2"/>
        <w:spacing w:after="120" w:before="280" w:line="312"/>
      </w:pPr>
      <w:bookmarkStart w:id="100097" w:name="_Toc100097"/>
      <w:r>
        <w:rPr>
          <w:rFonts w:ascii="Arial" w:eastAsia="SimHei"/>
          <w:b/>
          <w:bCs/>
          <w:color w:val="0B1C2C"/>
          <w:sz w:val="28"/>
          <w:szCs w:val="28"/>
        </w:rPr>
        <w:t xml:space="preserve">13.4 Foundation and Reference Architecture</w:t>
      </w:r>
      <w:bookmarkEnd w:id="100097"/>
    </w:p>
    <w:p>
      <w:pPr>
        <w:spacing w:after="120" w:line="312"/>
        <w:ind w:firstLine="360"/>
        <w:jc w:val="both"/>
      </w:pPr>
      <w:r>
        <w:rPr>
          <w:rFonts w:ascii="Times New Roman" w:eastAsia="SimSun"/>
          <w:color w:val="000000"/>
          <w:sz w:val="24"/>
          <w:szCs w:val="24"/>
        </w:rPr>
        <w:t xml:space="preserve">The reference architecture for a booking system centers on a calendar engine that can compute available slots from a set of constraints: provider availability, existing bookings, buffer times, and resource availability. The calendar engine must handle time zones correctly, which is a non-trivial requirement because the provider, the customer, and the system may all be in different zones. The data model must represent recurring availability, one-off exceptions, and bookings with linked resources. Reminders are typically implemented as a scheduled job queue, and integration with calendar providers uses their respective APIs. The frontend must provide a responsive, mobile-first booking flow because a significant proportion of bookings are made from mobile devices. The technology stack is consistent with the multi-tenant SaaS platform: Next.js frontend, PostgreSQL transactional core with the booking and availability entities, Redis for the slot cache and the distributed lock that prevents double-booking, and a job queue for the reminders.</w:t>
      </w:r>
    </w:p>
    <w:p>
      <w:pPr>
        <w:pStyle w:val="Heading2"/>
        <w:spacing w:after="120" w:before="280" w:line="312"/>
      </w:pPr>
      <w:bookmarkStart w:id="100098" w:name="_Toc100098"/>
      <w:r>
        <w:rPr>
          <w:rFonts w:ascii="Arial" w:eastAsia="SimHei"/>
          <w:b/>
          <w:bCs/>
          <w:color w:val="0B1C2C"/>
          <w:sz w:val="28"/>
          <w:szCs w:val="28"/>
        </w:rPr>
        <w:t xml:space="preserve">13.5 Data Model</w:t>
      </w:r>
      <w:bookmarkEnd w:id="100098"/>
    </w:p>
    <w:p>
      <w:pPr>
        <w:spacing w:after="120" w:line="312"/>
        <w:ind w:firstLine="360"/>
        <w:jc w:val="both"/>
      </w:pPr>
      <w:r>
        <w:rPr>
          <w:rFonts w:ascii="Times New Roman" w:eastAsia="SimSun"/>
          <w:color w:val="000000"/>
          <w:sz w:val="24"/>
          <w:szCs w:val="24"/>
        </w:rPr>
        <w:t xml:space="preserve">The data model for a booking system centers on the provider, the service, the availability rule, the slot, and the booking. The provider is the person whose time is being booked. The service is the type of appointment, with its duration and price. The availability rule defines when the provider is available, expressed as a recurring pattern with exceptions. The slot is a computed available time, derived from the availability rule and the existing bookings. The booking is a confirmed appointment, linking a customer, a provider, a service, and a time.</w:t>
      </w:r>
    </w:p>
    <w:p>
      <w:pPr>
        <w:keepNext/>
        <w:spacing w:after="100" w:before="200" w:line="312"/>
        <w:jc w:val="left"/>
      </w:pPr>
      <w:r>
        <w:rPr>
          <w:rFonts w:ascii="Arial" w:eastAsia="SimHei"/>
          <w:b/>
          <w:bCs/>
          <w:color w:val="0B1C2C"/>
          <w:sz w:val="22"/>
          <w:szCs w:val="22"/>
        </w:rPr>
        <w:t xml:space="preserve">Table 8: Core Entities of a Booking and Scheduling System</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Provider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name, email, timezone,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AvailabilityRules, Services, Bookings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Service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name, duration_minutes, price_cents, buffer_minutes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Bookings; offered by Providers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AvailabilityRule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provider_id, day_of_week, start_time, end_time, effective_from, effective_to</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Provider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AvailabilityException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provider_id, date, is_available, start_time, end_time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Provider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Slot</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provider_id, service_id, start_at, end_at,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Provider, Service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Booking</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provider_id, service_id, customer_id, start_at, end_at, status, price_cents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Provider, Service, Customer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Customer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name, email, phone, metadata (JSONB)</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Bookings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Reminder</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booking_id, scheduled_at, channel,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Booking</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Resource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name, type,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Bookings (room, equipment)</w:t>
            </w:r>
          </w:p>
        </w:tc>
      </w:tr>
    </w:tbl>
    <w:p>
      <w:pPr>
        <w:spacing w:after="200" w:before="80" w:line="312"/>
        <w:jc w:val="center"/>
      </w:pPr>
      <w:r>
        <w:rPr>
          <w:rFonts w:ascii="Times New Roman" w:eastAsia="SimSun"/>
          <w:i/>
          <w:iCs/>
          <w:color w:val="606060"/>
          <w:sz w:val="20"/>
          <w:szCs w:val="20"/>
        </w:rPr>
        <w:t xml:space="preserve">Table 8: The core data entities of a booking and scheduling system. Availability is expressed as rules and exceptions, and slots are computed from the rules at query time rather than materialized in advance.</w:t>
      </w:r>
    </w:p>
    <w:p>
      <w:pPr>
        <w:spacing w:after="120" w:line="312"/>
        <w:ind w:firstLine="360"/>
        <w:jc w:val="both"/>
      </w:pPr>
      <w:r>
        <w:rPr>
          <w:rFonts w:ascii="Times New Roman" w:eastAsia="SimSun"/>
          <w:color w:val="000000"/>
          <w:sz w:val="24"/>
          <w:szCs w:val="24"/>
        </w:rPr>
        <w:t xml:space="preserve">The availability rule is the key to an efficient and flexible calendar. Rather than materializing a slot for every possible appointment time, which produces a massive and mostly-empty table, the system stores the availability as a rule, such as 'provider X is available Monday through Friday from 9 to 5 in the America/New_York time zone, with a one-hour lunch break at noon', and computes the available slots at query time by subtracting the existing bookings and the exceptions from the rule. The booking entity carries a status field that implements the booking state machine: pending, confirmed, cancelled, completed, no-show. The reminder entity is processed by a job queue that sends the reminder through the configured channel, typically email or SMS, at the scheduled time.</w:t>
      </w:r>
    </w:p>
    <w:p>
      <w:pPr>
        <w:pStyle w:val="Heading2"/>
        <w:spacing w:after="120" w:before="280" w:line="312"/>
      </w:pPr>
      <w:bookmarkStart w:id="100099" w:name="_Toc100099"/>
      <w:r>
        <w:rPr>
          <w:rFonts w:ascii="Arial" w:eastAsia="SimHei"/>
          <w:b/>
          <w:bCs/>
          <w:color w:val="0B1C2C"/>
          <w:sz w:val="28"/>
          <w:szCs w:val="28"/>
        </w:rPr>
        <w:t xml:space="preserve">13.6 How It Works: End-to-End Processes</w:t>
      </w:r>
      <w:bookmarkEnd w:id="100099"/>
    </w:p>
    <w:p>
      <w:pPr>
        <w:spacing w:after="120" w:line="312"/>
        <w:ind w:firstLine="360"/>
        <w:jc w:val="both"/>
      </w:pPr>
      <w:r>
        <w:rPr>
          <w:rFonts w:ascii="Times New Roman" w:eastAsia="SimSun"/>
          <w:b/>
          <w:bCs/>
          <w:color w:val="000000"/>
          <w:sz w:val="24"/>
          <w:szCs w:val="24"/>
        </w:rPr>
        <w:t xml:space="preserve">Availability Computation Flow:</w:t>
      </w:r>
      <w:r>
        <w:rPr>
          <w:rFonts w:ascii="Times New Roman" w:eastAsia="SimSun"/>
          <w:color w:val="000000"/>
          <w:sz w:val="24"/>
          <w:szCs w:val="24"/>
        </w:rPr>
        <w:t xml:space="preserve"> When a customer requests the available slots for a provider and a service, the system loads the provider's availability rules and exceptions for the requested date range, computes the candidate slots based on the service duration and the buffer times, subtracts the slots that are already booked, and returns the available slots. The computation must respect the provider's time zone, the customer's time zone, and the service duration, and must handle the transition into and out of daylight saving time correctly, which is a common source of defects.</w:t>
      </w:r>
    </w:p>
    <w:p>
      <w:pPr>
        <w:spacing w:after="120" w:line="312"/>
        <w:ind w:firstLine="360"/>
        <w:jc w:val="both"/>
      </w:pPr>
      <w:r>
        <w:rPr>
          <w:rFonts w:ascii="Times New Roman" w:eastAsia="SimSun"/>
          <w:b/>
          <w:bCs/>
          <w:color w:val="000000"/>
          <w:sz w:val="24"/>
          <w:szCs w:val="24"/>
        </w:rPr>
        <w:t xml:space="preserve">Booking Flow:</w:t>
      </w:r>
      <w:r>
        <w:rPr>
          <w:rFonts w:ascii="Times New Roman" w:eastAsia="SimSun"/>
          <w:color w:val="000000"/>
          <w:sz w:val="24"/>
          <w:szCs w:val="24"/>
        </w:rPr>
        <w:t xml:space="preserve"> A customer selects an available slot, enters their information and any intake-form responses, and confirms the booking. The system acquires a distributed lock on the slot to prevent double-booking, creates a Booking record in pending status, processes any payment required, and on success transitions the booking to confirmed status and schedules the reminders. The lock ensures that two customers attempting to book the same slot simultaneously do not both succeed: the first acquires the lock, creates the booking, and releases the lock; the second finds the slot no longer available.</w:t>
      </w:r>
    </w:p>
    <w:p>
      <w:pPr>
        <w:spacing w:after="120" w:line="312"/>
        <w:ind w:firstLine="360"/>
        <w:jc w:val="both"/>
      </w:pPr>
      <w:r>
        <w:rPr>
          <w:rFonts w:ascii="Times New Roman" w:eastAsia="SimSun"/>
          <w:b/>
          <w:bCs/>
          <w:color w:val="000000"/>
          <w:sz w:val="24"/>
          <w:szCs w:val="24"/>
        </w:rPr>
        <w:t xml:space="preserve">Reminder Flow:</w:t>
      </w:r>
      <w:r>
        <w:rPr>
          <w:rFonts w:ascii="Times New Roman" w:eastAsia="SimSun"/>
          <w:color w:val="000000"/>
          <w:sz w:val="24"/>
          <w:szCs w:val="24"/>
        </w:rPr>
        <w:t xml:space="preserve"> A job queue processes the reminders at their scheduled times. For each reminder, the system loads the booking, verifies that it is still confirmed, and sends the reminder through the configured channel. If the booking has been cancelled, the reminder is skipped. The reminder includes a link for the customer to reschedule or cancel, which reduces the friction of changes and reduces no-shows.</w:t>
      </w:r>
    </w:p>
    <w:p>
      <w:pPr>
        <w:spacing w:after="120" w:line="312"/>
        <w:ind w:firstLine="360"/>
        <w:jc w:val="both"/>
      </w:pPr>
      <w:r>
        <w:rPr>
          <w:rFonts w:ascii="Times New Roman" w:eastAsia="SimSun"/>
          <w:b/>
          <w:bCs/>
          <w:color w:val="000000"/>
          <w:sz w:val="24"/>
          <w:szCs w:val="24"/>
        </w:rPr>
        <w:t xml:space="preserve">Rescheduling and Cancellation Flow:</w:t>
      </w:r>
      <w:r>
        <w:rPr>
          <w:rFonts w:ascii="Times New Roman" w:eastAsia="SimSun"/>
          <w:color w:val="000000"/>
          <w:sz w:val="24"/>
          <w:szCs w:val="24"/>
        </w:rPr>
        <w:t xml:space="preserve"> A customer requests a reschedule through the link in the reminder or through the customer portal. The system releases the original slot, acquires the lock on the new slot, updates the booking's start and end times, and reschedules the reminders. For a cancellation, the system releases the slot, transitions the booking to cancelled status, processes any refund according to the cancellation policy, and cancels the scheduled reminders. The cancellation policy, which may include a partial refund or no refund depending on the timing, is configurable per service and per tenant.</w:t>
      </w:r>
    </w:p>
    <w:p>
      <w:pPr>
        <w:pStyle w:val="Heading2"/>
        <w:spacing w:after="120" w:before="280" w:line="312"/>
      </w:pPr>
      <w:bookmarkStart w:id="100100" w:name="_Toc100100"/>
      <w:r>
        <w:rPr>
          <w:rFonts w:ascii="Arial" w:eastAsia="SimHei"/>
          <w:b/>
          <w:bCs/>
          <w:color w:val="0B1C2C"/>
          <w:sz w:val="28"/>
          <w:szCs w:val="28"/>
        </w:rPr>
        <w:t xml:space="preserve">13.7 Security and Compliance Controls</w:t>
      </w:r>
      <w:bookmarkEnd w:id="100100"/>
    </w:p>
    <w:p>
      <w:pPr>
        <w:spacing w:after="120" w:line="312"/>
        <w:ind w:firstLine="360"/>
        <w:jc w:val="both"/>
      </w:pPr>
      <w:r>
        <w:rPr>
          <w:rFonts w:ascii="Times New Roman" w:eastAsia="SimSun"/>
          <w:color w:val="000000"/>
          <w:sz w:val="24"/>
          <w:szCs w:val="24"/>
        </w:rPr>
        <w:t xml:space="preserve">Security for booking systems depends on the vertical. For healthcare, the system may be subject to HIPAA in the United States, which imposes specific requirements on the handling of protected health information, including any information collected in intake forms. The controls include encryption of PHI at rest and in transit, access controls that limit PHI to authorized users, audit logging of all access to PHI, and business associate agreements with any subprocessors. For all verticals, the system holds personal data, must enforce access control, and must provide data export and deletion. Payment processing must use a PCI-compliant tokenization approach rather than handling card data directly. The OWASP Top Ten controls apply throughout, with particular attention to the booking endpoint, which is the primary target for abuse, and to the customer portal, which is the primary target for account takeover.</w:t>
      </w:r>
    </w:p>
    <w:p>
      <w:pPr>
        <w:pStyle w:val="Heading2"/>
        <w:spacing w:after="120" w:before="280" w:line="312"/>
      </w:pPr>
      <w:bookmarkStart w:id="100101" w:name="_Toc100101"/>
      <w:r>
        <w:rPr>
          <w:rFonts w:ascii="Arial" w:eastAsia="SimHei"/>
          <w:b/>
          <w:bCs/>
          <w:color w:val="0B1C2C"/>
          <w:sz w:val="28"/>
          <w:szCs w:val="28"/>
        </w:rPr>
        <w:t xml:space="preserve">13.8 UI/UX and Accessibility</w:t>
      </w:r>
      <w:bookmarkEnd w:id="100101"/>
    </w:p>
    <w:p>
      <w:pPr>
        <w:spacing w:after="120" w:line="312"/>
        <w:ind w:firstLine="360"/>
        <w:jc w:val="both"/>
      </w:pPr>
      <w:r>
        <w:rPr>
          <w:rFonts w:ascii="Times New Roman" w:eastAsia="SimSun"/>
          <w:color w:val="000000"/>
          <w:sz w:val="24"/>
          <w:szCs w:val="24"/>
        </w:rPr>
        <w:t xml:space="preserve">The user experience of the booking flow is commercially critical because the booking flow is where conversion happens. The flow must be short, must require minimal input, must provide clear feedback on availability, and must confirm the booking with a clear summary. Accessibility must extend to the entire flow, including the calendar widget, which is a component that is frequently inaccessible when implemented poorly. The calendar widget must support keyboard navigation through the dates, must announce the selected date to screen readers, and must present the available slots as a list rather than as a grid, which is more navigable by assistive technology. WCAG 2.2 AA conformance is the baseline, and particular attention must be paid to keyboard operability of date and time selection, to the clarity of error messages when a booking fails, and to the readability of the confirmation page. The mobile experience is critical because a significant proportion of bookings are made from mobile devices, and the flow must be responsive, with large touch targets and minimal scrolling.</w:t>
      </w:r>
    </w:p>
    <w:p>
      <w:pPr>
        <w:pStyle w:val="Heading2"/>
        <w:spacing w:after="120" w:before="280" w:line="312"/>
      </w:pPr>
      <w:bookmarkStart w:id="100102" w:name="_Toc100102"/>
      <w:r>
        <w:rPr>
          <w:rFonts w:ascii="Arial" w:eastAsia="SimHei"/>
          <w:b/>
          <w:bCs/>
          <w:color w:val="0B1C2C"/>
          <w:sz w:val="28"/>
          <w:szCs w:val="28"/>
        </w:rPr>
        <w:t xml:space="preserve">13.9 Building Process and Implementation Roadmap</w:t>
      </w:r>
      <w:bookmarkEnd w:id="100102"/>
    </w:p>
    <w:p>
      <w:pPr>
        <w:spacing w:after="120" w:line="312"/>
        <w:ind w:firstLine="360"/>
        <w:jc w:val="both"/>
      </w:pPr>
      <w:r>
        <w:rPr>
          <w:rFonts w:ascii="Times New Roman" w:eastAsia="SimSun"/>
          <w:color w:val="000000"/>
          <w:sz w:val="24"/>
          <w:szCs w:val="24"/>
        </w:rPr>
        <w:t xml:space="preserve">The implementation roadmap for a booking system spans approximately six to twelve months. Phase one, months one through three, builds the provider, service, and availability entities and the availability computation engine. Phase two, months four through six, builds the booking flow, the distributed lock, the payment integration, and the reminder job queue. Phase three, months seven through eight, builds the customer portal, the rescheduling and cancellation flows, and the calendar synchronization. Phase four, months nine through ten, adds the reporting and the analytics. Phase five, months eleven through twelve, hardens the system: time-zone testing, concurrency testing of the booking flow, accessibility audit of the booking flow, and the launch.</w:t>
      </w:r>
    </w:p>
    <w:p>
      <w:pPr>
        <w:pStyle w:val="Heading2"/>
        <w:spacing w:after="120" w:before="280" w:line="312"/>
      </w:pPr>
      <w:bookmarkStart w:id="100103" w:name="_Toc100103"/>
      <w:r>
        <w:rPr>
          <w:rFonts w:ascii="Arial" w:eastAsia="SimHei"/>
          <w:b/>
          <w:bCs/>
          <w:color w:val="0B1C2C"/>
          <w:sz w:val="28"/>
          <w:szCs w:val="28"/>
        </w:rPr>
        <w:t xml:space="preserve">13.10 Business Viability and Sources</w:t>
      </w:r>
      <w:bookmarkEnd w:id="100103"/>
    </w:p>
    <w:p>
      <w:pPr>
        <w:spacing w:after="120" w:line="312"/>
        <w:ind w:firstLine="360"/>
        <w:jc w:val="both"/>
      </w:pPr>
      <w:r>
        <w:rPr>
          <w:rFonts w:ascii="Times New Roman" w:eastAsia="SimSun"/>
          <w:color w:val="000000"/>
          <w:sz w:val="24"/>
          <w:szCs w:val="24"/>
        </w:rPr>
        <w:t xml:space="preserve">Business viability is strong because the value proposition is measurable and the per-seat or per-booking pricing model aligns vendor revenue with customer value. The market has established players such as Calendly and Acuity Scheduling, so differentiation typically comes from vertical depth, superior integration with the systems a specific vertical already uses, or a specific capability such as group bookings or multi-location management. The category is well suited to a focused team because the scope is bounded and the feedback loop from build to customer value is short. Key sources include the OnceHub guide to scheduling software features, the Abbacus guide to building an appointment booking SaaS, the Redgate guide to appointment database modeling, the Encore booking system tutorial, and the OWASP Top Ten.</w:t>
      </w:r>
    </w:p>
    <w:p>
      <w:pPr>
        <w:pStyle w:val="Heading1"/>
        <w:spacing w:after="160" w:before="360" w:line="312"/>
      </w:pPr>
      <w:bookmarkStart w:id="100104" w:name="_Toc100104"/>
      <w:r>
        <w:rPr>
          <w:rFonts w:ascii="Arial" w:eastAsia="SimHei"/>
          <w:b/>
          <w:bCs/>
          <w:color w:val="0B1C2C"/>
          <w:sz w:val="32"/>
          <w:szCs w:val="32"/>
        </w:rPr>
        <w:t xml:space="preserve">14. System 8: Learning Management System</w:t>
      </w:r>
      <w:bookmarkEnd w:id="100104"/>
    </w:p>
    <w:p>
      <w:pPr>
        <w:pStyle w:val="Heading2"/>
        <w:spacing w:after="120" w:before="280" w:line="312"/>
      </w:pPr>
      <w:bookmarkStart w:id="100105" w:name="_Toc100105"/>
      <w:r>
        <w:rPr>
          <w:rFonts w:ascii="Arial" w:eastAsia="SimHei"/>
          <w:b/>
          <w:bCs/>
          <w:color w:val="0B1C2C"/>
          <w:sz w:val="28"/>
          <w:szCs w:val="28"/>
        </w:rPr>
        <w:t xml:space="preserve">14.1 Overview and Market Context</w:t>
      </w:r>
      <w:bookmarkEnd w:id="100105"/>
    </w:p>
    <w:p>
      <w:pPr>
        <w:spacing w:after="120" w:line="312"/>
        <w:ind w:firstLine="360"/>
        <w:jc w:val="both"/>
      </w:pPr>
      <w:r>
        <w:rPr>
          <w:rFonts w:ascii="Times New Roman" w:eastAsia="SimSun"/>
          <w:color w:val="000000"/>
          <w:sz w:val="24"/>
          <w:szCs w:val="24"/>
        </w:rPr>
        <w:t xml:space="preserve">A Learning Management System administers, tracks, and delivers educational content and training. LMS platforms serve two distinct markets: enterprise learning and development, where the system supports employee onboarding, compliance training, and skills development; and educational institutions, where the system supports academic programs. The two markets have different functional requirements, different buyers, and different commercial models, and a focused builder typically serves one rather than both. A modern LMS typically consists of three major components, often built on a scalable microservices architecture: a presentation layer that is intuitive, responsive, and includes a dedicated mobile experience; an application layer that processes business logic, manages user roles, handles enrollment, runs assessment grading, and orchestrates data flow; and a data layer that stores content, learner records, and analytics. Content delivery is typically offloaded to a content delivery network because video and interactive content are bandwidth-intensive.</w:t>
      </w:r>
    </w:p>
    <w:p>
      <w:pPr>
        <w:pStyle w:val="Heading2"/>
        <w:spacing w:after="120" w:before="280" w:line="312"/>
      </w:pPr>
      <w:bookmarkStart w:id="100106" w:name="_Toc100106"/>
      <w:r>
        <w:rPr>
          <w:rFonts w:ascii="Arial" w:eastAsia="SimHei"/>
          <w:b/>
          <w:bCs/>
          <w:color w:val="0B1C2C"/>
          <w:sz w:val="28"/>
          <w:szCs w:val="28"/>
        </w:rPr>
        <w:t xml:space="preserve">14.2 Planning from Scratch</w:t>
      </w:r>
      <w:bookmarkEnd w:id="100106"/>
    </w:p>
    <w:p>
      <w:pPr>
        <w:spacing w:after="120" w:line="312"/>
        <w:ind w:firstLine="360"/>
        <w:jc w:val="both"/>
      </w:pPr>
      <w:r>
        <w:rPr>
          <w:rFonts w:ascii="Times New Roman" w:eastAsia="SimSun"/>
          <w:b/>
          <w:bCs/>
          <w:color w:val="000000"/>
          <w:sz w:val="24"/>
          <w:szCs w:val="24"/>
        </w:rPr>
        <w:t xml:space="preserve">Problem Statement:</w:t>
      </w:r>
      <w:r>
        <w:rPr>
          <w:rFonts w:ascii="Times New Roman" w:eastAsia="SimSun"/>
          <w:color w:val="000000"/>
          <w:sz w:val="24"/>
          <w:szCs w:val="24"/>
        </w:rPr>
        <w:t xml:space="preserve"> Improve the learning outcomes or the operational efficiency of a specific category of training program, with a measurable outcome such as 'increase compliance training completion rate from 70 percent to 95 percent within the compliance window' for a defined organization.</w:t>
      </w:r>
    </w:p>
    <w:p>
      <w:pPr>
        <w:spacing w:after="120" w:line="312"/>
        <w:ind w:firstLine="360"/>
        <w:jc w:val="both"/>
      </w:pPr>
      <w:r>
        <w:rPr>
          <w:rFonts w:ascii="Times New Roman" w:eastAsia="SimSun"/>
          <w:b/>
          <w:bCs/>
          <w:color w:val="000000"/>
          <w:sz w:val="24"/>
          <w:szCs w:val="24"/>
        </w:rPr>
        <w:t xml:space="preserve">Ideal Customer Profile:</w:t>
      </w:r>
      <w:r>
        <w:rPr>
          <w:rFonts w:ascii="Times New Roman" w:eastAsia="SimSun"/>
          <w:color w:val="000000"/>
          <w:sz w:val="24"/>
          <w:szCs w:val="24"/>
        </w:rPr>
        <w:t xml:space="preserve"> For the enterprise market, a mid-to-large organization with a defined compliance training obligation or a strategic learning and development function, with between five hundred and ten thousand learners. For the academic market, an educational institution with between one thousand and fifty thousand students. The two markets are distinct, and the initial build targets one.</w:t>
      </w:r>
    </w:p>
    <w:p>
      <w:pPr>
        <w:spacing w:after="120" w:line="312"/>
        <w:ind w:firstLine="360"/>
        <w:jc w:val="both"/>
      </w:pPr>
      <w:r>
        <w:rPr>
          <w:rFonts w:ascii="Times New Roman" w:eastAsia="SimSun"/>
          <w:b/>
          <w:bCs/>
          <w:color w:val="000000"/>
          <w:sz w:val="24"/>
          <w:szCs w:val="24"/>
        </w:rPr>
        <w:t xml:space="preserve">Functional Requirements:</w:t>
      </w:r>
      <w:r>
        <w:rPr>
          <w:rFonts w:ascii="Times New Roman" w:eastAsia="SimSun"/>
          <w:color w:val="000000"/>
          <w:sz w:val="24"/>
          <w:szCs w:val="24"/>
        </w:rPr>
        <w:t xml:space="preserve"> Course management with content authoring, organization into modules and lessons, and support for multiple content types including video, documents, and interactive assessments; learner enrollment and progress tracking; assessment and grading with question banks, randomized questions, and automated scoring; certification and compliance reporting for regulated training; gamification elements such as badges and leaderboards; mobile compatibility for on-the-go learning; and integration with human resources and identity systems for enterprise deployments. A complete LMS also provides analytics on learner progress, completion rates, and assessment outcomes.</w:t>
      </w:r>
    </w:p>
    <w:p>
      <w:pPr>
        <w:spacing w:after="120" w:line="312"/>
        <w:ind w:firstLine="360"/>
        <w:jc w:val="both"/>
      </w:pPr>
      <w:r>
        <w:rPr>
          <w:rFonts w:ascii="Times New Roman" w:eastAsia="SimSun"/>
          <w:b/>
          <w:bCs/>
          <w:color w:val="000000"/>
          <w:sz w:val="24"/>
          <w:szCs w:val="24"/>
        </w:rPr>
        <w:t xml:space="preserve">Non-Functional Requirements:</w:t>
      </w:r>
      <w:r>
        <w:rPr>
          <w:rFonts w:ascii="Times New Roman" w:eastAsia="SimSun"/>
          <w:color w:val="000000"/>
          <w:sz w:val="24"/>
          <w:szCs w:val="24"/>
        </w:rPr>
        <w:t xml:space="preserve"> The system must support concurrent assessment-taking by an entire cohort, which may be thousands of learners simultaneously, with assessment submission latency below two seconds at p95, availability of 99.9 percent, and content delivery through a content delivery network for global performance. The concurrent assessment requirement is the defining non-functional challenge and is the reason the assessment engine must be designed for horizontal scalability.</w:t>
      </w:r>
    </w:p>
    <w:p>
      <w:pPr>
        <w:spacing w:after="120" w:line="312"/>
        <w:ind w:firstLine="360"/>
        <w:jc w:val="both"/>
      </w:pPr>
      <w:r>
        <w:rPr>
          <w:rFonts w:ascii="Times New Roman" w:eastAsia="SimSun"/>
          <w:b/>
          <w:bCs/>
          <w:color w:val="000000"/>
          <w:sz w:val="24"/>
          <w:szCs w:val="24"/>
        </w:rPr>
        <w:t xml:space="preserve">Regulatory Regime:</w:t>
      </w:r>
      <w:r>
        <w:rPr>
          <w:rFonts w:ascii="Times New Roman" w:eastAsia="SimSun"/>
          <w:color w:val="000000"/>
          <w:sz w:val="24"/>
          <w:szCs w:val="24"/>
        </w:rPr>
        <w:t xml:space="preserve"> For minors in educational institutions, the system is subject to FERPA in the United States and equivalent regulations elsewhere. For enterprise LMS, the system may hold data about employee training that is relevant to performance reviews and compliance, and access control must reflect the sensitivity of that data. Accessibility is a particular regulatory concern because inaccessible learning content directly contradicts the educational mission and is subject to both procurement requirements and, in educational institutions, to specific legal obligations.</w:t>
      </w:r>
    </w:p>
    <w:p>
      <w:pPr>
        <w:spacing w:after="120" w:line="312"/>
        <w:ind w:firstLine="360"/>
        <w:jc w:val="both"/>
      </w:pPr>
      <w:r>
        <w:rPr>
          <w:rFonts w:ascii="Times New Roman" w:eastAsia="SimSun"/>
          <w:b/>
          <w:bCs/>
          <w:color w:val="000000"/>
          <w:sz w:val="24"/>
          <w:szCs w:val="24"/>
        </w:rPr>
        <w:t xml:space="preserve">Scope Boundaries:</w:t>
      </w:r>
      <w:r>
        <w:rPr>
          <w:rFonts w:ascii="Times New Roman" w:eastAsia="SimSun"/>
          <w:color w:val="000000"/>
          <w:sz w:val="24"/>
          <w:szCs w:val="24"/>
        </w:rPr>
        <w:t xml:space="preserve"> The initial build supports a single content standard, typically the Sharable Content Object Reference Model (SCORM) version 1.2 or 2004 for enterprise, or the Experience API (xAPI) for analytics-heavy use cases, and excludes a live virtual classroom, a social learning layer, and a content marketplace. These are added in later phases.</w:t>
      </w:r>
    </w:p>
    <w:p>
      <w:pPr>
        <w:pStyle w:val="Heading2"/>
        <w:spacing w:after="120" w:before="280" w:line="312"/>
      </w:pPr>
      <w:bookmarkStart w:id="100107" w:name="_Toc100107"/>
      <w:r>
        <w:rPr>
          <w:rFonts w:ascii="Arial" w:eastAsia="SimHei"/>
          <w:b/>
          <w:bCs/>
          <w:color w:val="0B1C2C"/>
          <w:sz w:val="28"/>
          <w:szCs w:val="28"/>
        </w:rPr>
        <w:t xml:space="preserve">14.3 SDLC Application</w:t>
      </w:r>
      <w:bookmarkEnd w:id="100107"/>
    </w:p>
    <w:p>
      <w:pPr>
        <w:spacing w:after="120" w:line="312"/>
        <w:ind w:firstLine="360"/>
        <w:jc w:val="both"/>
      </w:pPr>
      <w:r>
        <w:rPr>
          <w:rFonts w:ascii="Times New Roman" w:eastAsia="SimSun"/>
          <w:color w:val="000000"/>
          <w:sz w:val="24"/>
          <w:szCs w:val="24"/>
        </w:rPr>
        <w:t xml:space="preserve">The SDLC for an LMS follows the six phases, with particular emphasis on the content-standard conformance and on the accessibility of the learning content. In planning, the team produces a specification that includes the target content standard, the accessibility commitments, and the concurrent assessment target. In design, the architecture decision record documents the choice of the content standard, the content packaging model, and the assessment engine design, and the data model is specified at the entity level with particular attention to the learner progress and the assessment attempt. In testing, the regime includes functional testing of the content playback for each supported content standard, load testing of the concurrent assessment, accessibility testing of the content player and the assessment interface, and conformance testing against the chosen standard's conformance test suite. In deployment, the system is released to a pilot group of learners, and the content playback and the assessment submission are monitored closely before the system is opened to the full learner population.</w:t>
      </w:r>
    </w:p>
    <w:p>
      <w:pPr>
        <w:pStyle w:val="Heading2"/>
        <w:spacing w:after="120" w:before="280" w:line="312"/>
      </w:pPr>
      <w:bookmarkStart w:id="100108" w:name="_Toc100108"/>
      <w:r>
        <w:rPr>
          <w:rFonts w:ascii="Arial" w:eastAsia="SimHei"/>
          <w:b/>
          <w:bCs/>
          <w:color w:val="0B1C2C"/>
          <w:sz w:val="28"/>
          <w:szCs w:val="28"/>
        </w:rPr>
        <w:t xml:space="preserve">14.4 Foundation and Reference Architecture</w:t>
      </w:r>
      <w:bookmarkEnd w:id="100108"/>
    </w:p>
    <w:p>
      <w:pPr>
        <w:spacing w:after="120" w:line="312"/>
        <w:ind w:firstLine="360"/>
        <w:jc w:val="both"/>
      </w:pPr>
      <w:r>
        <w:rPr>
          <w:rFonts w:ascii="Times New Roman" w:eastAsia="SimSun"/>
          <w:color w:val="000000"/>
          <w:sz w:val="24"/>
          <w:szCs w:val="24"/>
        </w:rPr>
        <w:t xml:space="preserve">The reference architecture for a modern LMS is built on a scalable architecture, often microservices, with three layers. The presentation layer is intuitive, responsive, and includes a dedicated mobile experience, because learners increasingly expect to learn on mobile devices. The application layer processes business logic, manages user roles, handles enrollment, runs assessment grading, and orchestrates data flow between the content and the user; it is crucial for security and for the correctness of the learning record. The data layer stores content, learner records, and analytics. Content delivery is offloaded to a content delivery network because video and interactive content are bandwidth-intensive, and the assessment engine must support large concurrent loads, particularly in academic settings where an entire class may take an exam simultaneously. The technology stack is consistent with the multi-tenant SaaS platform: Next.js frontend, PostgreSQL for the learner records and the course structure, object storage for the content packages, and a content delivery network for the content delivery.</w:t>
      </w:r>
    </w:p>
    <w:p>
      <w:pPr>
        <w:pStyle w:val="Heading2"/>
        <w:spacing w:after="120" w:before="280" w:line="312"/>
      </w:pPr>
      <w:bookmarkStart w:id="100109" w:name="_Toc100109"/>
      <w:r>
        <w:rPr>
          <w:rFonts w:ascii="Arial" w:eastAsia="SimHei"/>
          <w:b/>
          <w:bCs/>
          <w:color w:val="0B1C2C"/>
          <w:sz w:val="28"/>
          <w:szCs w:val="28"/>
        </w:rPr>
        <w:t xml:space="preserve">14.5 Data Model</w:t>
      </w:r>
      <w:bookmarkEnd w:id="100109"/>
    </w:p>
    <w:p>
      <w:pPr>
        <w:spacing w:after="120" w:line="312"/>
        <w:ind w:firstLine="360"/>
        <w:jc w:val="both"/>
      </w:pPr>
      <w:r>
        <w:rPr>
          <w:rFonts w:ascii="Times New Roman" w:eastAsia="SimSun"/>
          <w:color w:val="000000"/>
          <w:sz w:val="24"/>
          <w:szCs w:val="24"/>
        </w:rPr>
        <w:t xml:space="preserve">The data model for an LMS centers on the course, the lesson, the enrollment, and the attempt. The course is the container for the learning content, organized into modules and lessons. The enrollment links a learner to a course and tracks the learner's progress. The attempt is a single instance of a learner taking an assessment, recording the responses and the score. The data model must also represent the content packages, which conform to a standard such as SCORM or xAPI, and the learning records, which track the learner's interactions with the content.</w:t>
      </w:r>
    </w:p>
    <w:p>
      <w:pPr>
        <w:keepNext/>
        <w:spacing w:after="100" w:before="200" w:line="312"/>
        <w:jc w:val="left"/>
      </w:pPr>
      <w:r>
        <w:rPr>
          <w:rFonts w:ascii="Arial" w:eastAsia="SimHei"/>
          <w:b/>
          <w:bCs/>
          <w:color w:val="0B1C2C"/>
          <w:sz w:val="22"/>
          <w:szCs w:val="22"/>
        </w:rPr>
        <w:t xml:space="preserve">Table 9: Core Entities of a Learning Management System</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Entity</w:t>
            </w:r>
          </w:p>
        </w:tc>
        <w:tc>
          <w:tcPr>
            <w:tcW w:type="pct" w:w="4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Key Attributes</w:t>
            </w:r>
          </w:p>
        </w:tc>
        <w:tc>
          <w:tcPr>
            <w:tcW w:type="pct" w:w="3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Relationships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Course</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title, description, status, duration_minutes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Modules, Enrollments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Module</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course_id, title, order, status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Lessons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Lesson</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module_id, title, content_type, content_ref, order</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Module</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Enrollment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course_id, learner_id, status, enrolled_at, completed_at, progress_pct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Course, Learner</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Learner</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tenant_id, name, email, metadata (JSONB)</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Enrollments, Attempts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Attempt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assessment_id, learner_id, status, score, started_at, submitted_at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Assessment, Learner</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Assessment</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lesson_id, title, pass_score, max_attempts, time_limit_minutes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Has many Attempts, Questions</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Question</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assessment_id, type, content, options (JSONB), correct_answer, points</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Assessment</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Response</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attempt_id, question_id, answer, is_correct, points_awarded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Attempt, Question</w:t>
            </w:r>
          </w:p>
        </w:tc>
      </w:tr>
      <w:tr>
        <w:trPr>
          <w:cantSplit/>
        </w:trPr>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Certificate</w:t>
            </w:r>
          </w:p>
        </w:tc>
        <w:tc>
          <w:tcPr>
            <w:tcW w:type="pct" w:w="44%"/>
            <w:tcMar>
              <w:top w:type="dxa" w:w="70"/>
              <w:left w:type="dxa" w:w="120"/>
              <w:bottom w:type="dxa" w:w="70"/>
              <w:right w:type="dxa" w:w="120"/>
            </w:tcMar>
          </w:tcPr>
          <w:p>
            <w:pPr>
              <w:spacing w:line="276"/>
              <w:jc w:val="left"/>
            </w:pPr>
            <w:r>
              <w:rPr>
                <w:rFonts w:ascii="Times New Roman" w:eastAsia="SimSun"/>
                <w:color w:val="000000"/>
                <w:sz w:val="20"/>
                <w:szCs w:val="20"/>
              </w:rPr>
              <w:t xml:space="preserve">id, enrollment_id, learner_id, issued_at, expires_at, certificate_url</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Belongs to Enrollment, Learner</w:t>
            </w:r>
          </w:p>
        </w:tc>
      </w:tr>
    </w:tbl>
    <w:p>
      <w:pPr>
        <w:spacing w:after="200" w:before="80" w:line="312"/>
        <w:jc w:val="center"/>
      </w:pPr>
      <w:r>
        <w:rPr>
          <w:rFonts w:ascii="Times New Roman" w:eastAsia="SimSun"/>
          <w:i/>
          <w:iCs/>
          <w:color w:val="606060"/>
          <w:sz w:val="20"/>
          <w:szCs w:val="20"/>
        </w:rPr>
        <w:t xml:space="preserve">Table 9: The core data entities of a learning management system. The enrollment tracks the learner's progress through the course, and the attempt records each instance of the learner taking an assessment.</w:t>
      </w:r>
    </w:p>
    <w:p>
      <w:pPr>
        <w:spacing w:after="120" w:line="312"/>
        <w:ind w:firstLine="360"/>
        <w:jc w:val="both"/>
      </w:pPr>
      <w:r>
        <w:rPr>
          <w:rFonts w:ascii="Times New Roman" w:eastAsia="SimSun"/>
          <w:color w:val="000000"/>
          <w:sz w:val="24"/>
          <w:szCs w:val="24"/>
        </w:rPr>
        <w:t xml:space="preserve">The content package is stored as a zip file in object storage, and the content reference on the lesson entity points to the package. The SCORM or xAPI runtime, which runs in the browser, communicates the learner's interactions back to the LMS through the standard's API, and the LMS records those interactions as progress updates or as attempt data. The question entity supports multiple question types, including multiple choice, true/false, short answer, and essay, and the options field stores the question configuration as JSON. The certificate entity is generated when a learner completes a course, and the certificate URL points to a generated PDF or a verifiable digital credential.</w:t>
      </w:r>
    </w:p>
    <w:p>
      <w:pPr>
        <w:pStyle w:val="Heading2"/>
        <w:spacing w:after="120" w:before="280" w:line="312"/>
      </w:pPr>
      <w:bookmarkStart w:id="100110" w:name="_Toc100110"/>
      <w:r>
        <w:rPr>
          <w:rFonts w:ascii="Arial" w:eastAsia="SimHei"/>
          <w:b/>
          <w:bCs/>
          <w:color w:val="0B1C2C"/>
          <w:sz w:val="28"/>
          <w:szCs w:val="28"/>
        </w:rPr>
        <w:t xml:space="preserve">14.6 How It Works: End-to-End Processes</w:t>
      </w:r>
      <w:bookmarkEnd w:id="100110"/>
    </w:p>
    <w:p>
      <w:pPr>
        <w:spacing w:after="120" w:line="312"/>
        <w:ind w:firstLine="360"/>
        <w:jc w:val="both"/>
      </w:pPr>
      <w:r>
        <w:rPr>
          <w:rFonts w:ascii="Times New Roman" w:eastAsia="SimSun"/>
          <w:b/>
          <w:bCs/>
          <w:color w:val="000000"/>
          <w:sz w:val="24"/>
          <w:szCs w:val="24"/>
        </w:rPr>
        <w:t xml:space="preserve">Course Authoring Flow:</w:t>
      </w:r>
      <w:r>
        <w:rPr>
          <w:rFonts w:ascii="Times New Roman" w:eastAsia="SimSun"/>
          <w:color w:val="000000"/>
          <w:sz w:val="24"/>
          <w:szCs w:val="24"/>
        </w:rPr>
        <w:t xml:space="preserve"> An instructional designer creates a course, defines its modules and lessons, and uploads or authors the content for each lesson. For SCORM content, the designer uploads a content package produced by an authoring tool such as Articulate Storyline or Adobe Captivate. For native content, the designer uses the built-in authoring tools to create text, video, and interactive elements. The course is published when the content is complete, and the course becomes available for enrollment.</w:t>
      </w:r>
    </w:p>
    <w:p>
      <w:pPr>
        <w:spacing w:after="120" w:line="312"/>
        <w:ind w:firstLine="360"/>
        <w:jc w:val="both"/>
      </w:pPr>
      <w:r>
        <w:rPr>
          <w:rFonts w:ascii="Times New Roman" w:eastAsia="SimSun"/>
          <w:b/>
          <w:bCs/>
          <w:color w:val="000000"/>
          <w:sz w:val="24"/>
          <w:szCs w:val="24"/>
        </w:rPr>
        <w:t xml:space="preserve">Enrollment and Progress Flow:</w:t>
      </w:r>
      <w:r>
        <w:rPr>
          <w:rFonts w:ascii="Times New Roman" w:eastAsia="SimSun"/>
          <w:color w:val="000000"/>
          <w:sz w:val="24"/>
          <w:szCs w:val="24"/>
        </w:rPr>
        <w:t xml:space="preserve"> A learner is enrolled in a course, either through self-service, through assignment by a manager or administrator, or through an integration with a human resources system. The enrollment creates a progress record, and as the learner completes each lesson, the progress is updated. For SCORM content, the progress is reported by the content runtime through the SCORM API; for native content, the progress is recorded directly. When the learner completes all the required lessons, the enrollment is marked complete, and if the course issues a certificate, the certificate is generated.</w:t>
      </w:r>
    </w:p>
    <w:p>
      <w:pPr>
        <w:spacing w:after="120" w:line="312"/>
        <w:ind w:firstLine="360"/>
        <w:jc w:val="both"/>
      </w:pPr>
      <w:r>
        <w:rPr>
          <w:rFonts w:ascii="Times New Roman" w:eastAsia="SimSun"/>
          <w:b/>
          <w:bCs/>
          <w:color w:val="000000"/>
          <w:sz w:val="24"/>
          <w:szCs w:val="24"/>
        </w:rPr>
        <w:t xml:space="preserve">Assessment Flow:</w:t>
      </w:r>
      <w:r>
        <w:rPr>
          <w:rFonts w:ascii="Times New Roman" w:eastAsia="SimSun"/>
          <w:color w:val="000000"/>
          <w:sz w:val="24"/>
          <w:szCs w:val="24"/>
        </w:rPr>
        <w:t xml:space="preserve"> A learner starts an assessment, the system creates an Attempt record, and the assessment questions are presented. For question banks with randomization, the system selects a random subset of questions for each attempt, which reduces the potential for cheating. The learner submits the responses, the system grades the assessment automatically for objective question types, and the score is recorded. For subjective question types such as essays, the responses are queued for manual grading by an instructor. The attempt's score is compared to the pass score, and the learner is notified of the result.</w:t>
      </w:r>
    </w:p>
    <w:p>
      <w:pPr>
        <w:spacing w:after="120" w:line="312"/>
        <w:ind w:firstLine="360"/>
        <w:jc w:val="both"/>
      </w:pPr>
      <w:r>
        <w:rPr>
          <w:rFonts w:ascii="Times New Roman" w:eastAsia="SimSun"/>
          <w:b/>
          <w:bCs/>
          <w:color w:val="000000"/>
          <w:sz w:val="24"/>
          <w:szCs w:val="24"/>
        </w:rPr>
        <w:t xml:space="preserve">Compliance Reporting Flow:</w:t>
      </w:r>
      <w:r>
        <w:rPr>
          <w:rFonts w:ascii="Times New Roman" w:eastAsia="SimSun"/>
          <w:color w:val="000000"/>
          <w:sz w:val="24"/>
          <w:szCs w:val="24"/>
        </w:rPr>
        <w:t xml:space="preserve"> For compliance training, the system generates reports that show which learners have completed the required training within the compliance window, which are overdue, and which have not started. The reports are configurable by course, by learner group, and by time period, and can be exported for submission to regulators or auditors. The compliance reporting is the capability that justifies the LMS for regulated industries, because the cost of non-compliance, in fines and in reputational damage, far exceeds the cost of the LMS.</w:t>
      </w:r>
    </w:p>
    <w:p>
      <w:pPr>
        <w:pStyle w:val="Heading2"/>
        <w:spacing w:after="120" w:before="280" w:line="312"/>
      </w:pPr>
      <w:bookmarkStart w:id="100111" w:name="_Toc100111"/>
      <w:r>
        <w:rPr>
          <w:rFonts w:ascii="Arial" w:eastAsia="SimHei"/>
          <w:b/>
          <w:bCs/>
          <w:color w:val="0B1C2C"/>
          <w:sz w:val="28"/>
          <w:szCs w:val="28"/>
        </w:rPr>
        <w:t xml:space="preserve">14.7 Security and Compliance Controls</w:t>
      </w:r>
      <w:bookmarkEnd w:id="100111"/>
    </w:p>
    <w:p>
      <w:pPr>
        <w:spacing w:after="120" w:line="312"/>
        <w:ind w:firstLine="360"/>
        <w:jc w:val="both"/>
      </w:pPr>
      <w:r>
        <w:rPr>
          <w:rFonts w:ascii="Times New Roman" w:eastAsia="SimSun"/>
          <w:color w:val="000000"/>
          <w:sz w:val="24"/>
          <w:szCs w:val="24"/>
        </w:rPr>
        <w:t xml:space="preserve">Security for an LMS must address the protection of learner data, which for minors in educational institutions is subject to specific regulations such as FERPA in the United States and equivalent regulations elsewhere. FERPA requires that educational institutions protect the privacy of student education records, and an LMS that handles such records must implement the appropriate administrative, technical, and physical safeguards. For enterprise LMS, the system may hold data about employee training that is relevant to performance reviews and compliance, and access control must reflect the sensitivity of that data, with managers seeing aggregate completion data for their teams but not individual assessment responses. Assessment integrity, including prevention of cheating in online exams, is a specific concern that requires proctoring capabilities or question randomization, and the system must log all access to assessment content to detect unauthorized access. The OWASP Top Ten controls apply throughout, with particular attention to the authentication, because the learner population often includes users who are not security-aware and who are targets for credential-based attacks. Accessibility is a particular regulatory concern because inaccessible learning content directly contradicts the educational mission and is subject to both procurement requirements and, in educational institutions, to specific legal obligations under Section 508 in the United States and equivalent regulations elsewhere.</w:t>
      </w:r>
    </w:p>
    <w:p>
      <w:pPr>
        <w:pStyle w:val="Heading2"/>
        <w:spacing w:after="120" w:before="280" w:line="312"/>
      </w:pPr>
      <w:bookmarkStart w:id="100112" w:name="_Toc100112"/>
      <w:r>
        <w:rPr>
          <w:rFonts w:ascii="Arial" w:eastAsia="SimHei"/>
          <w:b/>
          <w:bCs/>
          <w:color w:val="0B1C2C"/>
          <w:sz w:val="28"/>
          <w:szCs w:val="28"/>
        </w:rPr>
        <w:t xml:space="preserve">14.8 UI/UX and Accessibility</w:t>
      </w:r>
      <w:bookmarkEnd w:id="100112"/>
    </w:p>
    <w:p>
      <w:pPr>
        <w:spacing w:after="120" w:line="312"/>
        <w:ind w:firstLine="360"/>
        <w:jc w:val="both"/>
      </w:pPr>
      <w:r>
        <w:rPr>
          <w:rFonts w:ascii="Times New Roman" w:eastAsia="SimSun"/>
          <w:color w:val="000000"/>
          <w:sz w:val="24"/>
          <w:szCs w:val="24"/>
        </w:rPr>
        <w:t xml:space="preserve">The user experience of an LMS is critical because the learner population includes users with the full range of abilities and because inaccessible learning content directly contradicts the educational mission. WCAG 2.2 AA is the baseline, and content authors must be guided to produce accessible content, with captions for video, alt text for images, and properly structured documents. The interface must support keyboard navigation, screen readers, and must accommodate users on low-bandwidth connections, which is particularly important for learners in regions with limited internet infrastructure. The content player must be accessible, with keyboard-operable controls, with captions and transcripts for video, and with announced state changes for interactive elements. The assessment interface must support extended time for learners with accommodations, must present questions in an accessible format, and must handle the submission and the feedback in a way that is comprehensible to screen-reader users. The authoring tools must guide content authors toward accessibility, with prompts for alt text, with validation of document structure, and with an accessibility checker that identifies common defects before the content is published.</w:t>
      </w:r>
    </w:p>
    <w:p>
      <w:pPr>
        <w:pStyle w:val="Heading2"/>
        <w:spacing w:after="120" w:before="280" w:line="312"/>
      </w:pPr>
      <w:bookmarkStart w:id="100113" w:name="_Toc100113"/>
      <w:r>
        <w:rPr>
          <w:rFonts w:ascii="Arial" w:eastAsia="SimHei"/>
          <w:b/>
          <w:bCs/>
          <w:color w:val="0B1C2C"/>
          <w:sz w:val="28"/>
          <w:szCs w:val="28"/>
        </w:rPr>
        <w:t xml:space="preserve">14.9 Building Process and Implementation Roadmap</w:t>
      </w:r>
      <w:bookmarkEnd w:id="100113"/>
    </w:p>
    <w:p>
      <w:pPr>
        <w:spacing w:after="120" w:line="312"/>
        <w:ind w:firstLine="360"/>
        <w:jc w:val="both"/>
      </w:pPr>
      <w:r>
        <w:rPr>
          <w:rFonts w:ascii="Times New Roman" w:eastAsia="SimSun"/>
          <w:color w:val="000000"/>
          <w:sz w:val="24"/>
          <w:szCs w:val="24"/>
        </w:rPr>
        <w:t xml:space="preserve">The implementation roadmap for an LMS spans approximately twelve to twenty-four months. Phase one, months one through four, builds the course, module, and lesson entities, the enrollment and progress tracking, and the basic content player. Phase two, months five through eight, builds the assessment engine, the question bank, and the automated grading. Phase three, months nine through twelve, adds the SCORM or xAPI runtime and the content package import. Phase four, months thirteen through sixteen, adds the certification, the compliance reporting, and the analytics. Phase five, months seventeen through twenty, adds the gamification, the mobile experience, and the integrations with human resources and identity systems. Phase six, months twenty-one through twenty-four, hardens the system: load testing of the concurrent assessment, accessibility audit of the content player and the assessment interface, conformance testing against the content standard, and the launch.</w:t>
      </w:r>
    </w:p>
    <w:p>
      <w:pPr>
        <w:pStyle w:val="Heading2"/>
        <w:spacing w:after="120" w:before="280" w:line="312"/>
      </w:pPr>
      <w:bookmarkStart w:id="100114" w:name="_Toc100114"/>
      <w:r>
        <w:rPr>
          <w:rFonts w:ascii="Arial" w:eastAsia="SimHei"/>
          <w:b/>
          <w:bCs/>
          <w:color w:val="0B1C2C"/>
          <w:sz w:val="28"/>
          <w:szCs w:val="28"/>
        </w:rPr>
        <w:t xml:space="preserve">14.10 Business Viability and Sources</w:t>
      </w:r>
      <w:bookmarkEnd w:id="100114"/>
    </w:p>
    <w:p>
      <w:pPr>
        <w:spacing w:after="120" w:line="312"/>
        <w:ind w:firstLine="360"/>
        <w:jc w:val="both"/>
      </w:pPr>
      <w:r>
        <w:rPr>
          <w:rFonts w:ascii="Times New Roman" w:eastAsia="SimSun"/>
          <w:color w:val="000000"/>
          <w:sz w:val="24"/>
          <w:szCs w:val="24"/>
        </w:rPr>
        <w:t xml:space="preserve">Business viability for an LMS is stable rather than explosive. The market is mature, with established players in both enterprise and academic segments, and switching costs are high because migrating course content and learner records is difficult. The viable paths for a new entrant are a specific vertical such as compliance training for a regulated industry, a specific capability such as interactive scenario-based learning, or a modern, mobile-first experience that appeals to a workforce accustomed to consumer applications. The per-learner licensing model produces predictable revenue, and the long content lifecycle means that a customer who adopts the system tends to retain it for years. Key sources include the Aristek Systems guide to eLearning standards, the Rippling guide to LMS features, the WTT Solutions guide to LMS software development, the Cqlsys guide to LMS architecture, and the OWASP Top Ten.</w:t>
      </w:r>
    </w:p>
    <w:p>
      <w:pPr>
        <w:pStyle w:val="Heading1"/>
        <w:spacing w:after="160" w:before="360" w:line="312"/>
      </w:pPr>
      <w:bookmarkStart w:id="100115" w:name="_Toc100115"/>
      <w:r>
        <w:rPr>
          <w:rFonts w:ascii="Arial" w:eastAsia="SimHei"/>
          <w:b/>
          <w:bCs/>
          <w:color w:val="0B1C2C"/>
          <w:sz w:val="32"/>
          <w:szCs w:val="32"/>
        </w:rPr>
        <w:t xml:space="preserve">15. Cross-System Comparison and Synthesis</w:t>
      </w:r>
      <w:bookmarkEnd w:id="100115"/>
    </w:p>
    <w:p>
      <w:pPr>
        <w:spacing w:after="120" w:line="312"/>
        <w:ind w:firstLine="360"/>
        <w:jc w:val="both"/>
      </w:pPr>
      <w:r>
        <w:rPr>
          <w:rFonts w:ascii="Times New Roman" w:eastAsia="SimSun"/>
          <w:color w:val="000000"/>
          <w:sz w:val="24"/>
          <w:szCs w:val="24"/>
        </w:rPr>
        <w:t xml:space="preserve">The eight systems examined in Part II differ in their functional scope, their architectural complexity, their build timeline, and their commercial profile, but they share the common engineering foundation defined in Part I. This section synthesizes the findings across the eight systems through a comparative analysis that highlights the tradeoffs a builder faces when choosing among them. The comparison is organized around four dimensions: build complexity and timeline, market opportunity and competitive intensity, technical distinguishing characteristic, and the recommended entry point for a focused team.</w:t>
      </w:r>
    </w:p>
    <w:p>
      <w:pPr>
        <w:keepNext/>
        <w:spacing w:after="100" w:before="200" w:line="312"/>
        <w:jc w:val="left"/>
      </w:pPr>
      <w:r>
        <w:rPr>
          <w:rFonts w:ascii="Arial" w:eastAsia="SimHei"/>
          <w:b/>
          <w:bCs/>
          <w:color w:val="0B1C2C"/>
          <w:sz w:val="22"/>
          <w:szCs w:val="22"/>
        </w:rPr>
        <w:t xml:space="preserve">Table 10: Comparative Analysis of the Eight Systems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w:t>
            </w:r>
          </w:p>
        </w:tc>
        <w:tc>
          <w:tcPr>
            <w:tcW w:type="pct" w:w="1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Build Timeline</w:t>
            </w:r>
          </w:p>
        </w:tc>
        <w:tc>
          <w:tcPr>
            <w:tcW w:type="pct" w:w="2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Market Opportunity</w:t>
            </w:r>
          </w:p>
        </w:tc>
        <w:tc>
          <w:tcPr>
            <w:tcW w:type="pct" w:w="3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Distinguishing Technical Characteristic</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12-18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Very large, competitive</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Row-Level Security tenant isolation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E-Commerce</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9-15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Large, very competitive</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Order state machine + idempotent checkout</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CRM</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12-18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Large, entrenched incumbents</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Lead-to-contact conversion + 360 view</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ERP</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18-36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Large, high switching cost</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Double-entry general ledger + period close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Analytics Dashboard</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9-15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Large, crowded</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Kafka + ClickHouse + WebSocket pipeline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AI-Powered App</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6-12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Very large, fast-growing</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RAG pipeline + guardrails + eval harness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Booking SaaS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6-12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Medium, established players</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Rule-based availability + distributed lock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LMS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12-24 months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Medium, mature</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SCORM/xAPI content + concurrent assessment</w:t>
            </w:r>
          </w:p>
        </w:tc>
      </w:tr>
    </w:tbl>
    <w:p>
      <w:pPr>
        <w:spacing w:after="200" w:before="80" w:line="312"/>
        <w:jc w:val="center"/>
      </w:pPr>
      <w:r>
        <w:rPr>
          <w:rFonts w:ascii="Times New Roman" w:eastAsia="SimSun"/>
          <w:i/>
          <w:iCs/>
          <w:color w:val="606060"/>
          <w:sz w:val="20"/>
          <w:szCs w:val="20"/>
        </w:rPr>
        <w:t xml:space="preserve">Table 10: Comparative analysis of the eight systems across build timeline, market opportunity, and the single technical characteristic that most defines the system's complexity.</w:t>
      </w:r>
    </w:p>
    <w:p>
      <w:pPr>
        <w:pStyle w:val="Heading2"/>
        <w:spacing w:after="120" w:before="280" w:line="312"/>
      </w:pPr>
      <w:bookmarkStart w:id="100116" w:name="_Toc100116"/>
      <w:r>
        <w:rPr>
          <w:rFonts w:ascii="Arial" w:eastAsia="SimHei"/>
          <w:b/>
          <w:bCs/>
          <w:color w:val="0B1C2C"/>
          <w:sz w:val="28"/>
          <w:szCs w:val="28"/>
        </w:rPr>
        <w:t xml:space="preserve">15.1 Build Complexity and Timeline</w:t>
      </w:r>
      <w:bookmarkEnd w:id="100116"/>
    </w:p>
    <w:p>
      <w:pPr>
        <w:spacing w:after="120" w:line="312"/>
        <w:ind w:firstLine="360"/>
        <w:jc w:val="both"/>
      </w:pPr>
      <w:r>
        <w:rPr>
          <w:rFonts w:ascii="Times New Roman" w:eastAsia="SimSun"/>
          <w:color w:val="000000"/>
          <w:sz w:val="24"/>
          <w:szCs w:val="24"/>
        </w:rPr>
        <w:t xml:space="preserve">The build timelines range from six months for the systems that leverage external capabilities most heavily, the AI-powered application and the booking system, to thirty-six months for the most complex system, the ERP. The timeline is a function of the scope of the functional requirements, the complexity of the data model, the number of external integrations, and the rigor of the testing regime required. The AI-powered application has the shortest timeline because the model provider handles the most complex component, the language model, and the builder's work is the orchestration, the retrieval, and the guardrails. The booking system has a short timeline because the problem is well bounded and the data model is compact. The ERP has the longest timeline because the scope is broad, the data model is complex, the testing regime is rigorous, and the implementation includes data migration and a parallel-run period that no other system requires.</w:t>
      </w:r>
    </w:p>
    <w:p>
      <w:pPr>
        <w:spacing w:after="120" w:line="312"/>
        <w:ind w:firstLine="360"/>
        <w:jc w:val="both"/>
      </w:pPr>
      <w:r>
        <w:rPr>
          <w:rFonts w:ascii="Times New Roman" w:eastAsia="SimSun"/>
          <w:color w:val="000000"/>
          <w:sz w:val="24"/>
          <w:szCs w:val="24"/>
        </w:rPr>
        <w:t xml:space="preserve">The build timeline is not the only consideration in choosing a system to build. A short timeline that produces a system with low defensibility, because the underlying capability is a commodity available to all competitors, may be less valuable than a longer timeline that produces a system with a durable competitive moat. The AI-powered application illustrates this tradeoff: the short build timeline is attractive, but the system's defensibility depends on the surrounding capabilities rather than on the model itself, and a builder who does not build defensible surrounding capabilities will find the system commoditized within a year. The ERP illustrates the opposite tradeoff: the long build timeline is daunting, but the system's defensibility, once installed, is exceptionally high because the switching cost for the customer is enormous.</w:t>
      </w:r>
    </w:p>
    <w:p>
      <w:pPr>
        <w:pStyle w:val="Heading2"/>
        <w:spacing w:after="120" w:before="280" w:line="312"/>
      </w:pPr>
      <w:bookmarkStart w:id="100117" w:name="_Toc100117"/>
      <w:r>
        <w:rPr>
          <w:rFonts w:ascii="Arial" w:eastAsia="SimHei"/>
          <w:b/>
          <w:bCs/>
          <w:color w:val="0B1C2C"/>
          <w:sz w:val="28"/>
          <w:szCs w:val="28"/>
        </w:rPr>
        <w:t xml:space="preserve">15.2 Market Opportunity and Competitive Intensity</w:t>
      </w:r>
      <w:bookmarkEnd w:id="100117"/>
    </w:p>
    <w:p>
      <w:pPr>
        <w:spacing w:after="120" w:line="312"/>
        <w:ind w:firstLine="360"/>
        <w:jc w:val="both"/>
      </w:pPr>
      <w:r>
        <w:rPr>
          <w:rFonts w:ascii="Times New Roman" w:eastAsia="SimSun"/>
          <w:color w:val="000000"/>
          <w:sz w:val="24"/>
          <w:szCs w:val="24"/>
        </w:rPr>
        <w:t xml:space="preserve">The market opportunities range from very large for the SaaS, e-commerce, and AI categories to medium for the booking and LMS categories. The competitive intensity is inversely related to the attractiveness of the entry point: the very large markets are also the most competitive, and a new entrant must differentiate sharply to succeed. The medium markets are less competitive but also smaller, and a new entrant must be efficient with capital to reach profitability. The recommended entry point for a focused team is a vertical within a large market or a focused segment within a medium market, where the team's depth in a specific domain provides a defensible position against both the horizontal incumbents and the generic new entrants.</w:t>
      </w:r>
    </w:p>
    <w:p>
      <w:pPr>
        <w:spacing w:after="120" w:line="312"/>
        <w:ind w:firstLine="360"/>
        <w:jc w:val="both"/>
      </w:pPr>
      <w:r>
        <w:rPr>
          <w:rFonts w:ascii="Times New Roman" w:eastAsia="SimSun"/>
          <w:color w:val="000000"/>
          <w:sz w:val="24"/>
          <w:szCs w:val="24"/>
        </w:rPr>
        <w:t xml:space="preserve">The AI-powered application category deserves specific caution because the market is growing fastest but is also the most volatile. The underlying model providers continually expand their own capabilities, and a feature that is differentiating today may be a commodity tomorrow. The durable opportunities in AI are in applications where the value comes from a proprietary data integration, a specialized workflow, or a domain expertise that the model alone does not provide. A builder who chooses the AI category should do so with a clear thesis about the specific defensibility of the application, and should be prepared to iterate rapidly as the underlying capabilities evolve.</w:t>
      </w:r>
    </w:p>
    <w:p>
      <w:pPr>
        <w:pStyle w:val="Heading2"/>
        <w:spacing w:after="120" w:before="280" w:line="312"/>
      </w:pPr>
      <w:bookmarkStart w:id="100118" w:name="_Toc100118"/>
      <w:r>
        <w:rPr>
          <w:rFonts w:ascii="Arial" w:eastAsia="SimHei"/>
          <w:b/>
          <w:bCs/>
          <w:color w:val="0B1C2C"/>
          <w:sz w:val="28"/>
          <w:szCs w:val="28"/>
        </w:rPr>
        <w:t xml:space="preserve">15.3 Technical Distinguishing Characteristics</w:t>
      </w:r>
      <w:bookmarkEnd w:id="100118"/>
    </w:p>
    <w:p>
      <w:pPr>
        <w:spacing w:after="120" w:line="312"/>
        <w:ind w:firstLine="360"/>
        <w:jc w:val="both"/>
      </w:pPr>
      <w:r>
        <w:rPr>
          <w:rFonts w:ascii="Times New Roman" w:eastAsia="SimSun"/>
          <w:color w:val="000000"/>
          <w:sz w:val="24"/>
          <w:szCs w:val="24"/>
        </w:rPr>
        <w:t xml:space="preserve">Each system has a single technical characteristic that most defines its complexity and that most determines whether the build will succeed. For the multi-tenant SaaS platform, it is the tenant isolation, implemented through PostgreSQL Row-Level Security, which must be correct from the first day because a tenant-data-leakage incident is catastrophic. For the e-commerce system, it is the order state machine and the idempotent checkout, which must be correct because a defect produces direct financial loss. For the CRM, it is the lead-to-contact conversion and the 360-degree customer view, which define the system's behavior. For the ERP, it is the double-entry general ledger and the period close, which are the foundation of the financial integrity. For the analytics dashboard, it is the Kafka, ClickHouse, and WebSocket pipeline, which must sustain the real-time latency target. For the AI-powered application, it is the retrieval-augmented generation pipeline, the guardrails, and the evaluation harness, which together determine the system's quality and safety. For the booking system, it is the rule-based availability computation and the distributed lock that prevents double-booking. For the LMS, it is the SCORM or xAPI content runtime and the concurrent assessment engine, which must both conform to standards and scale to cohort-sized simultaneous use.</w:t>
      </w:r>
    </w:p>
    <w:p>
      <w:pPr>
        <w:pStyle w:val="Heading2"/>
        <w:spacing w:after="120" w:before="280" w:line="312"/>
      </w:pPr>
      <w:bookmarkStart w:id="100119" w:name="_Toc100119"/>
      <w:r>
        <w:rPr>
          <w:rFonts w:ascii="Arial" w:eastAsia="SimHei"/>
          <w:b/>
          <w:bCs/>
          <w:color w:val="0B1C2C"/>
          <w:sz w:val="28"/>
          <w:szCs w:val="28"/>
        </w:rPr>
        <w:t xml:space="preserve">15.4 Recommended Entry Points for a Focused Team</w:t>
      </w:r>
      <w:bookmarkEnd w:id="100119"/>
    </w:p>
    <w:p>
      <w:pPr>
        <w:spacing w:after="120" w:line="312"/>
        <w:ind w:firstLine="360"/>
        <w:jc w:val="both"/>
      </w:pPr>
      <w:r>
        <w:rPr>
          <w:rFonts w:ascii="Times New Roman" w:eastAsia="SimSun"/>
          <w:color w:val="000000"/>
          <w:sz w:val="24"/>
          <w:szCs w:val="24"/>
        </w:rPr>
        <w:t xml:space="preserve">For a team of three to eight people with twelve to eighteen months of runway, the recommended entry points are the multi-tenant SaaS platform in a specific vertical, the booking system in a specific vertical, or the AI-powered application in a specific workflow. These three systems have build timelines that fit the runway, have market opportunities that justify the investment, and have defensible positions available to a focused entrant. The multi-tenant SaaS platform in a vertical is the most general recommendation because the pattern is reusable and the vertical specialization provides the defensible position. The booking system in a vertical is the most bounded recommendation because the problem is well defined and the feedback loop is short. The AI-powered application in a workflow is the highest-risk, highest-reward recommendation because the market is growing fastest but the defensibility must be earned through the surrounding capabilities.</w:t>
      </w:r>
    </w:p>
    <w:p>
      <w:pPr>
        <w:spacing w:after="120" w:line="312"/>
        <w:ind w:firstLine="360"/>
        <w:jc w:val="both"/>
      </w:pPr>
      <w:r>
        <w:rPr>
          <w:rFonts w:ascii="Times New Roman" w:eastAsia="SimSun"/>
          <w:color w:val="000000"/>
          <w:sz w:val="24"/>
          <w:szCs w:val="24"/>
        </w:rPr>
        <w:t xml:space="preserve">For a team with greater resources and a longer horizon, the ERP and the LMS are viable but demanding. The ERP requires eighteen to thirty-six months and a significant implementation-services capability, and is recommended only for a team with domain expertise in the target vertical and a tolerance for long sales cycles. The LMS requires twelve to twenty-four months and a deep understanding of the content standards, and is recommended for a team with a background in education or training. The e-commerce system and the CRM are not recommended as horizontal builds because the incumbents are too entrenched, but are viable as vertical builds where the generic platforms do not serve the target buyer.</w:t>
      </w:r>
    </w:p>
    <w:p>
      <w:pPr>
        <w:pStyle w:val="Heading2"/>
        <w:spacing w:after="120" w:before="280" w:line="312"/>
      </w:pPr>
      <w:bookmarkStart w:id="100120" w:name="_Toc100120"/>
      <w:r>
        <w:rPr>
          <w:rFonts w:ascii="Arial" w:eastAsia="SimHei"/>
          <w:b/>
          <w:bCs/>
          <w:color w:val="0B1C2C"/>
          <w:sz w:val="28"/>
          <w:szCs w:val="28"/>
        </w:rPr>
        <w:t xml:space="preserve">15.5 Team Composition by Stage and System</w:t>
      </w:r>
      <w:bookmarkEnd w:id="100120"/>
    </w:p>
    <w:p>
      <w:pPr>
        <w:spacing w:after="120" w:line="312"/>
        <w:ind w:firstLine="360"/>
        <w:jc w:val="both"/>
      </w:pPr>
      <w:r>
        <w:rPr>
          <w:rFonts w:ascii="Times New Roman" w:eastAsia="SimSun"/>
          <w:color w:val="000000"/>
          <w:sz w:val="24"/>
          <w:szCs w:val="24"/>
        </w:rPr>
        <w:t xml:space="preserve">The team composition required to build and operate a production-grade system changes as the product moves from validation through commercial launch to scale. Practitioner sources describe a consistent pattern across SaaS builds: the pre-product-market-fit team is small, typically two to four engineers anchored by a senior full-stack engineer or a chief technology officer; the seed-stage team, with funding of roughly five hundred thousand to two million dollars in annual recurring revenue, grows to five to twelve engineers with the first dedicated DevOps engineer and the first quality assurance engineer; the Series A team, with two to eight million dollars in recurring revenue, grows to twelve to thirty engineers organized into two to four squads with the first engineering manager; and the Series B team, with eight to twenty-five million dollars in recurring revenue, grows to thirty to eighty engineers with a platform team forming and the need for staff-level engineers. The composition must also be adapted to the specific system being built, because the systems in this report have different demands on specialized roles.</w:t>
      </w:r>
    </w:p>
    <w:p>
      <w:pPr>
        <w:keepNext/>
        <w:spacing w:after="100" w:before="200" w:line="312"/>
        <w:jc w:val="left"/>
      </w:pPr>
      <w:r>
        <w:rPr>
          <w:rFonts w:ascii="Arial" w:eastAsia="SimHei"/>
          <w:b/>
          <w:bCs/>
          <w:color w:val="0B1C2C"/>
          <w:sz w:val="22"/>
          <w:szCs w:val="22"/>
        </w:rPr>
        <w:t xml:space="preserve">Table 14: Team Composition by System Type at Commercial Launch</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w:t>
            </w:r>
          </w:p>
        </w:tc>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Core Team (Launch)</w:t>
            </w:r>
          </w:p>
        </w:tc>
        <w:tc>
          <w:tcPr>
            <w:tcW w:type="pct" w:w="3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Specialist Roles</w:t>
            </w:r>
          </w:p>
        </w:tc>
        <w:tc>
          <w:tcPr>
            <w:tcW w:type="pct" w:w="2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First Hire After Launch</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3-5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DevOps engineer, QA engineer</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Customer success manager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E-Commerce</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4-6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Payment integration specialist, SEO specialist</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Merchandiser / content ops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CRM</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4-6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Sales operations consultant, integration engineer</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Customer success manager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ERP</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8-15 engineers + 2 designers</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Domain SME (finance/ops), implementation consultant</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Implementation project manager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Analytics Dashboard</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3-5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Data engineer, SRE</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Solutions engineer (customer-facing)</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AI Application</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3-5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ML/AI engineer, prompt engineer, evaluation engineer</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AI safety / trust engineer</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Booking SaaS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2-4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Mobile engineer (if vertical demands)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Customer support lead</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LMS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4-7 engineers + 1 designer</w:t>
            </w:r>
          </w:p>
        </w:tc>
        <w:tc>
          <w:tcPr>
            <w:tcW w:type="pct" w:w="32%"/>
            <w:tcMar>
              <w:top w:type="dxa" w:w="70"/>
              <w:left w:type="dxa" w:w="120"/>
              <w:bottom w:type="dxa" w:w="70"/>
              <w:right w:type="dxa" w:w="120"/>
            </w:tcMar>
          </w:tcPr>
          <w:p>
            <w:pPr>
              <w:spacing w:line="276"/>
              <w:jc w:val="left"/>
            </w:pPr>
            <w:r>
              <w:rPr>
                <w:rFonts w:ascii="Times New Roman" w:eastAsia="SimSun"/>
                <w:color w:val="000000"/>
                <w:sz w:val="20"/>
                <w:szCs w:val="20"/>
              </w:rPr>
              <w:t xml:space="preserve">Content/standards engineer (SCORM/xAPI), instructional designer</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Customer success manager</w:t>
            </w:r>
          </w:p>
        </w:tc>
      </w:tr>
    </w:tbl>
    <w:p>
      <w:pPr>
        <w:spacing w:after="200" w:before="80" w:line="312"/>
        <w:jc w:val="center"/>
      </w:pPr>
      <w:r>
        <w:rPr>
          <w:rFonts w:ascii="Times New Roman" w:eastAsia="SimSun"/>
          <w:i/>
          <w:iCs/>
          <w:color w:val="606060"/>
          <w:sz w:val="20"/>
          <w:szCs w:val="20"/>
        </w:rPr>
        <w:t xml:space="preserve">Table 14: Team composition by system type at the point of commercial launch. The core team is the minimum viable engineering and design headcount; the specialist roles are the domain-specific additions that the system type demands; the first hire after launch is the operational role that becomes necessary once paying customers exist.</w:t>
      </w:r>
    </w:p>
    <w:p>
      <w:pPr>
        <w:pStyle w:val="Heading2"/>
        <w:spacing w:after="120" w:before="280" w:line="312"/>
      </w:pPr>
      <w:bookmarkStart w:id="100121" w:name="_Toc100121"/>
      <w:r>
        <w:rPr>
          <w:rFonts w:ascii="Arial" w:eastAsia="SimHei"/>
          <w:b/>
          <w:bCs/>
          <w:color w:val="0B1C2C"/>
          <w:sz w:val="28"/>
          <w:szCs w:val="28"/>
        </w:rPr>
        <w:t xml:space="preserve">15.6 Cost Estimation and Budget Guidance</w:t>
      </w:r>
      <w:bookmarkEnd w:id="100121"/>
    </w:p>
    <w:p>
      <w:pPr>
        <w:spacing w:after="120" w:line="312"/>
        <w:ind w:firstLine="360"/>
        <w:jc w:val="both"/>
      </w:pPr>
      <w:r>
        <w:rPr>
          <w:rFonts w:ascii="Times New Roman" w:eastAsia="SimSun"/>
          <w:color w:val="000000"/>
          <w:sz w:val="24"/>
          <w:szCs w:val="24"/>
        </w:rPr>
        <w:t xml:space="preserve">The cost of building a production-grade system is a function of the build timeline, the team composition, and the infrastructure consumption. Practitioner sources indicate that the cost to build a SaaS product can range from fifty thousand to over five hundred thousand dollars, depending on project scope, complexity, and desired features, with the lower end representing a focused minimum viable product built by a small team and the upper end representing a feature-complete commercial system built by a team of six to ten over twelve to eighteen months. The dominant cost is engineering salaries, with a mid-level developer in the United States commanding approximately one hundred ten thousand to one hundred forty-five thousand dollars per year in 2026, and a senior developer commanding one hundred forty thousand to one hundred ninety thousand dollars. The infrastructure cost, by contrast, is typically a small fraction of the engineering cost during the build phase and grows to a meaningful but still secondary cost only after the system reaches scale.</w:t>
      </w:r>
    </w:p>
    <w:p>
      <w:pPr>
        <w:keepNext/>
        <w:spacing w:after="100" w:before="200" w:line="312"/>
        <w:jc w:val="left"/>
      </w:pPr>
      <w:r>
        <w:rPr>
          <w:rFonts w:ascii="Arial" w:eastAsia="SimHei"/>
          <w:b/>
          <w:bCs/>
          <w:color w:val="0B1C2C"/>
          <w:sz w:val="22"/>
          <w:szCs w:val="22"/>
        </w:rPr>
        <w:t xml:space="preserve">Table 15: Estimated Build Cost by System Type (USD, 2026)</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w:t>
            </w:r>
          </w:p>
        </w:tc>
        <w:tc>
          <w:tcPr>
            <w:tcW w:type="pct" w:w="1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Build Timeline</w:t>
            </w:r>
          </w:p>
        </w:tc>
        <w:tc>
          <w:tcPr>
            <w:tcW w:type="pct" w:w="1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Team Size</w:t>
            </w:r>
          </w:p>
        </w:tc>
        <w:tc>
          <w:tcPr>
            <w:tcW w:type="pct" w:w="2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Estimated Build Cost</w:t>
            </w:r>
          </w:p>
        </w:tc>
        <w:tc>
          <w:tcPr>
            <w:tcW w:type="pct" w:w="2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Monthly Infra at Launch</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Multi-Tenant SaaS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12-18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4-6</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$300K - $700K</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$1,000 - $3,000</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E-Commerce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9-15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5-7</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$250K - $600K</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$1,500 - $5,000</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CRM</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12-18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5-7</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$350K - $800K</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$1,000 - $3,000</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ERP</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18-36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10-17</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$800K - $2.5M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$3,000 - $10,000</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Analytics Dashboard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9-15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4-6</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$250K - $600K</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$2,000 - $8,000</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AI Application</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6-12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4-6</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$200K - $500K + model costs</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$1,000 - $5,000 + tokens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Booking SaaS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6-12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3-5</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$150K - $400K</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$500 - $2,000</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LMS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12-24 months</w:t>
            </w:r>
          </w:p>
        </w:tc>
        <w:tc>
          <w:tcPr>
            <w:tcW w:type="pct" w:w="12%"/>
            <w:tcMar>
              <w:top w:type="dxa" w:w="70"/>
              <w:left w:type="dxa" w:w="120"/>
              <w:bottom w:type="dxa" w:w="70"/>
              <w:right w:type="dxa" w:w="120"/>
            </w:tcMar>
          </w:tcPr>
          <w:p>
            <w:pPr>
              <w:spacing w:line="276"/>
              <w:jc w:val="left"/>
            </w:pPr>
            <w:r>
              <w:rPr>
                <w:rFonts w:ascii="Times New Roman" w:eastAsia="SimSun"/>
                <w:color w:val="000000"/>
                <w:sz w:val="20"/>
                <w:szCs w:val="20"/>
              </w:rPr>
              <w:t xml:space="preserve">5-8</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$400K - $1.0M</w:t>
            </w:r>
          </w:p>
        </w:tc>
        <w:tc>
          <w:tcPr>
            <w:tcW w:type="pct" w:w="24%"/>
            <w:tcMar>
              <w:top w:type="dxa" w:w="70"/>
              <w:left w:type="dxa" w:w="120"/>
              <w:bottom w:type="dxa" w:w="70"/>
              <w:right w:type="dxa" w:w="120"/>
            </w:tcMar>
          </w:tcPr>
          <w:p>
            <w:pPr>
              <w:spacing w:line="276"/>
              <w:jc w:val="left"/>
            </w:pPr>
            <w:r>
              <w:rPr>
                <w:rFonts w:ascii="Times New Roman" w:eastAsia="SimSun"/>
                <w:color w:val="000000"/>
                <w:sz w:val="20"/>
                <w:szCs w:val="20"/>
              </w:rPr>
              <w:t xml:space="preserve">$1,000 - $4,000</w:t>
            </w:r>
          </w:p>
        </w:tc>
      </w:tr>
    </w:tbl>
    <w:p>
      <w:pPr>
        <w:spacing w:after="200" w:before="80" w:line="312"/>
        <w:jc w:val="center"/>
      </w:pPr>
      <w:r>
        <w:rPr>
          <w:rFonts w:ascii="Times New Roman" w:eastAsia="SimSun"/>
          <w:i/>
          <w:iCs/>
          <w:color w:val="606060"/>
          <w:sz w:val="20"/>
          <w:szCs w:val="20"/>
        </w:rPr>
        <w:t xml:space="preserve">Table 15: Estimated build cost by system type, in 2026 U.S. dollars. Build cost is dominated by engineering salaries at the ranges cited in the text; monthly infrastructure cost at launch is the recurring cloud, database, and third-party service cost once the system serves its first paying customers. AI application costs include model inference, which scales with usage and can exceed infrastructure cost at scale.</w:t>
      </w:r>
    </w:p>
    <w:p>
      <w:pPr>
        <w:spacing w:after="120" w:line="312"/>
        <w:ind w:firstLine="360"/>
        <w:jc w:val="both"/>
      </w:pPr>
      <w:r>
        <w:rPr>
          <w:rFonts w:ascii="Times New Roman" w:eastAsia="SimSun"/>
          <w:color w:val="000000"/>
          <w:sz w:val="24"/>
          <w:szCs w:val="24"/>
        </w:rPr>
        <w:t xml:space="preserve">The cost figures in Table 15 are estimates derived from practitioner sources and from the build timelines and team compositions specified in the preceding sections. They are indicative of the order of magnitude a builder should plan for, not precise forecasts for any specific venture. The actual cost will vary with the geographic location of the team, with the seniority mix, with the reuse of existing libraries and platforms, and with the discipline of the scope management. A team that maintains a narrow scope, that reuses rather than rebuilds commodity capabilities, and that validates with design partners before scaling the build will typically deliver at the lower end of the range; a team that expands scope, that builds custom infrastructure where managed services would suffice, and that delays validation until after launch will typically deliver at the upper end or beyond. The cost of operating the system after launch, comprising the ongoing engineering, the infrastructure, the customer success, and the compliance, should be planned as a continuing budget of roughly 40 to 60 percent of the build cost per year, which is the operating expenditure that the subscription revenue must cover for the business to be sustainable.</w:t>
      </w:r>
    </w:p>
    <w:p>
      <w:pPr>
        <w:pStyle w:val="Heading1"/>
        <w:spacing w:after="160" w:before="360" w:line="312"/>
      </w:pPr>
      <w:bookmarkStart w:id="100122" w:name="_Toc100122"/>
      <w:r>
        <w:rPr>
          <w:rFonts w:ascii="Arial" w:eastAsia="SimHei"/>
          <w:b/>
          <w:bCs/>
          <w:color w:val="0B1C2C"/>
          <w:sz w:val="32"/>
          <w:szCs w:val="32"/>
        </w:rPr>
        <w:t xml:space="preserve">16. Counterarguments and Limitations</w:t>
      </w:r>
      <w:bookmarkEnd w:id="100122"/>
    </w:p>
    <w:p>
      <w:pPr>
        <w:spacing w:after="120" w:line="312"/>
        <w:ind w:firstLine="360"/>
        <w:jc w:val="both"/>
      </w:pPr>
      <w:r>
        <w:rPr>
          <w:rFonts w:ascii="Times New Roman" w:eastAsia="SimSun"/>
          <w:color w:val="000000"/>
          <w:sz w:val="24"/>
          <w:szCs w:val="24"/>
        </w:rPr>
        <w:t xml:space="preserve">A responsible analysis must address the arguments against its recommendations and the limitations of its own method. This section presents the principal counterarguments to the thesis that a disciplined SDLC and a comprehensive engineering baseline are prerequisites for commercial viability, and it identifies the boundaries within which the report's findings hold.</w:t>
      </w:r>
    </w:p>
    <w:p>
      <w:pPr>
        <w:pStyle w:val="Heading2"/>
        <w:spacing w:after="120" w:before="280" w:line="312"/>
      </w:pPr>
      <w:bookmarkStart w:id="100123" w:name="_Toc100123"/>
      <w:r>
        <w:rPr>
          <w:rFonts w:ascii="Arial" w:eastAsia="SimHei"/>
          <w:b/>
          <w:bCs/>
          <w:color w:val="0B1C2C"/>
          <w:sz w:val="28"/>
          <w:szCs w:val="28"/>
        </w:rPr>
        <w:t xml:space="preserve">16.1 The Counterargument of Speed and Iteration</w:t>
      </w:r>
      <w:bookmarkEnd w:id="100123"/>
    </w:p>
    <w:p>
      <w:pPr>
        <w:spacing w:after="120" w:line="312"/>
        <w:ind w:firstLine="360"/>
        <w:jc w:val="both"/>
      </w:pPr>
      <w:r>
        <w:rPr>
          <w:rFonts w:ascii="Times New Roman" w:eastAsia="SimSun"/>
          <w:color w:val="000000"/>
          <w:sz w:val="24"/>
          <w:szCs w:val="24"/>
        </w:rPr>
        <w:t xml:space="preserve">The strongest counterargument to the SDLC discipline advocated in this report is that it slows time to market and that, in a competitive market, speed of iteration matters more than process maturity. The argument has real merit. Many successful products were launched with significant technical debt and matured their processes only after achieving market traction, and the history of software contains more failed products that were slow to launch than products that failed because they launched too early with insufficient process. The counterargument is not that process is unnecessary but that the appropriate level of process is a function of the stage of the product and the consequences of failure. A consumer-facing product in validation can operate with a lightweight process and can defer some of the security, accessibility, and observability work. A business-facing product sold to enterprise buyers cannot, because the procurement process enforces the discipline externally.</w:t>
      </w:r>
    </w:p>
    <w:p>
      <w:pPr>
        <w:spacing w:after="120" w:line="312"/>
        <w:ind w:firstLine="360"/>
        <w:jc w:val="both"/>
      </w:pPr>
      <w:r>
        <w:rPr>
          <w:rFonts w:ascii="Times New Roman" w:eastAsia="SimSun"/>
          <w:color w:val="000000"/>
          <w:sz w:val="24"/>
          <w:szCs w:val="24"/>
        </w:rPr>
        <w:t xml:space="preserve">The report's position, refined in response to this counterargument, is that the SDLC discipline should be applied selectively rather than uniformly in the earliest stages. A team validating a hypothesis with a small number of design partners can operate with a lightweight process and can defer some of the security, accessibility, and observability work. The moment the product moves from validation to commercial sale, particularly to enterprise buyers, the discipline must be in place, because the cost of retrofitting process to a system that is already in production, and already has customers dependent on its behavior, is far higher than the cost of building it in from the start. The report's recommendations are calibrated to the commercial-sale threshold, not to the earliest validation stage.</w:t>
      </w:r>
    </w:p>
    <w:p>
      <w:pPr>
        <w:pStyle w:val="Heading2"/>
        <w:spacing w:after="120" w:before="280" w:line="312"/>
      </w:pPr>
      <w:bookmarkStart w:id="100124" w:name="_Toc100124"/>
      <w:r>
        <w:rPr>
          <w:rFonts w:ascii="Arial" w:eastAsia="SimHei"/>
          <w:b/>
          <w:bCs/>
          <w:color w:val="0B1C2C"/>
          <w:sz w:val="28"/>
          <w:szCs w:val="28"/>
        </w:rPr>
        <w:t xml:space="preserve">16.2 The Counterargument of Buy Versus Build</w:t>
      </w:r>
      <w:bookmarkEnd w:id="100124"/>
    </w:p>
    <w:p>
      <w:pPr>
        <w:spacing w:after="120" w:line="312"/>
        <w:ind w:firstLine="360"/>
        <w:jc w:val="both"/>
      </w:pPr>
      <w:r>
        <w:rPr>
          <w:rFonts w:ascii="Times New Roman" w:eastAsia="SimSun"/>
          <w:color w:val="000000"/>
          <w:sz w:val="24"/>
          <w:szCs w:val="24"/>
        </w:rPr>
        <w:t xml:space="preserve">The second counterargument is that, for most of the categories examined, established commercial products already exist, and the rational decision for a business is to buy rather than to build. This argument is also strong. The horizontal CRM, ERP, and LMS markets are dominated by capable products, and a business that needs these capabilities will typically be better served by adopting an existing product than by building a new one. The report does not dispute this. The report's scope is systems that a builder creates to sell to businesses or to deploy as a differentiated internal capability, not systems that a business builds for its own internal use when a commercial alternative would suffice. For the latter case, the buy decision is usually correct.</w:t>
      </w:r>
    </w:p>
    <w:p>
      <w:pPr>
        <w:spacing w:after="120" w:line="312"/>
        <w:ind w:firstLine="360"/>
        <w:jc w:val="both"/>
      </w:pPr>
      <w:r>
        <w:rPr>
          <w:rFonts w:ascii="Times New Roman" w:eastAsia="SimSun"/>
          <w:color w:val="000000"/>
          <w:sz w:val="24"/>
          <w:szCs w:val="24"/>
        </w:rPr>
        <w:t xml:space="preserve">The refinement is that even within the build-to-sell scope, the build decision is defensible only when there is a specific reason that existing products do not serve the target buyer. The reasons that most commonly justify a build are vertical specialization, where the existing products are generic and the target buyer has specific workflow needs; a capability gap, where existing products lack a feature that has become technically feasible; a buyer-experience gap, where existing products are perceived as dated or cumbersome; and a business-model gap, where existing products are priced in a way that excludes a segment of the market. A build decision that cannot articulate at least one of these gaps is a build decision that is likely to fail commercially, regardless of the technical quality of the result.</w:t>
      </w:r>
    </w:p>
    <w:p>
      <w:pPr>
        <w:pStyle w:val="Heading2"/>
        <w:spacing w:after="120" w:before="280" w:line="312"/>
      </w:pPr>
      <w:bookmarkStart w:id="100125" w:name="_Toc100125"/>
      <w:r>
        <w:rPr>
          <w:rFonts w:ascii="Arial" w:eastAsia="SimHei"/>
          <w:b/>
          <w:bCs/>
          <w:color w:val="0B1C2C"/>
          <w:sz w:val="28"/>
          <w:szCs w:val="28"/>
        </w:rPr>
        <w:t xml:space="preserve">16.3 Limitations of the Analysis</w:t>
      </w:r>
      <w:bookmarkEnd w:id="100125"/>
    </w:p>
    <w:p>
      <w:pPr>
        <w:spacing w:after="120" w:line="312"/>
        <w:ind w:firstLine="360"/>
        <w:jc w:val="both"/>
      </w:pPr>
      <w:r>
        <w:rPr>
          <w:rFonts w:ascii="Times New Roman" w:eastAsia="SimSun"/>
          <w:color w:val="000000"/>
          <w:sz w:val="24"/>
          <w:szCs w:val="24"/>
        </w:rPr>
        <w:t xml:space="preserve">The analysis is subject to several limitations that the reader should weigh. First, the market sizing figures cited are drawn from published secondary sources and reflect the estimates of those sources; they are indicative of scale and trend but are not independently verified and should not be treated as forecasts for any specific product. The SaaS market sizing in particular varies across research firms: Grand View Research reports a 2025 market size of 464.7 billion dollars with an 11.1 percent compound annual growth rate to 2033, Fortune Business Insights reports a 2025 market size of 315.68 billion dollars with an 18.7 percent rate to 2034, and Precedence Research reports a 2025 market size of 408.21 billion dollars with a 12.85 percent rate to 2035. This report uses the Grand View Research figures consistently because they are the most frequently cited in practitioner sources, but the variance across firms reflects genuine differences in market definition, scope, and methodology, and a reader using these figures for a financial model should consult the source methodologies directly. Second, the technology recommendations reflect the consensus of practitioner sources in the 2025 to 2026 timeframe, and the technology landscape evolves; a reader applying the recommendations in a later period should verify that the consensus has not shifted. Third, the regulatory landscape described is that of the jurisdictions cited, primarily the European Union and the United States, and readers operating in other jurisdictions must verify the applicable local requirements. Fourth, the report does not provide a financial model or a go-to-market plan for any specific venture; the commercial viability assessment is structural, not financial.</w:t>
      </w:r>
    </w:p>
    <w:p>
      <w:pPr>
        <w:spacing w:after="120" w:line="312"/>
        <w:ind w:firstLine="360"/>
        <w:jc w:val="both"/>
      </w:pPr>
      <w:r>
        <w:rPr>
          <w:rFonts w:ascii="Times New Roman" w:eastAsia="SimSun"/>
          <w:color w:val="000000"/>
          <w:sz w:val="24"/>
          <w:szCs w:val="24"/>
        </w:rPr>
        <w:t xml:space="preserve">A further limitation is that the data models and process flows specified for each system are sufficient to anchor a real build but are not exhaustive schemas or complete sequence diagrams. A team building a specific system should expect to elaborate the model with the attributes and constraints specific to its domain, and should expect to discover, during the design phase, entities and flows that the general treatment in this report does not anticipate. The report's specifications are a starting point that prevents the most common mistakes, not a substitute for the design work that a real build requires. Finally, the report treats the eight system categories as distinct, while in practice they overlap. A modern SaaS platform may include analytics dashboards, AI features, and scheduling capabilities, and the boundaries between CRM, ERP, and SaaS are increasingly blurred. The categorical treatment is an analytical convenience that supports like-for-like comparison; a real product will draw on patterns from multiple categories, and the framework should be applied to the product's dominant pattern rather than treated as a rigid classification.</w:t>
      </w:r>
    </w:p>
    <w:p>
      <w:pPr>
        <w:pStyle w:val="Heading1"/>
        <w:spacing w:after="160" w:before="360" w:line="312"/>
      </w:pPr>
      <w:bookmarkStart w:id="100126" w:name="_Toc100126"/>
      <w:r>
        <w:rPr>
          <w:rFonts w:ascii="Arial" w:eastAsia="SimHei"/>
          <w:b/>
          <w:bCs/>
          <w:color w:val="0B1C2C"/>
          <w:sz w:val="32"/>
          <w:szCs w:val="32"/>
        </w:rPr>
        <w:t xml:space="preserve">17. Risk Register and Action Items</w:t>
      </w:r>
      <w:bookmarkEnd w:id="100126"/>
    </w:p>
    <w:p>
      <w:pPr>
        <w:spacing w:after="120" w:line="312"/>
        <w:ind w:firstLine="360"/>
        <w:jc w:val="both"/>
      </w:pPr>
      <w:r>
        <w:rPr>
          <w:rFonts w:ascii="Times New Roman" w:eastAsia="SimSun"/>
          <w:color w:val="000000"/>
          <w:sz w:val="24"/>
          <w:szCs w:val="24"/>
        </w:rPr>
        <w:t xml:space="preserve">This section translates the analysis into the actionable artifacts that a business professional document is expected to produce: a risk register that captures the principal risks across the eight systems with their owners and mitigations, and an action-items table that assigns ownership and timeline to the recommendations. The risk register follows the convention used in project initiation and review documents, where each risk is recorded with its severity, its owner, and the mitigation in place. The action-items table follows the convention used in executive briefings and decision memos, where each recommendation is recorded with the responsible owner, the target timeline, and the success criterion. Together, these two tables convert the report's analysis into the accountability structure that distinguishes a planning document from a discussion document.</w:t>
      </w:r>
    </w:p>
    <w:p>
      <w:pPr>
        <w:pStyle w:val="Heading2"/>
        <w:spacing w:after="120" w:before="280" w:line="312"/>
      </w:pPr>
      <w:bookmarkStart w:id="100127" w:name="_Toc100127"/>
      <w:r>
        <w:rPr>
          <w:rFonts w:ascii="Arial" w:eastAsia="SimHei"/>
          <w:b/>
          <w:bCs/>
          <w:color w:val="0B1C2C"/>
          <w:sz w:val="28"/>
          <w:szCs w:val="28"/>
        </w:rPr>
        <w:t xml:space="preserve">17.1 Risk Register</w:t>
      </w:r>
      <w:bookmarkEnd w:id="100127"/>
    </w:p>
    <w:p>
      <w:pPr>
        <w:spacing w:after="120" w:line="312"/>
        <w:ind w:firstLine="360"/>
        <w:jc w:val="both"/>
      </w:pPr>
      <w:r>
        <w:rPr>
          <w:rFonts w:ascii="Times New Roman" w:eastAsia="SimSun"/>
          <w:color w:val="000000"/>
          <w:sz w:val="24"/>
          <w:szCs w:val="24"/>
        </w:rPr>
        <w:t xml:space="preserve">The risk register below captures the principal risks that recur across the eight systems examined in Part II. The risks are categorized by type, assessed for severity on a High-Medium-Low scale, and assigned to a named owner role. The mitigation column states the control or action that reduces the risk to an acceptable level. A team adopting this register should expect to add system-specific risks during the planning phase of the chosen system, but the risks listed here are the baseline that applies to any commercial full-stack build.</w:t>
      </w:r>
    </w:p>
    <w:p>
      <w:pPr>
        <w:keepNext/>
        <w:spacing w:after="100" w:before="200" w:line="312"/>
        <w:jc w:val="left"/>
      </w:pPr>
      <w:r>
        <w:rPr>
          <w:rFonts w:ascii="Arial" w:eastAsia="SimHei"/>
          <w:b/>
          <w:bCs/>
          <w:color w:val="0B1C2C"/>
          <w:sz w:val="22"/>
          <w:szCs w:val="22"/>
        </w:rPr>
        <w:t xml:space="preserve">Table 11: Risk Register for a Commercial Full-Stack System Build</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gridCol w:w="100"/>
      </w:tblGrid>
      <w:tr>
        <w:trPr>
          <w:cantSplit/>
          <w:tblHeader/>
        </w:trPr>
        <w:tc>
          <w:tcPr>
            <w:tcW w:type="pct" w:w="22%"/>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Risk</w:t>
            </w:r>
          </w:p>
        </w:tc>
        <w:tc>
          <w:tcPr>
            <w:tcW w:type="pct" w:w="1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Category</w:t>
            </w:r>
          </w:p>
        </w:tc>
        <w:tc>
          <w:tcPr>
            <w:tcW w:type="pct" w:w="1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Severity</w:t>
            </w:r>
          </w:p>
        </w:tc>
        <w:tc>
          <w:tcPr>
            <w:tcW w:type="pct" w:w="1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Owner</w:t>
            </w:r>
          </w:p>
        </w:tc>
        <w:tc>
          <w:tcPr>
            <w:tcW w:type="pct" w:w="36%"/>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Mitigation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Tenant data leakage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Security</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PostgreSQL Row-Level Security on every tenant-scoped table; automated cross-tenant access tests in CI</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Payment data breach</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Security/Compliance</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Tokenization through PCI-compliant processor; no raw card data touches platform; annual SAQ-A</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Checkout or booking failure under peak load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Performance</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Load testing at 10x average before launch; auto-scaling; rate limiting; graceful degradation</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GDPR data subject access failure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Compliance</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Product Owner / DPO</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Documented data map; export and deletion APIs; 30-day response SLA; data processing agreement</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WCAG 2.2 AA conformance failure in procurement</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Compliance/UX</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UX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Accessible component library; axe scanning in CI; manual screen-reader testing before each release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Dependency vulnerability (log4j-class)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Security</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Automated dependency scanning in CI on every commit; patch SLA of 48 hours for critical CVEs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Model output safety failure (AI systems)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Security/AI</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AI Engineering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Input and output guardrails; evaluation harness in CI; human-handoff path for low-confidence cases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Vendor lock-in (cloud or model provider)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Strategic</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 / Architect</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Abstract provider interfaces; maintain portability of data; document migration path</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Customer acquisition cost exceeds lifetime value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Commercial</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Product Owner / CEO</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Focused ideal customer profile; vertical sales motion; monitor CAC:LTV ratio monthly</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Key person dependency</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Operational</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Documentation; pair programming on critical modules; cross-training; bus factor &gt;= 2</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Regulatory change (e.g., EU AI Act expansion)</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Compliance</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Product Owner / DPO</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Quarterly regulatory scan; modular design that allows policy changes without rewrite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Data loss from failed migration or backup</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Operational</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 / SRE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Automated backups with tested restore; recovery time objective of 4 hours; recovery point objective of 15 minutes</w:t>
            </w:r>
          </w:p>
        </w:tc>
      </w:tr>
    </w:tbl>
    <w:p>
      <w:pPr>
        <w:spacing w:after="200" w:before="80" w:line="312"/>
        <w:jc w:val="center"/>
      </w:pPr>
      <w:r>
        <w:rPr>
          <w:rFonts w:ascii="Times New Roman" w:eastAsia="SimSun"/>
          <w:i/>
          <w:iCs/>
          <w:color w:val="606060"/>
          <w:sz w:val="20"/>
          <w:szCs w:val="20"/>
        </w:rPr>
        <w:t xml:space="preserve">Table 11: Risk register for a commercial full-stack system build. Severity is assessed on a High-Medium-Low scale; the Owner column assigns accountability to a named role. The mitigation column states the control that reduces the risk to an acceptable level.</w:t>
      </w:r>
    </w:p>
    <w:p>
      <w:pPr>
        <w:pStyle w:val="Heading2"/>
        <w:spacing w:after="120" w:before="280" w:line="312"/>
      </w:pPr>
      <w:bookmarkStart w:id="100128" w:name="_Toc100128"/>
      <w:r>
        <w:rPr>
          <w:rFonts w:ascii="Arial" w:eastAsia="SimHei"/>
          <w:b/>
          <w:bCs/>
          <w:color w:val="0B1C2C"/>
          <w:sz w:val="28"/>
          <w:szCs w:val="28"/>
        </w:rPr>
        <w:t xml:space="preserve">17.2 Action Items with Ownership and Timeline</w:t>
      </w:r>
      <w:bookmarkEnd w:id="100128"/>
    </w:p>
    <w:p>
      <w:pPr>
        <w:spacing w:after="120" w:line="312"/>
        <w:ind w:firstLine="360"/>
        <w:jc w:val="both"/>
      </w:pPr>
      <w:r>
        <w:rPr>
          <w:rFonts w:ascii="Times New Roman" w:eastAsia="SimSun"/>
          <w:color w:val="000000"/>
          <w:sz w:val="24"/>
          <w:szCs w:val="24"/>
        </w:rPr>
        <w:t xml:space="preserve">The action items below convert the report's recommendations into the accountability structure that a business professional document requires. Each action item states the responsible owner, the target timeline, and the success criterion by which completion is judged. The owner roles are defined as follows: the Product Owner is accountable for the commercial outcome and for the prioritization of the backlog; the Engineering Lead is accountable for the architecture, the engineering practices, and the production operation; the UX Lead is accountable for the design system and the accessibility conformance; the Data Protection Officer (DPO) is accountable for the regulatory compliance; the CEO is accountable for the commercial strategy and the resource allocation. A team adopting this action-items table should review it at each monthly checkpoint and update the status, with completed items archived and new items added as the build progresses.</w:t>
      </w:r>
    </w:p>
    <w:p>
      <w:pPr>
        <w:keepNext/>
        <w:spacing w:after="100" w:before="200" w:line="312"/>
        <w:jc w:val="left"/>
      </w:pPr>
      <w:r>
        <w:rPr>
          <w:rFonts w:ascii="Arial" w:eastAsia="SimHei"/>
          <w:b/>
          <w:bCs/>
          <w:color w:val="0B1C2C"/>
          <w:sz w:val="22"/>
          <w:szCs w:val="22"/>
        </w:rPr>
        <w:t xml:space="preserve">Table 12: Action Items with Owner and Timeline</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tblGrid>
      <w:tr>
        <w:trPr>
          <w:cantSplit/>
          <w:tblHeader/>
        </w:trPr>
        <w:tc>
          <w:tcPr>
            <w:tcW w:type="pct" w:w="40%"/>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Action Item</w:t>
            </w:r>
          </w:p>
        </w:tc>
        <w:tc>
          <w:tcPr>
            <w:tcW w:type="pct" w:w="1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Owner</w:t>
            </w:r>
          </w:p>
        </w:tc>
        <w:tc>
          <w:tcPr>
            <w:tcW w:type="pct" w:w="14%"/>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Timeline</w:t>
            </w:r>
          </w:p>
        </w:tc>
        <w:tc>
          <w:tcPr>
            <w:tcW w:type="pct" w:w="28%"/>
            <w:shd w:fill="529286" w:val="clear"/>
            <w:tcMar>
              <w:top w:type="dxa" w:w="80"/>
              <w:left w:type="dxa" w:w="120"/>
              <w:bottom w:type="dxa" w:w="80"/>
              <w:right w:type="dxa" w:w="120"/>
            </w:tcMar>
          </w:tcPr>
          <w:p>
            <w:pPr>
              <w:spacing w:line="276"/>
              <w:jc w:val="left"/>
            </w:pPr>
            <w:r>
              <w:rPr>
                <w:rFonts w:ascii="Arial" w:eastAsia="SimHei"/>
                <w:b/>
                <w:bCs/>
                <w:color w:val="FFFFFF"/>
                <w:sz w:val="21"/>
                <w:szCs w:val="21"/>
              </w:rPr>
              <w:t xml:space="preserve">Success Criterion</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Complete documented planning phase (problem statement, ICP, NFRs, regulatory regime, scope boundaries)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Product Owner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1-4</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Reviewed and approved specification document accepted by stakeholders</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Produce architecture decision record and data model</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3-8</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ADR reviewed; data model specified at entity level with relationships and constraints</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Establish accessible design system (Radix + Tailwind + WCAG 2.2 AA)</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UX Lead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4-10</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Component library documented; axe scanning integrated; first screen-reader test passed</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Implement tenant isolation with PostgreSQL Row-Level Security</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6-12</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Cross-tenant access test suite passes; no tenant_id filter bypass possible</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Integrate payment processor with tokenization (PCI-DSS SAQ-A scope)</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10-16</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Payment flow never touches raw card data; SAQ-A self-assessment completed</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Establish observability stack (metrics, logs, traces, alerting)</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 / SRE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12-18</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On-call rotation verified; alert on user-visible degradation, not raw resources</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Complete accessibility audit (automated + manual screen-reader)</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UX Lead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16-20</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WCAG 2.2 AA conformance verified; report archived for procurement</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Complete external penetration test</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18-22</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No critical or high-severity findings unresolved; report archived</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Complete load testing at 10x peak</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Engineering Lead / SRE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18-22</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p95 latency and throughput targets met under peak load profile</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Achieve SOC 2 Type II readiness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Product Owner / DPO</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Months 6-18</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Controls documented; audit window opened within 18 months of commercial operation</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Define and document data subject access request (DSAR) process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DPO</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8-14</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DSAR runbook documented; export and deletion APIs tested; 30-day SLA verifiable</w:t>
            </w:r>
          </w:p>
        </w:tc>
      </w:tr>
      <w:tr>
        <w:trPr>
          <w:cantSplit/>
        </w:trPr>
        <w:tc>
          <w:tcPr>
            <w:tcW w:type="pct" w:w="40%"/>
            <w:tcMar>
              <w:top w:type="dxa" w:w="70"/>
              <w:left w:type="dxa" w:w="120"/>
              <w:bottom w:type="dxa" w:w="70"/>
              <w:right w:type="dxa" w:w="120"/>
            </w:tcMar>
          </w:tcPr>
          <w:p>
            <w:pPr>
              <w:spacing w:line="276"/>
              <w:jc w:val="left"/>
            </w:pPr>
            <w:r>
              <w:rPr>
                <w:rFonts w:ascii="Times New Roman" w:eastAsia="SimSun"/>
                <w:color w:val="000000"/>
                <w:sz w:val="20"/>
                <w:szCs w:val="20"/>
              </w:rPr>
              <w:t xml:space="preserve">Define go-to-market motion matched to ideal customer profile</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CEO / Product Owner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Months 3-9</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Sales channel defined; CAC:LTV ratio monitored monthly; first 10 paying customers acquired</w:t>
            </w:r>
          </w:p>
        </w:tc>
      </w:tr>
    </w:tbl>
    <w:p>
      <w:pPr>
        <w:spacing w:after="200" w:before="80" w:line="312"/>
        <w:jc w:val="center"/>
      </w:pPr>
      <w:r>
        <w:rPr>
          <w:rFonts w:ascii="Times New Roman" w:eastAsia="SimSun"/>
          <w:i/>
          <w:iCs/>
          <w:color w:val="606060"/>
          <w:sz w:val="20"/>
          <w:szCs w:val="20"/>
        </w:rPr>
        <w:t xml:space="preserve">Table 12: Action items with owner and timeline. The owner column assigns accountability to a named role; the timeline states the target window from project start; the success criterion states the verifiable condition for completion.</w:t>
      </w:r>
    </w:p>
    <w:p>
      <w:pPr>
        <w:spacing w:after="120" w:line="312"/>
        <w:ind w:firstLine="360"/>
        <w:jc w:val="both"/>
      </w:pPr>
      <w:r>
        <w:rPr>
          <w:rFonts w:ascii="Times New Roman" w:eastAsia="SimSun"/>
          <w:color w:val="000000"/>
          <w:sz w:val="24"/>
          <w:szCs w:val="24"/>
        </w:rPr>
        <w:t xml:space="preserve">The action items above are sequenced to reflect the dependencies of the SDLC. The planning phase (item 1) gates the architecture and data-model work (item 2), which in turn gates the implementation of tenant isolation and payment integration (items 4 and 5). The observability and testing work (items 6, 7, 8, 9) occurs in parallel with the later implementation phases and gates the commercial launch. The SOC 2 and DSAR work (items 10 and 11) extends beyond launch and is the foundation of the enterprise procurement readiness that the commercial motion (item 12) depends on. A team that follows this sequence will produce a system that meets the real-world standard at each gate, rather than discovering at launch that a critical artifact is missing.</w:t>
      </w:r>
    </w:p>
    <w:p>
      <w:pPr>
        <w:pStyle w:val="Heading1"/>
        <w:spacing w:after="160" w:before="360" w:line="312"/>
      </w:pPr>
      <w:bookmarkStart w:id="100129" w:name="_Toc100129"/>
      <w:r>
        <w:rPr>
          <w:rFonts w:ascii="Arial" w:eastAsia="SimHei"/>
          <w:b/>
          <w:bCs/>
          <w:color w:val="0B1C2C"/>
          <w:sz w:val="32"/>
          <w:szCs w:val="32"/>
        </w:rPr>
        <w:t xml:space="preserve">18. Conclusion and Strategic Implications</w:t>
      </w:r>
      <w:bookmarkEnd w:id="100129"/>
    </w:p>
    <w:p>
      <w:pPr>
        <w:spacing w:after="120" w:line="312"/>
        <w:ind w:firstLine="360"/>
        <w:jc w:val="both"/>
      </w:pPr>
      <w:r>
        <w:rPr>
          <w:rFonts w:ascii="Times New Roman" w:eastAsia="SimSun"/>
          <w:color w:val="000000"/>
          <w:sz w:val="24"/>
          <w:szCs w:val="24"/>
        </w:rPr>
        <w:t xml:space="preserve">The question that opened this report was what full-stack system a builder can create that meets real-world standards and is therefore sellable to a business, with complete planning, SDLC, foundation, sources, processes, and data. The analysis has defined real-world standard software as software that is functionally correct, non-functionally fit, secure and compliant, operable, and maintainable, and has shown that these properties are the deliberate output of a documented SDLC, an explicit data model, and an explicit process architecture rather than emergent properties of capable engineering. The analysis has applied a consistent ten-dimension framework to eight commercially validated system categories and has documented for each the planning, the SDLC application, the reference architecture, the core data entities and relationships, the end-to-end process flows, the security controls, the user-experience standards, the implementation roadmap, and the business viability.</w:t>
      </w:r>
    </w:p>
    <w:p>
      <w:pPr>
        <w:spacing w:after="120" w:line="312"/>
        <w:ind w:firstLine="360"/>
        <w:jc w:val="both"/>
      </w:pPr>
      <w:r>
        <w:rPr>
          <w:rFonts w:ascii="Times New Roman" w:eastAsia="SimSun"/>
          <w:color w:val="000000"/>
          <w:sz w:val="24"/>
          <w:szCs w:val="24"/>
        </w:rPr>
        <w:t xml:space="preserve">The strategic implications for a builder are threefold. First, the decision of what to build matters more than the decision of how to build, because the market is crowded and the durable opportunities are in vertical specialization, capability gaps, and experience gaps rather than in horizontal competition with established incumbents. A builder should spend the planning phase defining the buyer and the gap with the same rigor that the engineering team will later spend on the architecture and the data model. Second, the engineering baseline is non-negotiable for commercial sale, but it can be applied selectively during validation; the threshold is the move from design partners to paying enterprise customers, and the discipline must be in place before that threshold is crossed. Third, the SDLC is not a one-time setup but a continuing practice; the system that wins in the market is the system that is maintained, evolved, and operated well over years, and the team that wins is the team whose process supports that long horizon.</w:t>
      </w:r>
    </w:p>
    <w:p>
      <w:pPr>
        <w:spacing w:after="120" w:line="312"/>
        <w:ind w:firstLine="360"/>
        <w:jc w:val="both"/>
      </w:pPr>
      <w:r>
        <w:rPr>
          <w:rFonts w:ascii="Times New Roman" w:eastAsia="SimSun"/>
          <w:color w:val="000000"/>
          <w:sz w:val="24"/>
          <w:szCs w:val="24"/>
        </w:rPr>
        <w:t xml:space="preserve">The strongest near-term opportunities, as identified in the market analysis and the cross-system synthesis, sit at the intersection of vertical SaaS and embedded AI. A focused domain, a defensible workflow, and a measured AI capability combine into a product that a defined buyer will pay for, and the technology and market conditions of 2025 to 2026 are favorable for this combination. The chatbot market alone, projected to exceed 41 billion dollars by 2033, is one instance of the broader AI-augmented workflow opportunity, and the vertical-SaaS pattern provides the focus that prevents a generic AI wrapper from being rendered obsolete by the model providers' own advances. For a team choosing among the eight systems, the multi-tenant SaaS platform in a vertical, the booking system in a vertical, and the AI-powered application in a workflow are the recommended entry points, each offering a balance of build timeline, market opportunity, and defensibility that suits a focused team.</w:t>
      </w:r>
    </w:p>
    <w:p>
      <w:pPr>
        <w:spacing w:after="120" w:line="312"/>
        <w:ind w:firstLine="360"/>
        <w:jc w:val="both"/>
      </w:pPr>
      <w:r>
        <w:rPr>
          <w:rFonts w:ascii="Times New Roman" w:eastAsia="SimSun"/>
          <w:color w:val="000000"/>
          <w:sz w:val="24"/>
          <w:szCs w:val="24"/>
        </w:rPr>
        <w:t xml:space="preserve">The closing recommendation is therefore the following. A team considering the build of a sellable full-stack system should begin not with technology selection but with a documented planning phase that defines the buyer, the gap, the success criteria, and the applicable regulatory regime, and that specifies the core data entities and the primary process flows. The team should then apply the SDLC discipline and the engineering baseline described in this report, calibrated to the stage of the product. The team should build one of the eight systems examined here, or a deliberate combination of their patterns, chosen because the target buyer is underserved by existing products. And the team should plan for the long horizon, because commercial success in software is the result of sustained operational excellence over years, not of a single successful launch. The framework, the eight systems, the data models, the process flows, and the SDLC blueprint in this report are intended to support exactly that disciplined, long-horizon effort, and to give a builder the foundation needed to create a system that genuinely meets real-world standards and that a business will pay for.</w:t>
      </w:r>
    </w:p>
    <w:p>
      <w:pPr>
        <w:pStyle w:val="Heading1"/>
        <w:spacing w:after="160" w:before="360" w:line="312"/>
      </w:pPr>
      <w:bookmarkStart w:id="100130" w:name="_Toc100130"/>
      <w:r>
        <w:rPr>
          <w:rFonts w:ascii="Arial" w:eastAsia="SimHei"/>
          <w:b/>
          <w:bCs/>
          <w:color w:val="0B1C2C"/>
          <w:sz w:val="32"/>
          <w:szCs w:val="32"/>
        </w:rPr>
        <w:t xml:space="preserve">19. References</w:t>
      </w:r>
      <w:bookmarkEnd w:id="100130"/>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Grand View Research. Software as a Service Market Size, Share Report, 2026-2033. </w:t>
      </w:r>
      <w:hyperlink w:history="1" r:id="rIdi-n8t0fbajqatuoqilak1">
        <w:r>
          <w:rPr>
            <w:rFonts w:ascii="Times New Roman" w:eastAsia="SimSun"/>
            <w:color w:val="3E6B62"/>
            <w:sz w:val="20"/>
            <w:szCs w:val="20"/>
            <w:u w:val="single"/>
          </w:rPr>
          <w:t xml:space="preserve">https://www.grandviewresearch.com/industry-analysis/saas-market-report</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Fortune Business Insights. AI SaaS Market Size, Industry Share, Forecast, 2034. </w:t>
      </w:r>
      <w:hyperlink w:history="1" r:id="rIdxbggvbyypnko_fcgml5bj">
        <w:r>
          <w:rPr>
            <w:rFonts w:ascii="Times New Roman" w:eastAsia="SimSun"/>
            <w:color w:val="3E6B62"/>
            <w:sz w:val="20"/>
            <w:szCs w:val="20"/>
            <w:u w:val="single"/>
          </w:rPr>
          <w:t xml:space="preserve">https://www.fortunebusinessinsights.com/ai-saas-market-111182</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Grand View Research. Chatbot Market Size, Share &amp; Growth | Industry Report, 2033. </w:t>
      </w:r>
      <w:hyperlink w:history="1" r:id="rIdh84rb2geeng_lopvttytv">
        <w:r>
          <w:rPr>
            <w:rFonts w:ascii="Times New Roman" w:eastAsia="SimSun"/>
            <w:color w:val="3E6B62"/>
            <w:sz w:val="20"/>
            <w:szCs w:val="20"/>
            <w:u w:val="single"/>
          </w:rPr>
          <w:t xml:space="preserve">https://www.grandviewresearch.com/industry-analysis/chatbot-market</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Atlassian. What is Software Development Life Cycle (SDLC). </w:t>
      </w:r>
      <w:hyperlink w:history="1" r:id="rIdbo6axsfw7aha2oja9fvk0">
        <w:r>
          <w:rPr>
            <w:rFonts w:ascii="Times New Roman" w:eastAsia="SimSun"/>
            <w:color w:val="3E6B62"/>
            <w:sz w:val="20"/>
            <w:szCs w:val="20"/>
            <w:u w:val="single"/>
          </w:rPr>
          <w:t xml:space="preserve">https://www.atlassian.com/agile/software-development/life-cycle</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IBM. What is the Software Development Lifecycle (SDLC)? </w:t>
      </w:r>
      <w:hyperlink w:history="1" r:id="rIddqsp2djl2qbubz1stxcl5">
        <w:r>
          <w:rPr>
            <w:rFonts w:ascii="Times New Roman" w:eastAsia="SimSun"/>
            <w:color w:val="3E6B62"/>
            <w:sz w:val="20"/>
            <w:szCs w:val="20"/>
            <w:u w:val="single"/>
          </w:rPr>
          <w:t xml:space="preserve">https://www.ibm.com/think/topics/software-development-lifecycle</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Splunk. The Software Development Lifecycle: The Most Common Phases. </w:t>
      </w:r>
      <w:hyperlink w:history="1" r:id="rIdp0elugofl4s-bpniolj7-">
        <w:r>
          <w:rPr>
            <w:rFonts w:ascii="Times New Roman" w:eastAsia="SimSun"/>
            <w:color w:val="3E6B62"/>
            <w:sz w:val="20"/>
            <w:szCs w:val="20"/>
            <w:u w:val="single"/>
          </w:rPr>
          <w:t xml:space="preserve">https://www.splunk.com/en_us/blog/learn/software-development-life-cycle.html</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OWASP Foundation. OWASP Top Ten Web Application Security Risks. </w:t>
      </w:r>
      <w:hyperlink w:history="1" r:id="rIdafwmihjfiuwwofl1uynjb">
        <w:r>
          <w:rPr>
            <w:rFonts w:ascii="Times New Roman" w:eastAsia="SimSun"/>
            <w:color w:val="3E6B62"/>
            <w:sz w:val="20"/>
            <w:szCs w:val="20"/>
            <w:u w:val="single"/>
          </w:rPr>
          <w:t xml:space="preserve">https://owasp.org/www-project-top-ten/</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W3C Web Accessibility Initiative (WAI). WCAG 2 Overview. </w:t>
      </w:r>
      <w:hyperlink w:history="1" r:id="rIddawkkibb8onadphxdbifn">
        <w:r>
          <w:rPr>
            <w:rFonts w:ascii="Times New Roman" w:eastAsia="SimSun"/>
            <w:color w:val="3E6B62"/>
            <w:sz w:val="20"/>
            <w:szCs w:val="20"/>
            <w:u w:val="single"/>
          </w:rPr>
          <w:t xml:space="preserve">https://www.w3.org/WAI/standards-guidelines/wcag/</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United States Department of Justice, Civil Rights Division. Fact Sheet: New Rule on the Accessibility of Web Content and Mobile Apps Provided by State and Local Governments. </w:t>
      </w:r>
      <w:hyperlink w:history="1" r:id="rIdsq9auky6vrci9kkelg8ri">
        <w:r>
          <w:rPr>
            <w:rFonts w:ascii="Times New Roman" w:eastAsia="SimSun"/>
            <w:color w:val="3E6B62"/>
            <w:sz w:val="20"/>
            <w:szCs w:val="20"/>
            <w:u w:val="single"/>
          </w:rPr>
          <w:t xml:space="preserve">https://www.ada.gov/resources/2024-03-08-web-rule/</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Amazon Web Services. Multi-tenant data isolation with PostgreSQL Row Level Security. </w:t>
      </w:r>
      <w:hyperlink w:history="1" r:id="rIdf9_aakzf4l5peaydsb_jd">
        <w:r>
          <w:rPr>
            <w:rFonts w:ascii="Times New Roman" w:eastAsia="SimSun"/>
            <w:color w:val="3E6B62"/>
            <w:sz w:val="20"/>
            <w:szCs w:val="20"/>
            <w:u w:val="single"/>
          </w:rPr>
          <w:t xml:space="preserve">https://aws.amazon.com/blogs/database/multi-tenant-data-isolation-with-postgresql-row-level-security/</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Microsoft Learn. Best practices for RESTful web API design. </w:t>
      </w:r>
      <w:hyperlink w:history="1" r:id="rId6onxtltalbtwjs24azb2h">
        <w:r>
          <w:rPr>
            <w:rFonts w:ascii="Times New Roman" w:eastAsia="SimSun"/>
            <w:color w:val="3E6B62"/>
            <w:sz w:val="20"/>
            <w:szCs w:val="20"/>
            <w:u w:val="single"/>
          </w:rPr>
          <w:t xml:space="preserve">https://learn.microsoft.com/en-us/azure/architecture/best-practices/api-design</w:t>
        </w:r>
      </w:hyperlink>
    </w:p>
    <w:p>
      <w:pPr>
        <w:spacing w:after="100" w:line="312"/>
        <w:ind w:left="480" w:hanging="480"/>
      </w:pPr>
      <w:r>
        <w:rPr>
          <w:rFonts w:ascii="Times New Roman" w:eastAsia="SimSun"/>
          <w:b/>
          <w:bCs/>
          <w:color w:val="000000"/>
          <w:sz w:val="22"/>
          <w:szCs w:val="22"/>
        </w:rPr>
        <w:t xml:space="preserve">[12] </w:t>
      </w:r>
      <w:r>
        <w:rPr>
          <w:rFonts w:ascii="Times New Roman" w:eastAsia="SimSun"/>
          <w:color w:val="000000"/>
          <w:sz w:val="22"/>
          <w:szCs w:val="22"/>
        </w:rPr>
        <w:t xml:space="preserve">Redis. Caching Solutions. </w:t>
      </w:r>
      <w:hyperlink w:history="1" r:id="rId7bp3mlwqiehnzlej2ckgc">
        <w:r>
          <w:rPr>
            <w:rFonts w:ascii="Times New Roman" w:eastAsia="SimSun"/>
            <w:color w:val="3E6B62"/>
            <w:sz w:val="20"/>
            <w:szCs w:val="20"/>
            <w:u w:val="single"/>
          </w:rPr>
          <w:t xml:space="preserve">https://redis.io/solutions/caching</w:t>
        </w:r>
      </w:hyperlink>
    </w:p>
    <w:p>
      <w:pPr>
        <w:spacing w:after="100" w:line="312"/>
        <w:ind w:left="480" w:hanging="480"/>
      </w:pPr>
      <w:r>
        <w:rPr>
          <w:rFonts w:ascii="Times New Roman" w:eastAsia="SimSun"/>
          <w:b/>
          <w:bCs/>
          <w:color w:val="000000"/>
          <w:sz w:val="22"/>
          <w:szCs w:val="22"/>
        </w:rPr>
        <w:t xml:space="preserve">[13] </w:t>
      </w:r>
      <w:r>
        <w:rPr>
          <w:rFonts w:ascii="Times New Roman" w:eastAsia="SimSun"/>
          <w:color w:val="000000"/>
          <w:sz w:val="22"/>
          <w:szCs w:val="22"/>
        </w:rPr>
        <w:t xml:space="preserve">ResearchGate. Microservices Architecture for E-commerce Platforms: Enhancing Performance, Scalability and Predictive Accuracy (2025). </w:t>
      </w:r>
      <w:hyperlink w:history="1" r:id="rIdhgovueiybad4uppq888n6">
        <w:r>
          <w:rPr>
            <w:rFonts w:ascii="Times New Roman" w:eastAsia="SimSun"/>
            <w:color w:val="3E6B62"/>
            <w:sz w:val="20"/>
            <w:szCs w:val="20"/>
            <w:u w:val="single"/>
          </w:rPr>
          <w:t xml:space="preserve">https://www.researchgate.net/publication/395111279_Microservices_Architecture_for_E-commerce_Platforms_Enhancing_Performance_Scalability_and_Predictive_Accuracy</w:t>
        </w:r>
      </w:hyperlink>
    </w:p>
    <w:p>
      <w:pPr>
        <w:spacing w:after="100" w:line="312"/>
        <w:ind w:left="480" w:hanging="480"/>
      </w:pPr>
      <w:r>
        <w:rPr>
          <w:rFonts w:ascii="Times New Roman" w:eastAsia="SimSun"/>
          <w:b/>
          <w:bCs/>
          <w:color w:val="000000"/>
          <w:sz w:val="22"/>
          <w:szCs w:val="22"/>
        </w:rPr>
        <w:t xml:space="preserve">[14] </w:t>
      </w:r>
      <w:r>
        <w:rPr>
          <w:rFonts w:ascii="Times New Roman" w:eastAsia="SimSun"/>
          <w:color w:val="000000"/>
          <w:sz w:val="22"/>
          <w:szCs w:val="22"/>
        </w:rPr>
        <w:t xml:space="preserve">Redgate. E-commerce Database Design: ER Diagram for Online Shop. </w:t>
      </w:r>
      <w:hyperlink w:history="1" r:id="rIdhlaelndgvqhyjiyuj0mfc">
        <w:r>
          <w:rPr>
            <w:rFonts w:ascii="Times New Roman" w:eastAsia="SimSun"/>
            <w:color w:val="3E6B62"/>
            <w:sz w:val="20"/>
            <w:szCs w:val="20"/>
            <w:u w:val="single"/>
          </w:rPr>
          <w:t xml:space="preserve">https://www.red-gate.com/blog/er-diagram-for-online-shop</w:t>
        </w:r>
      </w:hyperlink>
    </w:p>
    <w:p>
      <w:pPr>
        <w:spacing w:after="100" w:line="312"/>
        <w:ind w:left="480" w:hanging="480"/>
      </w:pPr>
      <w:r>
        <w:rPr>
          <w:rFonts w:ascii="Times New Roman" w:eastAsia="SimSun"/>
          <w:b/>
          <w:bCs/>
          <w:color w:val="000000"/>
          <w:sz w:val="22"/>
          <w:szCs w:val="22"/>
        </w:rPr>
        <w:t xml:space="preserve">[15] </w:t>
      </w:r>
      <w:r>
        <w:rPr>
          <w:rFonts w:ascii="Times New Roman" w:eastAsia="SimSun"/>
          <w:color w:val="000000"/>
          <w:sz w:val="22"/>
          <w:szCs w:val="22"/>
        </w:rPr>
        <w:t xml:space="preserve">Microsoft Dynamics 365. Leads, accounts, contacts, and opportunities. </w:t>
      </w:r>
      <w:hyperlink w:history="1" r:id="rIdlgfbieynaby0z6mjr2zm3">
        <w:r>
          <w:rPr>
            <w:rFonts w:ascii="Times New Roman" w:eastAsia="SimSun"/>
            <w:color w:val="3E6B62"/>
            <w:sz w:val="20"/>
            <w:szCs w:val="20"/>
            <w:u w:val="single"/>
          </w:rPr>
          <w:t xml:space="preserve">https://www.microsoft.com/en-us/dynamics-365/blog/no-audience/2007/08/27/leads-accounts-contacts-and-opportunities/</w:t>
        </w:r>
      </w:hyperlink>
    </w:p>
    <w:p>
      <w:pPr>
        <w:spacing w:after="100" w:line="312"/>
        <w:ind w:left="480" w:hanging="480"/>
      </w:pPr>
      <w:r>
        <w:rPr>
          <w:rFonts w:ascii="Times New Roman" w:eastAsia="SimSun"/>
          <w:b/>
          <w:bCs/>
          <w:color w:val="000000"/>
          <w:sz w:val="22"/>
          <w:szCs w:val="22"/>
        </w:rPr>
        <w:t xml:space="preserve">[16] </w:t>
      </w:r>
      <w:r>
        <w:rPr>
          <w:rFonts w:ascii="Times New Roman" w:eastAsia="SimSun"/>
          <w:color w:val="000000"/>
          <w:sz w:val="22"/>
          <w:szCs w:val="22"/>
        </w:rPr>
        <w:t xml:space="preserve">Rework. CRM Data Model Design: A 6-Step Guide (With Examples). </w:t>
      </w:r>
      <w:hyperlink w:history="1" r:id="rIdkigafq88atkwnumozwn7b">
        <w:r>
          <w:rPr>
            <w:rFonts w:ascii="Times New Roman" w:eastAsia="SimSun"/>
            <w:color w:val="3E6B62"/>
            <w:sz w:val="20"/>
            <w:szCs w:val="20"/>
            <w:u w:val="single"/>
          </w:rPr>
          <w:t xml:space="preserve">https://resources.rework.com/guides/crm-implementation/crm-data-model-design</w:t>
        </w:r>
      </w:hyperlink>
    </w:p>
    <w:p>
      <w:pPr>
        <w:spacing w:after="100" w:line="312"/>
        <w:ind w:left="480" w:hanging="480"/>
      </w:pPr>
      <w:r>
        <w:rPr>
          <w:rFonts w:ascii="Times New Roman" w:eastAsia="SimSun"/>
          <w:b/>
          <w:bCs/>
          <w:color w:val="000000"/>
          <w:sz w:val="22"/>
          <w:szCs w:val="22"/>
        </w:rPr>
        <w:t xml:space="preserve">[17] </w:t>
      </w:r>
      <w:r>
        <w:rPr>
          <w:rFonts w:ascii="Times New Roman" w:eastAsia="SimSun"/>
          <w:color w:val="000000"/>
          <w:sz w:val="22"/>
          <w:szCs w:val="22"/>
        </w:rPr>
        <w:t xml:space="preserve">HubSpot. Use the data model builder. </w:t>
      </w:r>
      <w:hyperlink w:history="1" r:id="rIdvd4lfia7hely_ofbqq3xz">
        <w:r>
          <w:rPr>
            <w:rFonts w:ascii="Times New Roman" w:eastAsia="SimSun"/>
            <w:color w:val="3E6B62"/>
            <w:sz w:val="20"/>
            <w:szCs w:val="20"/>
            <w:u w:val="single"/>
          </w:rPr>
          <w:t xml:space="preserve">https://knowledge.hubspot.com/data-management/use-the-data-model-builder</w:t>
        </w:r>
      </w:hyperlink>
    </w:p>
    <w:p>
      <w:pPr>
        <w:spacing w:after="100" w:line="312"/>
        <w:ind w:left="480" w:hanging="480"/>
      </w:pPr>
      <w:r>
        <w:rPr>
          <w:rFonts w:ascii="Times New Roman" w:eastAsia="SimSun"/>
          <w:b/>
          <w:bCs/>
          <w:color w:val="000000"/>
          <w:sz w:val="22"/>
          <w:szCs w:val="22"/>
        </w:rPr>
        <w:t xml:space="preserve">[18] </w:t>
      </w:r>
      <w:r>
        <w:rPr>
          <w:rFonts w:ascii="Times New Roman" w:eastAsia="SimSun"/>
          <w:color w:val="000000"/>
          <w:sz w:val="22"/>
          <w:szCs w:val="22"/>
        </w:rPr>
        <w:t xml:space="preserve">NetSuite. ERP Modules: Types, Features &amp; Functions. </w:t>
      </w:r>
      <w:hyperlink w:history="1" r:id="rIdpyi6y6eiigvugxoduquem">
        <w:r>
          <w:rPr>
            <w:rFonts w:ascii="Times New Roman" w:eastAsia="SimSun"/>
            <w:color w:val="3E6B62"/>
            <w:sz w:val="20"/>
            <w:szCs w:val="20"/>
            <w:u w:val="single"/>
          </w:rPr>
          <w:t xml:space="preserve">https://www.netsuite.com/portal/resource/articles/erp/erp-modules.shtml</w:t>
        </w:r>
      </w:hyperlink>
    </w:p>
    <w:p>
      <w:pPr>
        <w:spacing w:after="100" w:line="312"/>
        <w:ind w:left="480" w:hanging="480"/>
      </w:pPr>
      <w:r>
        <w:rPr>
          <w:rFonts w:ascii="Times New Roman" w:eastAsia="SimSun"/>
          <w:b/>
          <w:bCs/>
          <w:color w:val="000000"/>
          <w:sz w:val="22"/>
          <w:szCs w:val="22"/>
        </w:rPr>
        <w:t xml:space="preserve">[19] </w:t>
      </w:r>
      <w:r>
        <w:rPr>
          <w:rFonts w:ascii="Times New Roman" w:eastAsia="SimSun"/>
          <w:color w:val="000000"/>
          <w:sz w:val="22"/>
          <w:szCs w:val="22"/>
        </w:rPr>
        <w:t xml:space="preserve">Oracle. 10 Top ERP Modules and Their Features. </w:t>
      </w:r>
      <w:hyperlink w:history="1" r:id="rIdm1f3aecvyzbr8mctrvzll">
        <w:r>
          <w:rPr>
            <w:rFonts w:ascii="Times New Roman" w:eastAsia="SimSun"/>
            <w:color w:val="3E6B62"/>
            <w:sz w:val="20"/>
            <w:szCs w:val="20"/>
            <w:u w:val="single"/>
          </w:rPr>
          <w:t xml:space="preserve">https://www.oracle.com/erp/erp-modules/</w:t>
        </w:r>
      </w:hyperlink>
    </w:p>
    <w:p>
      <w:pPr>
        <w:spacing w:after="100" w:line="312"/>
        <w:ind w:left="480" w:hanging="480"/>
      </w:pPr>
      <w:r>
        <w:rPr>
          <w:rFonts w:ascii="Times New Roman" w:eastAsia="SimSun"/>
          <w:b/>
          <w:bCs/>
          <w:color w:val="000000"/>
          <w:sz w:val="22"/>
          <w:szCs w:val="22"/>
        </w:rPr>
        <w:t xml:space="preserve">[20] </w:t>
      </w:r>
      <w:r>
        <w:rPr>
          <w:rFonts w:ascii="Times New Roman" w:eastAsia="SimSun"/>
          <w:color w:val="000000"/>
          <w:sz w:val="22"/>
          <w:szCs w:val="22"/>
        </w:rPr>
        <w:t xml:space="preserve">ScienceDirect. Reconceptualizing Enterprise Resource Planning (ERP) Systems from a Software Architecture Perspective (2025). </w:t>
      </w:r>
      <w:hyperlink w:history="1" r:id="rIdle30oeobpnftinuanbkxt">
        <w:r>
          <w:rPr>
            <w:rFonts w:ascii="Times New Roman" w:eastAsia="SimSun"/>
            <w:color w:val="3E6B62"/>
            <w:sz w:val="20"/>
            <w:szCs w:val="20"/>
            <w:u w:val="single"/>
          </w:rPr>
          <w:t xml:space="preserve">https://www.sciencedirect.com/science/article/pii/S1877050925004673</w:t>
        </w:r>
      </w:hyperlink>
    </w:p>
    <w:p>
      <w:pPr>
        <w:spacing w:after="100" w:line="312"/>
        <w:ind w:left="480" w:hanging="480"/>
      </w:pPr>
      <w:r>
        <w:rPr>
          <w:rFonts w:ascii="Times New Roman" w:eastAsia="SimSun"/>
          <w:b/>
          <w:bCs/>
          <w:color w:val="000000"/>
          <w:sz w:val="22"/>
          <w:szCs w:val="22"/>
        </w:rPr>
        <w:t xml:space="preserve">[21] </w:t>
      </w:r>
      <w:r>
        <w:rPr>
          <w:rFonts w:ascii="Times New Roman" w:eastAsia="SimSun"/>
          <w:color w:val="000000"/>
          <w:sz w:val="22"/>
          <w:szCs w:val="22"/>
        </w:rPr>
        <w:t xml:space="preserve">ClickHouse. What is Real-Time Analytics? A Complete Guide (2026). </w:t>
      </w:r>
      <w:hyperlink w:history="1" r:id="rId-tsnmqmumrg3z2gt_mt1d">
        <w:r>
          <w:rPr>
            <w:rFonts w:ascii="Times New Roman" w:eastAsia="SimSun"/>
            <w:color w:val="3E6B62"/>
            <w:sz w:val="20"/>
            <w:szCs w:val="20"/>
            <w:u w:val="single"/>
          </w:rPr>
          <w:t xml:space="preserve">https://clickhouse.com/resources/engineering/what-is-real-time-analytics</w:t>
        </w:r>
      </w:hyperlink>
    </w:p>
    <w:p>
      <w:pPr>
        <w:spacing w:after="100" w:line="312"/>
        <w:ind w:left="480" w:hanging="480"/>
      </w:pPr>
      <w:r>
        <w:rPr>
          <w:rFonts w:ascii="Times New Roman" w:eastAsia="SimSun"/>
          <w:b/>
          <w:bCs/>
          <w:color w:val="000000"/>
          <w:sz w:val="22"/>
          <w:szCs w:val="22"/>
        </w:rPr>
        <w:t xml:space="preserve">[22] </w:t>
      </w:r>
      <w:r>
        <w:rPr>
          <w:rFonts w:ascii="Times New Roman" w:eastAsia="SimSun"/>
          <w:color w:val="000000"/>
          <w:sz w:val="22"/>
          <w:szCs w:val="22"/>
        </w:rPr>
        <w:t xml:space="preserve">Tinybird. 7 Real Time App Architecture Approaches Beyond WebSockets. </w:t>
      </w:r>
      <w:hyperlink w:history="1" r:id="rIdbzh36kgtgay7ze7fbsfrc">
        <w:r>
          <w:rPr>
            <w:rFonts w:ascii="Times New Roman" w:eastAsia="SimSun"/>
            <w:color w:val="3E6B62"/>
            <w:sz w:val="20"/>
            <w:szCs w:val="20"/>
            <w:u w:val="single"/>
          </w:rPr>
          <w:t xml:space="preserve">https://www.tinybird.co/blog/build-real-time-apps</w:t>
        </w:r>
      </w:hyperlink>
    </w:p>
    <w:p>
      <w:pPr>
        <w:spacing w:after="100" w:line="312"/>
        <w:ind w:left="480" w:hanging="480"/>
      </w:pPr>
      <w:r>
        <w:rPr>
          <w:rFonts w:ascii="Times New Roman" w:eastAsia="SimSun"/>
          <w:b/>
          <w:bCs/>
          <w:color w:val="000000"/>
          <w:sz w:val="22"/>
          <w:szCs w:val="22"/>
        </w:rPr>
        <w:t xml:space="preserve">[23] </w:t>
      </w:r>
      <w:r>
        <w:rPr>
          <w:rFonts w:ascii="Times New Roman" w:eastAsia="SimSun"/>
          <w:color w:val="000000"/>
          <w:sz w:val="22"/>
          <w:szCs w:val="22"/>
        </w:rPr>
        <w:t xml:space="preserve">Sencha. Building Real-Time Dashboards with WebSockets and Frontend Frameworks. </w:t>
      </w:r>
      <w:hyperlink w:history="1" r:id="rIdaxazbgo6h-lmpri1qtgsx">
        <w:r>
          <w:rPr>
            <w:rFonts w:ascii="Times New Roman" w:eastAsia="SimSun"/>
            <w:color w:val="3E6B62"/>
            <w:sz w:val="20"/>
            <w:szCs w:val="20"/>
            <w:u w:val="single"/>
          </w:rPr>
          <w:t xml:space="preserve">https://www.sencha.com/blog/building-real-time-dashboards-with-websockets-and-frontend-frameworks</w:t>
        </w:r>
      </w:hyperlink>
    </w:p>
    <w:p>
      <w:pPr>
        <w:spacing w:after="100" w:line="312"/>
        <w:ind w:left="480" w:hanging="480"/>
      </w:pPr>
      <w:r>
        <w:rPr>
          <w:rFonts w:ascii="Times New Roman" w:eastAsia="SimSun"/>
          <w:b/>
          <w:bCs/>
          <w:color w:val="000000"/>
          <w:sz w:val="22"/>
          <w:szCs w:val="22"/>
        </w:rPr>
        <w:t xml:space="preserve">[24] </w:t>
      </w:r>
      <w:r>
        <w:rPr>
          <w:rFonts w:ascii="Times New Roman" w:eastAsia="SimSun"/>
          <w:color w:val="000000"/>
          <w:sz w:val="22"/>
          <w:szCs w:val="22"/>
        </w:rPr>
        <w:t xml:space="preserve">Applied AI. Enterprise RAG Architecture: A Practitioner's Guide. </w:t>
      </w:r>
      <w:hyperlink w:history="1" r:id="rIda9mcyt04r23mmvlowcnow">
        <w:r>
          <w:rPr>
            <w:rFonts w:ascii="Times New Roman" w:eastAsia="SimSun"/>
            <w:color w:val="3E6B62"/>
            <w:sz w:val="20"/>
            <w:szCs w:val="20"/>
            <w:u w:val="single"/>
          </w:rPr>
          <w:t xml:space="preserve">https://www.applied-ai.com/briefings/enterprise-rag-architecture</w:t>
        </w:r>
      </w:hyperlink>
    </w:p>
    <w:p>
      <w:pPr>
        <w:spacing w:after="100" w:line="312"/>
        <w:ind w:left="480" w:hanging="480"/>
      </w:pPr>
      <w:r>
        <w:rPr>
          <w:rFonts w:ascii="Times New Roman" w:eastAsia="SimSun"/>
          <w:b/>
          <w:bCs/>
          <w:color w:val="000000"/>
          <w:sz w:val="22"/>
          <w:szCs w:val="22"/>
        </w:rPr>
        <w:t xml:space="preserve">[25] </w:t>
      </w:r>
      <w:r>
        <w:rPr>
          <w:rFonts w:ascii="Times New Roman" w:eastAsia="SimSun"/>
          <w:color w:val="000000"/>
          <w:sz w:val="22"/>
          <w:szCs w:val="22"/>
        </w:rPr>
        <w:t xml:space="preserve">Cloudian. RAG Architecture: 4 Key Components &amp; Example Implementation [2026]. </w:t>
      </w:r>
      <w:hyperlink w:history="1" r:id="rIdqz84eoxkmnr5nhcl7lgxd">
        <w:r>
          <w:rPr>
            <w:rFonts w:ascii="Times New Roman" w:eastAsia="SimSun"/>
            <w:color w:val="3E6B62"/>
            <w:sz w:val="20"/>
            <w:szCs w:val="20"/>
            <w:u w:val="single"/>
          </w:rPr>
          <w:t xml:space="preserve">https://cloudian.com/guides/ai-infrastructure/rag-architecture-4-key-components-example-implementation-2026</w:t>
        </w:r>
      </w:hyperlink>
    </w:p>
    <w:p>
      <w:pPr>
        <w:spacing w:after="100" w:line="312"/>
        <w:ind w:left="480" w:hanging="480"/>
      </w:pPr>
      <w:r>
        <w:rPr>
          <w:rFonts w:ascii="Times New Roman" w:eastAsia="SimSun"/>
          <w:b/>
          <w:bCs/>
          <w:color w:val="000000"/>
          <w:sz w:val="22"/>
          <w:szCs w:val="22"/>
        </w:rPr>
        <w:t xml:space="preserve">[26] </w:t>
      </w:r>
      <w:r>
        <w:rPr>
          <w:rFonts w:ascii="Times New Roman" w:eastAsia="SimSun"/>
          <w:color w:val="000000"/>
          <w:sz w:val="22"/>
          <w:szCs w:val="22"/>
        </w:rPr>
        <w:t xml:space="preserve">OnceHub. The Definitive Guide to SaaS Appointment Scheduling Features. </w:t>
      </w:r>
      <w:hyperlink w:history="1" r:id="rId20wl0-pfe6q01f55gsmt0">
        <w:r>
          <w:rPr>
            <w:rFonts w:ascii="Times New Roman" w:eastAsia="SimSun"/>
            <w:color w:val="3E6B62"/>
            <w:sz w:val="20"/>
            <w:szCs w:val="20"/>
            <w:u w:val="single"/>
          </w:rPr>
          <w:t xml:space="preserve">https://www.oncehub.com/blog/important-scheduling-software-features-from-basic-to-advanced</w:t>
        </w:r>
      </w:hyperlink>
    </w:p>
    <w:p>
      <w:pPr>
        <w:spacing w:after="100" w:line="312"/>
        <w:ind w:left="480" w:hanging="480"/>
      </w:pPr>
      <w:r>
        <w:rPr>
          <w:rFonts w:ascii="Times New Roman" w:eastAsia="SimSun"/>
          <w:b/>
          <w:bCs/>
          <w:color w:val="000000"/>
          <w:sz w:val="22"/>
          <w:szCs w:val="22"/>
        </w:rPr>
        <w:t xml:space="preserve">[27] </w:t>
      </w:r>
      <w:r>
        <w:rPr>
          <w:rFonts w:ascii="Times New Roman" w:eastAsia="SimSun"/>
          <w:color w:val="000000"/>
          <w:sz w:val="22"/>
          <w:szCs w:val="22"/>
        </w:rPr>
        <w:t xml:space="preserve">Abbacus Technologies. How to Build an Appointment Booking SaaS. </w:t>
      </w:r>
      <w:hyperlink w:history="1" r:id="rIdqn2h9yfrt3xhwh4jp4rwv">
        <w:r>
          <w:rPr>
            <w:rFonts w:ascii="Times New Roman" w:eastAsia="SimSun"/>
            <w:color w:val="3E6B62"/>
            <w:sz w:val="20"/>
            <w:szCs w:val="20"/>
            <w:u w:val="single"/>
          </w:rPr>
          <w:t xml:space="preserve">https://www.abbacustechnologies.com/how-to-build-an-appointment-booking-saas</w:t>
        </w:r>
      </w:hyperlink>
    </w:p>
    <w:p>
      <w:pPr>
        <w:spacing w:after="100" w:line="312"/>
        <w:ind w:left="480" w:hanging="480"/>
      </w:pPr>
      <w:r>
        <w:rPr>
          <w:rFonts w:ascii="Times New Roman" w:eastAsia="SimSun"/>
          <w:b/>
          <w:bCs/>
          <w:color w:val="000000"/>
          <w:sz w:val="22"/>
          <w:szCs w:val="22"/>
        </w:rPr>
        <w:t xml:space="preserve">[28] </w:t>
      </w:r>
      <w:r>
        <w:rPr>
          <w:rFonts w:ascii="Times New Roman" w:eastAsia="SimSun"/>
          <w:color w:val="000000"/>
          <w:sz w:val="22"/>
          <w:szCs w:val="22"/>
        </w:rPr>
        <w:t xml:space="preserve">Redgate. A Database Model to Manage Appointments and Organize Schedules. </w:t>
      </w:r>
      <w:hyperlink w:history="1" r:id="rId2pj_krsjuyphnyljji6xz">
        <w:r>
          <w:rPr>
            <w:rFonts w:ascii="Times New Roman" w:eastAsia="SimSun"/>
            <w:color w:val="3E6B62"/>
            <w:sz w:val="20"/>
            <w:szCs w:val="20"/>
            <w:u w:val="single"/>
          </w:rPr>
          <w:t xml:space="preserve">https://www.red-gate.com/blog/a-database-model-to-manage-appointments-and-organize-schedules</w:t>
        </w:r>
      </w:hyperlink>
    </w:p>
    <w:p>
      <w:pPr>
        <w:spacing w:after="100" w:line="312"/>
        <w:ind w:left="480" w:hanging="480"/>
      </w:pPr>
      <w:r>
        <w:rPr>
          <w:rFonts w:ascii="Times New Roman" w:eastAsia="SimSun"/>
          <w:b/>
          <w:bCs/>
          <w:color w:val="000000"/>
          <w:sz w:val="22"/>
          <w:szCs w:val="22"/>
        </w:rPr>
        <w:t xml:space="preserve">[29] </w:t>
      </w:r>
      <w:r>
        <w:rPr>
          <w:rFonts w:ascii="Times New Roman" w:eastAsia="SimSun"/>
          <w:color w:val="000000"/>
          <w:sz w:val="22"/>
          <w:szCs w:val="22"/>
        </w:rPr>
        <w:t xml:space="preserve">Aristek Systems. eLearning Standards: SCORM, xAPI, cmi5, LTI, OneRoster. </w:t>
      </w:r>
      <w:hyperlink w:history="1" r:id="rIdm0jukkx2fcdnwh0kalvni">
        <w:r>
          <w:rPr>
            <w:rFonts w:ascii="Times New Roman" w:eastAsia="SimSun"/>
            <w:color w:val="3E6B62"/>
            <w:sz w:val="20"/>
            <w:szCs w:val="20"/>
            <w:u w:val="single"/>
          </w:rPr>
          <w:t xml:space="preserve">https://aristeksystems.com/blog/elearning-standards</w:t>
        </w:r>
      </w:hyperlink>
    </w:p>
    <w:p>
      <w:pPr>
        <w:spacing w:after="100" w:line="312"/>
        <w:ind w:left="480" w:hanging="480"/>
      </w:pPr>
      <w:r>
        <w:rPr>
          <w:rFonts w:ascii="Times New Roman" w:eastAsia="SimSun"/>
          <w:b/>
          <w:bCs/>
          <w:color w:val="000000"/>
          <w:sz w:val="22"/>
          <w:szCs w:val="22"/>
        </w:rPr>
        <w:t xml:space="preserve">[30] </w:t>
      </w:r>
      <w:r>
        <w:rPr>
          <w:rFonts w:ascii="Times New Roman" w:eastAsia="SimSun"/>
          <w:color w:val="000000"/>
          <w:sz w:val="22"/>
          <w:szCs w:val="22"/>
        </w:rPr>
        <w:t xml:space="preserve">Rippling. Best 10 Learning Management System (LMS) Features. </w:t>
      </w:r>
      <w:hyperlink w:history="1" r:id="rId93zzggstjf1mhgfiuayxu">
        <w:r>
          <w:rPr>
            <w:rFonts w:ascii="Times New Roman" w:eastAsia="SimSun"/>
            <w:color w:val="3E6B62"/>
            <w:sz w:val="20"/>
            <w:szCs w:val="20"/>
            <w:u w:val="single"/>
          </w:rPr>
          <w:t xml:space="preserve">https://www.rippling.com/blog/learning-management-system-features</w:t>
        </w:r>
      </w:hyperlink>
    </w:p>
    <w:p>
      <w:pPr>
        <w:spacing w:after="100" w:line="312"/>
        <w:ind w:left="480" w:hanging="480"/>
      </w:pPr>
      <w:r>
        <w:rPr>
          <w:rFonts w:ascii="Times New Roman" w:eastAsia="SimSun"/>
          <w:b/>
          <w:bCs/>
          <w:color w:val="000000"/>
          <w:sz w:val="22"/>
          <w:szCs w:val="22"/>
        </w:rPr>
        <w:t xml:space="preserve">[31] </w:t>
      </w:r>
      <w:r>
        <w:rPr>
          <w:rFonts w:ascii="Times New Roman" w:eastAsia="SimSun"/>
          <w:color w:val="000000"/>
          <w:sz w:val="22"/>
          <w:szCs w:val="22"/>
        </w:rPr>
        <w:t xml:space="preserve">WTT Solutions. Learning Management System Software Development Complete Guide for 2026. </w:t>
      </w:r>
      <w:hyperlink w:history="1" r:id="rIdjocogj63m0ygquwamzjbq">
        <w:r>
          <w:rPr>
            <w:rFonts w:ascii="Times New Roman" w:eastAsia="SimSun"/>
            <w:color w:val="3E6B62"/>
            <w:sz w:val="20"/>
            <w:szCs w:val="20"/>
            <w:u w:val="single"/>
          </w:rPr>
          <w:t xml:space="preserve">https://wtt-solutions.com/blog/learning-management-system-software-development-complete-guide-for-2026</w:t>
        </w:r>
      </w:hyperlink>
    </w:p>
    <w:p>
      <w:pPr>
        <w:spacing w:after="100" w:line="312"/>
        <w:ind w:left="480" w:hanging="480"/>
      </w:pPr>
      <w:r>
        <w:rPr>
          <w:rFonts w:ascii="Times New Roman" w:eastAsia="SimSun"/>
          <w:b/>
          <w:bCs/>
          <w:color w:val="000000"/>
          <w:sz w:val="22"/>
          <w:szCs w:val="22"/>
        </w:rPr>
        <w:t xml:space="preserve">[32] </w:t>
      </w:r>
      <w:r>
        <w:rPr>
          <w:rFonts w:ascii="Times New Roman" w:eastAsia="SimSun"/>
          <w:color w:val="000000"/>
          <w:sz w:val="22"/>
          <w:szCs w:val="22"/>
        </w:rPr>
        <w:t xml:space="preserve">Revenue Grid. SaaS Trends 2025: AI and Data Revolution Reshaping the Industry. </w:t>
      </w:r>
      <w:hyperlink w:history="1" r:id="rIdugfpqcrnsrkzivglkwxp2">
        <w:r>
          <w:rPr>
            <w:rFonts w:ascii="Times New Roman" w:eastAsia="SimSun"/>
            <w:color w:val="3E6B62"/>
            <w:sz w:val="20"/>
            <w:szCs w:val="20"/>
            <w:u w:val="single"/>
          </w:rPr>
          <w:t xml:space="preserve">https://revenuegrid.com/blog/saas-trends-2025-ai-data-future</w:t>
        </w:r>
      </w:hyperlink>
    </w:p>
    <w:p>
      <w:pPr>
        <w:spacing w:after="100" w:line="312"/>
        <w:ind w:left="480" w:hanging="480"/>
      </w:pPr>
      <w:r>
        <w:rPr>
          <w:rFonts w:ascii="Times New Roman" w:eastAsia="SimSun"/>
          <w:b/>
          <w:bCs/>
          <w:color w:val="000000"/>
          <w:sz w:val="22"/>
          <w:szCs w:val="22"/>
        </w:rPr>
        <w:t xml:space="preserve">[33] </w:t>
      </w:r>
      <w:r>
        <w:rPr>
          <w:rFonts w:ascii="Times New Roman" w:eastAsia="SimSun"/>
          <w:color w:val="000000"/>
          <w:sz w:val="22"/>
          <w:szCs w:val="22"/>
        </w:rPr>
        <w:t xml:space="preserve">Zylo. 70+ SaaS Statistics for 2026 (Spend, Usage &amp; Waste). </w:t>
      </w:r>
      <w:hyperlink w:history="1" r:id="rId4iubtn4djgkiy63samsca">
        <w:r>
          <w:rPr>
            <w:rFonts w:ascii="Times New Roman" w:eastAsia="SimSun"/>
            <w:color w:val="3E6B62"/>
            <w:sz w:val="20"/>
            <w:szCs w:val="20"/>
            <w:u w:val="single"/>
          </w:rPr>
          <w:t xml:space="preserve">https://zylo.com/blog/saas-statistics</w:t>
        </w:r>
      </w:hyperlink>
    </w:p>
    <w:p>
      <w:pPr>
        <w:spacing w:after="100" w:line="312"/>
        <w:ind w:left="480" w:hanging="480"/>
      </w:pPr>
      <w:r>
        <w:rPr>
          <w:rFonts w:ascii="Times New Roman" w:eastAsia="SimSun"/>
          <w:b/>
          <w:bCs/>
          <w:color w:val="000000"/>
          <w:sz w:val="22"/>
          <w:szCs w:val="22"/>
        </w:rPr>
        <w:t xml:space="preserve">[34] </w:t>
      </w:r>
      <w:r>
        <w:rPr>
          <w:rFonts w:ascii="Times New Roman" w:eastAsia="SimSun"/>
          <w:color w:val="000000"/>
          <w:sz w:val="22"/>
          <w:szCs w:val="22"/>
        </w:rPr>
        <w:t xml:space="preserve">Apiiro. The Top Software Security Standards for Modern Applications. </w:t>
      </w:r>
      <w:hyperlink w:history="1" r:id="rIdjauzhagdeliivlinks4ni">
        <w:r>
          <w:rPr>
            <w:rFonts w:ascii="Times New Roman" w:eastAsia="SimSun"/>
            <w:color w:val="3E6B62"/>
            <w:sz w:val="20"/>
            <w:szCs w:val="20"/>
            <w:u w:val="single"/>
          </w:rPr>
          <w:t xml:space="preserve">https://apiiro.com/blog/the-top-software-security-standards-for-modern-applications</w:t>
        </w:r>
      </w:hyperlink>
    </w:p>
    <w:p>
      <w:pPr>
        <w:spacing w:after="100" w:line="312"/>
        <w:ind w:left="480" w:hanging="480"/>
      </w:pPr>
      <w:r>
        <w:rPr>
          <w:rFonts w:ascii="Times New Roman" w:eastAsia="SimSun"/>
          <w:b/>
          <w:bCs/>
          <w:color w:val="000000"/>
          <w:sz w:val="22"/>
          <w:szCs w:val="22"/>
        </w:rPr>
        <w:t xml:space="preserve">[35] </w:t>
      </w:r>
      <w:r>
        <w:rPr>
          <w:rFonts w:ascii="Times New Roman" w:eastAsia="SimSun"/>
          <w:color w:val="000000"/>
          <w:sz w:val="22"/>
          <w:szCs w:val="22"/>
        </w:rPr>
        <w:t xml:space="preserve">The Nile. Shipping multi-tenant SaaS using Postgres Row-Level Security. </w:t>
      </w:r>
      <w:hyperlink w:history="1" r:id="rIdoy6wzm16fczoninzcrtil">
        <w:r>
          <w:rPr>
            <w:rFonts w:ascii="Times New Roman" w:eastAsia="SimSun"/>
            <w:color w:val="3E6B62"/>
            <w:sz w:val="20"/>
            <w:szCs w:val="20"/>
            <w:u w:val="single"/>
          </w:rPr>
          <w:t xml:space="preserve">https://www.thenile.dev/blog/multi-tenant-rls</w:t>
        </w:r>
      </w:hyperlink>
    </w:p>
    <w:p>
      <w:pPr>
        <w:spacing w:after="100" w:line="312"/>
        <w:ind w:left="480" w:hanging="480"/>
      </w:pPr>
      <w:r>
        <w:rPr>
          <w:rFonts w:ascii="Times New Roman" w:eastAsia="SimSun"/>
          <w:b/>
          <w:bCs/>
          <w:color w:val="000000"/>
          <w:sz w:val="22"/>
          <w:szCs w:val="22"/>
        </w:rPr>
        <w:t xml:space="preserve">[36] </w:t>
      </w:r>
      <w:r>
        <w:rPr>
          <w:rFonts w:ascii="Times New Roman" w:eastAsia="SimSun"/>
          <w:color w:val="000000"/>
          <w:sz w:val="22"/>
          <w:szCs w:val="22"/>
        </w:rPr>
        <w:t xml:space="preserve">OWASP Foundation. OWASP Top 10 for Large Language Model Applications. </w:t>
      </w:r>
      <w:hyperlink w:history="1" r:id="rIdc1xvysesdp9660b3-1jhg">
        <w:r>
          <w:rPr>
            <w:rFonts w:ascii="Times New Roman" w:eastAsia="SimSun"/>
            <w:color w:val="3E6B62"/>
            <w:sz w:val="20"/>
            <w:szCs w:val="20"/>
            <w:u w:val="single"/>
          </w:rPr>
          <w:t xml:space="preserve">https://owasp.org/www-project-top-10-for-large-language-model-applications/</w:t>
        </w:r>
      </w:hyperlink>
    </w:p>
    <w:p>
      <w:pPr>
        <w:spacing w:after="100" w:line="312"/>
        <w:ind w:left="480" w:hanging="480"/>
      </w:pPr>
      <w:r>
        <w:rPr>
          <w:rFonts w:ascii="Times New Roman" w:eastAsia="SimSun"/>
          <w:b/>
          <w:bCs/>
          <w:color w:val="000000"/>
          <w:sz w:val="22"/>
          <w:szCs w:val="22"/>
        </w:rPr>
        <w:t xml:space="preserve">[37] </w:t>
      </w:r>
      <w:r>
        <w:rPr>
          <w:rFonts w:ascii="Times New Roman" w:eastAsia="SimSun"/>
          <w:color w:val="000000"/>
          <w:sz w:val="22"/>
          <w:szCs w:val="22"/>
        </w:rPr>
        <w:t xml:space="preserve">Encore. Building a Booking System — Encore Cloud Tutorial. </w:t>
      </w:r>
      <w:hyperlink w:history="1" r:id="rIdicw-abylfn6iirliwrwup">
        <w:r>
          <w:rPr>
            <w:rFonts w:ascii="Times New Roman" w:eastAsia="SimSun"/>
            <w:color w:val="3E6B62"/>
            <w:sz w:val="20"/>
            <w:szCs w:val="20"/>
            <w:u w:val="single"/>
          </w:rPr>
          <w:t xml:space="preserve">https://encore.dev/docs/go/tutorials/booking-system</w:t>
        </w:r>
      </w:hyperlink>
    </w:p>
    <w:p>
      <w:pPr>
        <w:spacing w:after="100" w:line="312"/>
        <w:ind w:left="480" w:hanging="480"/>
      </w:pPr>
      <w:r>
        <w:rPr>
          <w:rFonts w:ascii="Times New Roman" w:eastAsia="SimSun"/>
          <w:b/>
          <w:bCs/>
          <w:color w:val="000000"/>
          <w:sz w:val="22"/>
          <w:szCs w:val="22"/>
        </w:rPr>
        <w:t xml:space="preserve">[38] </w:t>
      </w:r>
      <w:r>
        <w:rPr>
          <w:rFonts w:ascii="Times New Roman" w:eastAsia="SimSun"/>
          <w:color w:val="000000"/>
          <w:sz w:val="22"/>
          <w:szCs w:val="22"/>
        </w:rPr>
        <w:t xml:space="preserve">Cqlsys Technologies. Understanding Learning Management Systems (LMS) in 2025: Features, Architecture and Real-World Use Cases. </w:t>
      </w:r>
      <w:hyperlink w:history="1" r:id="rIdcdxd74saeu4oyfgk2epsu">
        <w:r>
          <w:rPr>
            <w:rFonts w:ascii="Times New Roman" w:eastAsia="SimSun"/>
            <w:color w:val="3E6B62"/>
            <w:sz w:val="20"/>
            <w:szCs w:val="20"/>
            <w:u w:val="single"/>
          </w:rPr>
          <w:t xml:space="preserve">https://cqlsys-technologies.hashnode.dev/understanding-learning-management-systems-lms-in-2025-features-architecture-and-real-world-use-cases</w:t>
        </w:r>
      </w:hyperlink>
    </w:p>
    <w:p>
      <w:pPr>
        <w:spacing w:after="100" w:line="312"/>
        <w:ind w:left="480" w:hanging="480"/>
      </w:pPr>
      <w:r>
        <w:rPr>
          <w:rFonts w:ascii="Times New Roman" w:eastAsia="SimSun"/>
          <w:b/>
          <w:bCs/>
          <w:color w:val="000000"/>
          <w:sz w:val="22"/>
          <w:szCs w:val="22"/>
        </w:rPr>
        <w:t xml:space="preserve">[39] </w:t>
      </w:r>
      <w:r>
        <w:rPr>
          <w:rFonts w:ascii="Times New Roman" w:eastAsia="SimSun"/>
          <w:color w:val="000000"/>
          <w:sz w:val="22"/>
          <w:szCs w:val="22"/>
        </w:rPr>
        <w:t xml:space="preserve">Salesforce. The History of Salesforce. </w:t>
      </w:r>
      <w:hyperlink w:history="1" r:id="rIdaomoas93wlkwnk9l02v4c">
        <w:r>
          <w:rPr>
            <w:rFonts w:ascii="Times New Roman" w:eastAsia="SimSun"/>
            <w:color w:val="3E6B62"/>
            <w:sz w:val="20"/>
            <w:szCs w:val="20"/>
            <w:u w:val="single"/>
          </w:rPr>
          <w:t xml:space="preserve">https://www.salesforce.com/news/stories/the-history-of-salesforce/</w:t>
        </w:r>
      </w:hyperlink>
    </w:p>
    <w:p>
      <w:pPr>
        <w:spacing w:after="100" w:line="312"/>
        <w:ind w:left="480" w:hanging="480"/>
      </w:pPr>
      <w:r>
        <w:rPr>
          <w:rFonts w:ascii="Times New Roman" w:eastAsia="SimSun"/>
          <w:b/>
          <w:bCs/>
          <w:color w:val="000000"/>
          <w:sz w:val="22"/>
          <w:szCs w:val="22"/>
        </w:rPr>
        <w:t xml:space="preserve">[40] </w:t>
      </w:r>
      <w:r>
        <w:rPr>
          <w:rFonts w:ascii="Times New Roman" w:eastAsia="SimSun"/>
          <w:color w:val="000000"/>
          <w:sz w:val="22"/>
          <w:szCs w:val="22"/>
        </w:rPr>
        <w:t xml:space="preserve">Virtasant. SDLC Methodologies: From Waterfall to Agile. </w:t>
      </w:r>
      <w:hyperlink w:history="1" r:id="rId8stbtlikortsphxbvvtsz">
        <w:r>
          <w:rPr>
            <w:rFonts w:ascii="Times New Roman" w:eastAsia="SimSun"/>
            <w:color w:val="3E6B62"/>
            <w:sz w:val="20"/>
            <w:szCs w:val="20"/>
            <w:u w:val="single"/>
          </w:rPr>
          <w:t xml:space="preserve">https://www.virtasant.com/blog/sdlc-methodologies</w:t>
        </w:r>
      </w:hyperlink>
    </w:p>
    <w:p>
      <w:pPr>
        <w:spacing w:after="100" w:line="312"/>
        <w:ind w:left="480" w:hanging="480"/>
      </w:pPr>
      <w:r>
        <w:rPr>
          <w:rFonts w:ascii="Times New Roman" w:eastAsia="SimSun"/>
          <w:b/>
          <w:bCs/>
          <w:color w:val="000000"/>
          <w:sz w:val="22"/>
          <w:szCs w:val="22"/>
        </w:rPr>
        <w:t xml:space="preserve">[41] </w:t>
      </w:r>
      <w:r>
        <w:rPr>
          <w:rFonts w:ascii="Times New Roman" w:eastAsia="SimSun"/>
          <w:color w:val="000000"/>
          <w:sz w:val="22"/>
          <w:szCs w:val="22"/>
        </w:rPr>
        <w:t xml:space="preserve">arXiv. Evaluation of Retrieval-Augmented Generation: A Survey. </w:t>
      </w:r>
      <w:hyperlink w:history="1" r:id="rIdph7ix68a_p7qw_thacrvl">
        <w:r>
          <w:rPr>
            <w:rFonts w:ascii="Times New Roman" w:eastAsia="SimSun"/>
            <w:color w:val="3E6B62"/>
            <w:sz w:val="20"/>
            <w:szCs w:val="20"/>
            <w:u w:val="single"/>
          </w:rPr>
          <w:t xml:space="preserve">https://arxiv.org/html/2405.07437v2</w:t>
        </w:r>
      </w:hyperlink>
    </w:p>
    <w:p>
      <w:pPr>
        <w:spacing w:after="100" w:line="312"/>
        <w:ind w:left="480" w:hanging="480"/>
      </w:pPr>
      <w:r>
        <w:rPr>
          <w:rFonts w:ascii="Times New Roman" w:eastAsia="SimSun"/>
          <w:b/>
          <w:bCs/>
          <w:color w:val="000000"/>
          <w:sz w:val="22"/>
          <w:szCs w:val="22"/>
        </w:rPr>
        <w:t xml:space="preserve">[42] </w:t>
      </w:r>
      <w:r>
        <w:rPr>
          <w:rFonts w:ascii="Times New Roman" w:eastAsia="SimSun"/>
          <w:color w:val="000000"/>
          <w:sz w:val="22"/>
          <w:szCs w:val="22"/>
        </w:rPr>
        <w:t xml:space="preserve">PCI Security Standards Council. PCI Data Security Standard (PCI DSS). </w:t>
      </w:r>
      <w:hyperlink w:history="1" r:id="rIdztoymebufixlysm--wmwm">
        <w:r>
          <w:rPr>
            <w:rFonts w:ascii="Times New Roman" w:eastAsia="SimSun"/>
            <w:color w:val="3E6B62"/>
            <w:sz w:val="20"/>
            <w:szCs w:val="20"/>
            <w:u w:val="single"/>
          </w:rPr>
          <w:t xml:space="preserve">https://www.pcisecuritystandards.org/document_library?category=pcidss</w:t>
        </w:r>
      </w:hyperlink>
    </w:p>
    <w:p>
      <w:pPr>
        <w:spacing w:after="100" w:line="312"/>
        <w:ind w:left="480" w:hanging="480"/>
      </w:pPr>
      <w:r>
        <w:rPr>
          <w:rFonts w:ascii="Times New Roman" w:eastAsia="SimSun"/>
          <w:b/>
          <w:bCs/>
          <w:color w:val="000000"/>
          <w:sz w:val="22"/>
          <w:szCs w:val="22"/>
        </w:rPr>
        <w:t xml:space="preserve">[43] </w:t>
      </w:r>
      <w:r>
        <w:rPr>
          <w:rFonts w:ascii="Times New Roman" w:eastAsia="SimSun"/>
          <w:color w:val="000000"/>
          <w:sz w:val="22"/>
          <w:szCs w:val="22"/>
        </w:rPr>
        <w:t xml:space="preserve">Google. Site Reliability Engineering: Chapter 6 — Monitoring Distributed Systems (The Four Golden Signals). </w:t>
      </w:r>
      <w:hyperlink w:history="1" r:id="rIdnazdrs7uhbyq7t1hrv_nx">
        <w:r>
          <w:rPr>
            <w:rFonts w:ascii="Times New Roman" w:eastAsia="SimSun"/>
            <w:color w:val="3E6B62"/>
            <w:sz w:val="20"/>
            <w:szCs w:val="20"/>
            <w:u w:val="single"/>
          </w:rPr>
          <w:t xml:space="preserve">https://sre.google/sre-book/monitoring-distributed-systems/</w:t>
        </w:r>
      </w:hyperlink>
    </w:p>
    <w:p>
      <w:pPr>
        <w:spacing w:after="100" w:line="312"/>
        <w:ind w:left="480" w:hanging="480"/>
      </w:pPr>
      <w:r>
        <w:rPr>
          <w:rFonts w:ascii="Times New Roman" w:eastAsia="SimSun"/>
          <w:b/>
          <w:bCs/>
          <w:color w:val="000000"/>
          <w:sz w:val="22"/>
          <w:szCs w:val="22"/>
        </w:rPr>
        <w:t xml:space="preserve">[44] </w:t>
      </w:r>
      <w:r>
        <w:rPr>
          <w:rFonts w:ascii="Times New Roman" w:eastAsia="SimSun"/>
          <w:color w:val="000000"/>
          <w:sz w:val="22"/>
          <w:szCs w:val="22"/>
        </w:rPr>
        <w:t xml:space="preserve">Amazon Web Services. Disaster Recovery Options in the Cloud (AWS Whitepaper). </w:t>
      </w:r>
      <w:hyperlink w:history="1" r:id="rIdzyt1tt3047zggcgivmkrb">
        <w:r>
          <w:rPr>
            <w:rFonts w:ascii="Times New Roman" w:eastAsia="SimSun"/>
            <w:color w:val="3E6B62"/>
            <w:sz w:val="20"/>
            <w:szCs w:val="20"/>
            <w:u w:val="single"/>
          </w:rPr>
          <w:t xml:space="preserve">https://docs.aws.amazon.com/whitepapers/latest/disaster-recovery-workloads-on-aws/disaster-recovery-options-in-the-cloud.html</w:t>
        </w:r>
      </w:hyperlink>
    </w:p>
    <w:p>
      <w:pPr>
        <w:spacing w:after="100" w:line="312"/>
        <w:ind w:left="480" w:hanging="480"/>
      </w:pPr>
      <w:r>
        <w:rPr>
          <w:rFonts w:ascii="Times New Roman" w:eastAsia="SimSun"/>
          <w:b/>
          <w:bCs/>
          <w:color w:val="000000"/>
          <w:sz w:val="22"/>
          <w:szCs w:val="22"/>
        </w:rPr>
        <w:t xml:space="preserve">[45] </w:t>
      </w:r>
      <w:r>
        <w:rPr>
          <w:rFonts w:ascii="Times New Roman" w:eastAsia="SimSun"/>
          <w:color w:val="000000"/>
          <w:sz w:val="22"/>
          <w:szCs w:val="22"/>
        </w:rPr>
        <w:t xml:space="preserve">W3C. Internationalization Best Practices for Spec Developers. </w:t>
      </w:r>
      <w:hyperlink w:history="1" r:id="rIdzs9lujiog-dnnbhcmq_wq">
        <w:r>
          <w:rPr>
            <w:rFonts w:ascii="Times New Roman" w:eastAsia="SimSun"/>
            <w:color w:val="3E6B62"/>
            <w:sz w:val="20"/>
            <w:szCs w:val="20"/>
            <w:u w:val="single"/>
          </w:rPr>
          <w:t xml:space="preserve">https://www.w3.org/TR/international-specs/</w:t>
        </w:r>
      </w:hyperlink>
    </w:p>
    <w:p>
      <w:pPr>
        <w:spacing w:after="100" w:line="312"/>
        <w:ind w:left="480" w:hanging="480"/>
      </w:pPr>
      <w:r>
        <w:rPr>
          <w:rFonts w:ascii="Times New Roman" w:eastAsia="SimSun"/>
          <w:b/>
          <w:bCs/>
          <w:color w:val="000000"/>
          <w:sz w:val="22"/>
          <w:szCs w:val="22"/>
        </w:rPr>
        <w:t xml:space="preserve">[46] </w:t>
      </w:r>
      <w:r>
        <w:rPr>
          <w:rFonts w:ascii="Times New Roman" w:eastAsia="SimSun"/>
          <w:color w:val="000000"/>
          <w:sz w:val="22"/>
          <w:szCs w:val="22"/>
        </w:rPr>
        <w:t xml:space="preserve">Unicode CLDR Project. Language Support Levels. </w:t>
      </w:r>
      <w:hyperlink w:history="1" r:id="rIdyuojqdd6d32w8sjzqawmt">
        <w:r>
          <w:rPr>
            <w:rFonts w:ascii="Times New Roman" w:eastAsia="SimSun"/>
            <w:color w:val="3E6B62"/>
            <w:sz w:val="20"/>
            <w:szCs w:val="20"/>
            <w:u w:val="single"/>
          </w:rPr>
          <w:t xml:space="preserve">https://cldr.unicode.org/index/language-support-levels</w:t>
        </w:r>
      </w:hyperlink>
    </w:p>
    <w:p>
      <w:pPr>
        <w:spacing w:after="100" w:line="312"/>
        <w:ind w:left="480" w:hanging="480"/>
      </w:pPr>
      <w:r>
        <w:rPr>
          <w:rFonts w:ascii="Times New Roman" w:eastAsia="SimSun"/>
          <w:b/>
          <w:bCs/>
          <w:color w:val="000000"/>
          <w:sz w:val="22"/>
          <w:szCs w:val="22"/>
        </w:rPr>
        <w:t xml:space="preserve">[47] </w:t>
      </w:r>
      <w:r>
        <w:rPr>
          <w:rFonts w:ascii="Times New Roman" w:eastAsia="SimSun"/>
          <w:color w:val="000000"/>
          <w:sz w:val="22"/>
          <w:szCs w:val="22"/>
        </w:rPr>
        <w:t xml:space="preserve">Live Digital. SaaS Development Team Structure (2026). </w:t>
      </w:r>
      <w:hyperlink w:history="1" r:id="rIdztnwytgoyh0la8bgmhc3k">
        <w:r>
          <w:rPr>
            <w:rFonts w:ascii="Times New Roman" w:eastAsia="SimSun"/>
            <w:color w:val="3E6B62"/>
            <w:sz w:val="20"/>
            <w:szCs w:val="20"/>
            <w:u w:val="single"/>
          </w:rPr>
          <w:t xml:space="preserve">https://live-digital.co.uk/blog/saas-development-team-structure</w:t>
        </w:r>
      </w:hyperlink>
    </w:p>
    <w:p>
      <w:pPr>
        <w:spacing w:after="100" w:line="312"/>
        <w:ind w:left="480" w:hanging="480"/>
      </w:pPr>
      <w:r>
        <w:rPr>
          <w:rFonts w:ascii="Times New Roman" w:eastAsia="SimSun"/>
          <w:b/>
          <w:bCs/>
          <w:color w:val="000000"/>
          <w:sz w:val="22"/>
          <w:szCs w:val="22"/>
        </w:rPr>
        <w:t xml:space="preserve">[48] </w:t>
      </w:r>
      <w:r>
        <w:rPr>
          <w:rFonts w:ascii="Times New Roman" w:eastAsia="SimSun"/>
          <w:color w:val="000000"/>
          <w:sz w:val="22"/>
          <w:szCs w:val="22"/>
        </w:rPr>
        <w:t xml:space="preserve">Innovecs. How Much Does It Cost to Build a SaaS Platform (2025). </w:t>
      </w:r>
      <w:hyperlink w:history="1" r:id="rIdr6kcsdliegatvvo1bhy7p">
        <w:r>
          <w:rPr>
            <w:rFonts w:ascii="Times New Roman" w:eastAsia="SimSun"/>
            <w:color w:val="3E6B62"/>
            <w:sz w:val="20"/>
            <w:szCs w:val="20"/>
            <w:u w:val="single"/>
          </w:rPr>
          <w:t xml:space="preserve">https://innovecs.com/blog/how-much-does-it-cost-to-build-a-saas-platform</w:t>
        </w:r>
      </w:hyperlink>
    </w:p>
    <w:p>
      <w:pPr>
        <w:spacing w:after="100" w:line="312"/>
        <w:ind w:left="480" w:hanging="480"/>
      </w:pPr>
      <w:r>
        <w:rPr>
          <w:rFonts w:ascii="Times New Roman" w:eastAsia="SimSun"/>
          <w:b/>
          <w:bCs/>
          <w:color w:val="000000"/>
          <w:sz w:val="22"/>
          <w:szCs w:val="22"/>
        </w:rPr>
        <w:t xml:space="preserve">[49] </w:t>
      </w:r>
      <w:r>
        <w:rPr>
          <w:rFonts w:ascii="Times New Roman" w:eastAsia="SimSun"/>
          <w:color w:val="000000"/>
          <w:sz w:val="22"/>
          <w:szCs w:val="22"/>
        </w:rPr>
        <w:t xml:space="preserve">Kore1. How to Build a Software Development Team from Scratch (2026 salary data). </w:t>
      </w:r>
      <w:hyperlink w:history="1" r:id="rIdkcxyr9rmy_bif27w7opu6">
        <w:r>
          <w:rPr>
            <w:rFonts w:ascii="Times New Roman" w:eastAsia="SimSun"/>
            <w:color w:val="3E6B62"/>
            <w:sz w:val="20"/>
            <w:szCs w:val="20"/>
            <w:u w:val="single"/>
          </w:rPr>
          <w:t xml:space="preserve">https://www.kore1.com/build-software-dev-team-guide</w:t>
        </w:r>
      </w:hyperlink>
    </w:p>
    <w:p>
      <w:pPr>
        <w:spacing w:after="100" w:line="312"/>
        <w:ind w:left="480" w:hanging="480"/>
      </w:pPr>
      <w:r>
        <w:rPr>
          <w:rFonts w:ascii="Times New Roman" w:eastAsia="SimSun"/>
          <w:b/>
          <w:bCs/>
          <w:color w:val="000000"/>
          <w:sz w:val="22"/>
          <w:szCs w:val="22"/>
        </w:rPr>
        <w:t xml:space="preserve">[50] </w:t>
      </w:r>
      <w:r>
        <w:rPr>
          <w:rFonts w:ascii="Times New Roman" w:eastAsia="SimSun"/>
          <w:color w:val="000000"/>
          <w:sz w:val="22"/>
          <w:szCs w:val="22"/>
        </w:rPr>
        <w:t xml:space="preserve">Braintrust. 7 Best Unified LLM API Providers in 2026. </w:t>
      </w:r>
      <w:hyperlink w:history="1" r:id="rIdpu4_nczuungnmqzjux7sc">
        <w:r>
          <w:rPr>
            <w:rFonts w:ascii="Times New Roman" w:eastAsia="SimSun"/>
            <w:color w:val="3E6B62"/>
            <w:sz w:val="20"/>
            <w:szCs w:val="20"/>
            <w:u w:val="single"/>
          </w:rPr>
          <w:t xml:space="preserve">https://www.braintrust.dev/articles/best-unified-llm-api-providers-2026</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Production-Ready Full-Stack Systems — Complete Research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Production-Ready Full-Stack Systems — Complete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0B1C2C"/>
      <w:sz w:val="32"/>
      <w:szCs w:val="32"/>
    </w:rPr>
  </w:style>
  <w:style w:type="paragraph" w:styleId="Heading2">
    <w:name w:val="Heading 2"/>
    <w:basedOn w:val="Normal"/>
    <w:next w:val="Normal"/>
    <w:qFormat/>
    <w:pPr>
      <w:spacing w:after="120" w:before="280" w:line="312"/>
      <w:outlineLvl w:val="1"/>
    </w:pPr>
    <w:rPr>
      <w:rFonts w:ascii="Arial" w:eastAsia="SimHei"/>
      <w:b/>
      <w:bCs/>
      <w:color w:val="0B1C2C"/>
      <w:sz w:val="28"/>
      <w:szCs w:val="28"/>
    </w:rPr>
  </w:style>
  <w:style w:type="paragraph" w:styleId="Heading3">
    <w:name w:val="Heading 3"/>
    <w:basedOn w:val="Normal"/>
    <w:next w:val="Normal"/>
    <w:qFormat/>
    <w:pPr>
      <w:spacing w:after="100" w:before="220" w:line="312"/>
      <w:outlineLvl w:val="2"/>
    </w:pPr>
    <w:rPr>
      <w:rFonts w:ascii="Arial" w:eastAsia="SimHei"/>
      <w:b/>
      <w:bCs/>
      <w:color w:val="0B1C2C"/>
      <w:sz w:val="24"/>
      <w:szCs w:val="24"/>
    </w:rPr>
  </w:style>
  <w:style w:type="paragraph" w:styleId="Heading4">
    <w:name w:val="Heading 4"/>
    <w:basedOn w:val="Normal"/>
    <w:next w:val="Normal"/>
    <w:qFormat/>
    <w:pPr>
      <w:spacing w:after="80" w:before="180" w:line="312"/>
      <w:outlineLvl w:val="3"/>
    </w:pPr>
    <w:rPr>
      <w:rFonts w:ascii="Arial" w:eastAsia="SimHei"/>
      <w:b/>
      <w:bCs/>
      <w:color w:val="3E6B62"/>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i-n8t0fbajqatuoqilak1" Type="http://schemas.openxmlformats.org/officeDocument/2006/relationships/hyperlink" Target="https://www.grandviewresearch.com/industry-analysis/saas-market-report" TargetMode="External"/><Relationship Id="rIdxbggvbyypnko_fcgml5bj" Type="http://schemas.openxmlformats.org/officeDocument/2006/relationships/hyperlink" Target="https://www.fortunebusinessinsights.com/ai-saas-market-111182" TargetMode="External"/><Relationship Id="rIdh84rb2geeng_lopvttytv" Type="http://schemas.openxmlformats.org/officeDocument/2006/relationships/hyperlink" Target="https://www.grandviewresearch.com/industry-analysis/chatbot-market" TargetMode="External"/><Relationship Id="rIdbo6axsfw7aha2oja9fvk0" Type="http://schemas.openxmlformats.org/officeDocument/2006/relationships/hyperlink" Target="https://www.atlassian.com/agile/software-development/life-cycle" TargetMode="External"/><Relationship Id="rIddqsp2djl2qbubz1stxcl5" Type="http://schemas.openxmlformats.org/officeDocument/2006/relationships/hyperlink" Target="https://www.ibm.com/think/topics/software-development-lifecycle" TargetMode="External"/><Relationship Id="rIdp0elugofl4s-bpniolj7-" Type="http://schemas.openxmlformats.org/officeDocument/2006/relationships/hyperlink" Target="https://www.splunk.com/en_us/blog/learn/software-development-life-cycle.html" TargetMode="External"/><Relationship Id="rIdafwmihjfiuwwofl1uynjb" Type="http://schemas.openxmlformats.org/officeDocument/2006/relationships/hyperlink" Target="https://owasp.org/www-project-top-ten/" TargetMode="External"/><Relationship Id="rIddawkkibb8onadphxdbifn" Type="http://schemas.openxmlformats.org/officeDocument/2006/relationships/hyperlink" Target="https://www.w3.org/WAI/standards-guidelines/wcag/" TargetMode="External"/><Relationship Id="rIdsq9auky6vrci9kkelg8ri" Type="http://schemas.openxmlformats.org/officeDocument/2006/relationships/hyperlink" Target="https://www.ada.gov/resources/2024-03-08-web-rule/" TargetMode="External"/><Relationship Id="rIdf9_aakzf4l5peaydsb_jd" Type="http://schemas.openxmlformats.org/officeDocument/2006/relationships/hyperlink" Target="https://aws.amazon.com/blogs/database/multi-tenant-data-isolation-with-postgresql-row-level-security/" TargetMode="External"/><Relationship Id="rId6onxtltalbtwjs24azb2h" Type="http://schemas.openxmlformats.org/officeDocument/2006/relationships/hyperlink" Target="https://learn.microsoft.com/en-us/azure/architecture/best-practices/api-design" TargetMode="External"/><Relationship Id="rId7bp3mlwqiehnzlej2ckgc" Type="http://schemas.openxmlformats.org/officeDocument/2006/relationships/hyperlink" Target="https://redis.io/solutions/caching" TargetMode="External"/><Relationship Id="rIdhgovueiybad4uppq888n6" Type="http://schemas.openxmlformats.org/officeDocument/2006/relationships/hyperlink" Target="https://www.researchgate.net/publication/395111279_Microservices_Architecture_for_E-commerce_Platforms_Enhancing_Performance_Scalability_and_Predictive_Accuracy" TargetMode="External"/><Relationship Id="rIdhlaelndgvqhyjiyuj0mfc" Type="http://schemas.openxmlformats.org/officeDocument/2006/relationships/hyperlink" Target="https://www.red-gate.com/blog/er-diagram-for-online-shop" TargetMode="External"/><Relationship Id="rIdlgfbieynaby0z6mjr2zm3" Type="http://schemas.openxmlformats.org/officeDocument/2006/relationships/hyperlink" Target="https://www.microsoft.com/en-us/dynamics-365/blog/no-audience/2007/08/27/leads-accounts-contacts-and-opportunities/" TargetMode="External"/><Relationship Id="rIdkigafq88atkwnumozwn7b" Type="http://schemas.openxmlformats.org/officeDocument/2006/relationships/hyperlink" Target="https://resources.rework.com/guides/crm-implementation/crm-data-model-design" TargetMode="External"/><Relationship Id="rIdvd4lfia7hely_ofbqq3xz" Type="http://schemas.openxmlformats.org/officeDocument/2006/relationships/hyperlink" Target="https://knowledge.hubspot.com/data-management/use-the-data-model-builder" TargetMode="External"/><Relationship Id="rIdpyi6y6eiigvugxoduquem" Type="http://schemas.openxmlformats.org/officeDocument/2006/relationships/hyperlink" Target="https://www.netsuite.com/portal/resource/articles/erp/erp-modules.shtml" TargetMode="External"/><Relationship Id="rIdm1f3aecvyzbr8mctrvzll" Type="http://schemas.openxmlformats.org/officeDocument/2006/relationships/hyperlink" Target="https://www.oracle.com/erp/erp-modules/" TargetMode="External"/><Relationship Id="rIdle30oeobpnftinuanbkxt" Type="http://schemas.openxmlformats.org/officeDocument/2006/relationships/hyperlink" Target="https://www.sciencedirect.com/science/article/pii/S1877050925004673" TargetMode="External"/><Relationship Id="rId-tsnmqmumrg3z2gt_mt1d" Type="http://schemas.openxmlformats.org/officeDocument/2006/relationships/hyperlink" Target="https://clickhouse.com/resources/engineering/what-is-real-time-analytics" TargetMode="External"/><Relationship Id="rIdbzh36kgtgay7ze7fbsfrc" Type="http://schemas.openxmlformats.org/officeDocument/2006/relationships/hyperlink" Target="https://www.tinybird.co/blog/build-real-time-apps" TargetMode="External"/><Relationship Id="rIdaxazbgo6h-lmpri1qtgsx" Type="http://schemas.openxmlformats.org/officeDocument/2006/relationships/hyperlink" Target="https://www.sencha.com/blog/building-real-time-dashboards-with-websockets-and-frontend-frameworks" TargetMode="External"/><Relationship Id="rIda9mcyt04r23mmvlowcnow" Type="http://schemas.openxmlformats.org/officeDocument/2006/relationships/hyperlink" Target="https://www.applied-ai.com/briefings/enterprise-rag-architecture" TargetMode="External"/><Relationship Id="rIdqz84eoxkmnr5nhcl7lgxd" Type="http://schemas.openxmlformats.org/officeDocument/2006/relationships/hyperlink" Target="https://cloudian.com/guides/ai-infrastructure/rag-architecture-4-key-components-example-implementation-2026" TargetMode="External"/><Relationship Id="rId20wl0-pfe6q01f55gsmt0" Type="http://schemas.openxmlformats.org/officeDocument/2006/relationships/hyperlink" Target="https://www.oncehub.com/blog/important-scheduling-software-features-from-basic-to-advanced" TargetMode="External"/><Relationship Id="rIdqn2h9yfrt3xhwh4jp4rwv" Type="http://schemas.openxmlformats.org/officeDocument/2006/relationships/hyperlink" Target="https://www.abbacustechnologies.com/how-to-build-an-appointment-booking-saas" TargetMode="External"/><Relationship Id="rId2pj_krsjuyphnyljji6xz" Type="http://schemas.openxmlformats.org/officeDocument/2006/relationships/hyperlink" Target="https://www.red-gate.com/blog/a-database-model-to-manage-appointments-and-organize-schedules" TargetMode="External"/><Relationship Id="rIdm0jukkx2fcdnwh0kalvni" Type="http://schemas.openxmlformats.org/officeDocument/2006/relationships/hyperlink" Target="https://aristeksystems.com/blog/elearning-standards" TargetMode="External"/><Relationship Id="rId93zzggstjf1mhgfiuayxu" Type="http://schemas.openxmlformats.org/officeDocument/2006/relationships/hyperlink" Target="https://www.rippling.com/blog/learning-management-system-features" TargetMode="External"/><Relationship Id="rIdjocogj63m0ygquwamzjbq" Type="http://schemas.openxmlformats.org/officeDocument/2006/relationships/hyperlink" Target="https://wtt-solutions.com/blog/learning-management-system-software-development-complete-guide-for-2026" TargetMode="External"/><Relationship Id="rIdugfpqcrnsrkzivglkwxp2" Type="http://schemas.openxmlformats.org/officeDocument/2006/relationships/hyperlink" Target="https://revenuegrid.com/blog/saas-trends-2025-ai-data-future" TargetMode="External"/><Relationship Id="rId4iubtn4djgkiy63samsca" Type="http://schemas.openxmlformats.org/officeDocument/2006/relationships/hyperlink" Target="https://zylo.com/blog/saas-statistics" TargetMode="External"/><Relationship Id="rIdjauzhagdeliivlinks4ni" Type="http://schemas.openxmlformats.org/officeDocument/2006/relationships/hyperlink" Target="https://apiiro.com/blog/the-top-software-security-standards-for-modern-applications" TargetMode="External"/><Relationship Id="rIdoy6wzm16fczoninzcrtil" Type="http://schemas.openxmlformats.org/officeDocument/2006/relationships/hyperlink" Target="https://www.thenile.dev/blog/multi-tenant-rls" TargetMode="External"/><Relationship Id="rIdc1xvysesdp9660b3-1jhg" Type="http://schemas.openxmlformats.org/officeDocument/2006/relationships/hyperlink" Target="https://owasp.org/www-project-top-10-for-large-language-model-applications/" TargetMode="External"/><Relationship Id="rIdicw-abylfn6iirliwrwup" Type="http://schemas.openxmlformats.org/officeDocument/2006/relationships/hyperlink" Target="https://encore.dev/docs/go/tutorials/booking-system" TargetMode="External"/><Relationship Id="rIdcdxd74saeu4oyfgk2epsu" Type="http://schemas.openxmlformats.org/officeDocument/2006/relationships/hyperlink" Target="https://cqlsys-technologies.hashnode.dev/understanding-learning-management-systems-lms-in-2025-features-architecture-and-real-world-use-cases" TargetMode="External"/><Relationship Id="rIdaomoas93wlkwnk9l02v4c" Type="http://schemas.openxmlformats.org/officeDocument/2006/relationships/hyperlink" Target="https://www.salesforce.com/news/stories/the-history-of-salesforce/" TargetMode="External"/><Relationship Id="rId8stbtlikortsphxbvvtsz" Type="http://schemas.openxmlformats.org/officeDocument/2006/relationships/hyperlink" Target="https://www.virtasant.com/blog/sdlc-methodologies" TargetMode="External"/><Relationship Id="rIdph7ix68a_p7qw_thacrvl" Type="http://schemas.openxmlformats.org/officeDocument/2006/relationships/hyperlink" Target="https://arxiv.org/html/2405.07437v2" TargetMode="External"/><Relationship Id="rIdztoymebufixlysm--wmwm" Type="http://schemas.openxmlformats.org/officeDocument/2006/relationships/hyperlink" Target="https://www.pcisecuritystandards.org/document_library?category=pcidss" TargetMode="External"/><Relationship Id="rIdnazdrs7uhbyq7t1hrv_nx" Type="http://schemas.openxmlformats.org/officeDocument/2006/relationships/hyperlink" Target="https://sre.google/sre-book/monitoring-distributed-systems/" TargetMode="External"/><Relationship Id="rIdzyt1tt3047zggcgivmkrb" Type="http://schemas.openxmlformats.org/officeDocument/2006/relationships/hyperlink" Target="https://docs.aws.amazon.com/whitepapers/latest/disaster-recovery-workloads-on-aws/disaster-recovery-options-in-the-cloud.html" TargetMode="External"/><Relationship Id="rIdzs9lujiog-dnnbhcmq_wq" Type="http://schemas.openxmlformats.org/officeDocument/2006/relationships/hyperlink" Target="https://www.w3.org/TR/international-specs/" TargetMode="External"/><Relationship Id="rIdyuojqdd6d32w8sjzqawmt" Type="http://schemas.openxmlformats.org/officeDocument/2006/relationships/hyperlink" Target="https://cldr.unicode.org/index/language-support-levels" TargetMode="External"/><Relationship Id="rIdztnwytgoyh0la8bgmhc3k" Type="http://schemas.openxmlformats.org/officeDocument/2006/relationships/hyperlink" Target="https://live-digital.co.uk/blog/saas-development-team-structure" TargetMode="External"/><Relationship Id="rIdr6kcsdliegatvvo1bhy7p" Type="http://schemas.openxmlformats.org/officeDocument/2006/relationships/hyperlink" Target="https://innovecs.com/blog/how-much-does-it-cost-to-build-a-saas-platform" TargetMode="External"/><Relationship Id="rIdkcxyr9rmy_bif27w7opu6" Type="http://schemas.openxmlformats.org/officeDocument/2006/relationships/hyperlink" Target="https://www.kore1.com/build-software-dev-team-guide" TargetMode="External"/><Relationship Id="rIdpu4_nczuungnmqzjux7sc" Type="http://schemas.openxmlformats.org/officeDocument/2006/relationships/hyperlink" Target="https://www.braintrust.dev/articles/best-unified-llm-api-providers-2026" TargetMode="External"/><Relationship Id="rId11" Type="http://schemas.openxmlformats.org/officeDocument/2006/relationships/image" Target="media/4b3f71cf42b0a94ec08f2808ed8d50e6a4a22c50.png"/><Relationship Id="rId12" Type="http://schemas.openxmlformats.org/officeDocument/2006/relationships/image" Target="media/51d7aa3446b8bec2a7f1678d38e8730f7c23e4df.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2026-08-27T11:57:42.424Z</dcterms:created>
  <dcterms:modified xsi:type="dcterms:W3CDTF">2026-08-27T11:57:42.424Z</dcterms:modified>
</cp:coreProperties>
</file>

<file path=docProps/custom.xml><?xml version="1.0" encoding="utf-8"?>
<Properties xmlns="http://schemas.openxmlformats.org/officeDocument/2006/custom-properties" xmlns:vt="http://schemas.openxmlformats.org/officeDocument/2006/docPropsVTypes"/>
</file>