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3750"/>
            </w:pPr>
          </w:p>
          <w:p>
            <w:pPr>
              <w:pBdr>
                <w:bottom w:val="single" w:color="529286" w:sz="6" w:space="8"/>
              </w:pBdr>
              <w:spacing w:after="500"/>
              <w:ind w:left="1200" w:right="800"/>
            </w:pPr>
            <w:r>
              <w:rPr>
                <w:rFonts w:ascii="Calibri" w:eastAsia="SimHei"/>
                <w:color w:val="529286"/>
                <w:spacing w:val="40"/>
                <w:sz w:val="18"/>
                <w:szCs w:val="18"/>
              </w:rPr>
              <w:t xml:space="preserve">B  U  S  I  N  E  S  S     P  R  O  F  E  S  S  I  O  N  A  L     R  E  S  E  A  R  C  H</w:t>
            </w:r>
          </w:p>
          <w:p>
            <w:pPr>
              <w:spacing w:after="100" w:line="690" w:lineRule="atLeast"/>
              <w:ind w:left="1200"/>
            </w:pPr>
            <w:r>
              <w:rPr>
                <w:rFonts w:ascii="Arial" w:eastAsia="SimHei"/>
                <w:b/>
                <w:bCs/>
                <w:color w:val="FFFFFF"/>
                <w:sz w:val="60"/>
                <w:szCs w:val="60"/>
              </w:rPr>
              <w:t xml:space="preserve">Scalability, Concurrency,</w:t>
            </w:r>
          </w:p>
          <w:p>
            <w:pPr>
              <w:spacing w:after="100" w:line="690" w:lineRule="atLeast"/>
              <w:ind w:left="1200"/>
            </w:pPr>
            <w:r>
              <w:rPr>
                <w:rFonts w:ascii="Arial" w:eastAsia="SimHei"/>
                <w:b/>
                <w:bCs/>
                <w:color w:val="FFFFFF"/>
                <w:sz w:val="60"/>
                <w:szCs w:val="60"/>
              </w:rPr>
              <w:t xml:space="preserve">and Multi-Database</w:t>
            </w:r>
          </w:p>
          <w:p>
            <w:pPr>
              <w:spacing w:after="300" w:line="690" w:lineRule="atLeast"/>
              <w:ind w:left="1200"/>
            </w:pPr>
            <w:r>
              <w:rPr>
                <w:rFonts w:ascii="Arial" w:eastAsia="SimHei"/>
                <w:b/>
                <w:bCs/>
                <w:color w:val="FFFFFF"/>
                <w:sz w:val="60"/>
                <w:szCs w:val="60"/>
              </w:rPr>
              <w:t xml:space="preserve">Architecture</w:t>
            </w:r>
          </w:p>
          <w:p>
            <w:pPr>
              <w:spacing w:after="800"/>
              <w:ind w:left="1200"/>
            </w:pPr>
            <w:r>
              <w:rPr>
                <w:rFonts w:ascii="Arial" w:eastAsia="Microsoft YaHei"/>
                <w:color w:val="B0B8C0"/>
                <w:sz w:val="22"/>
                <w:szCs w:val="22"/>
              </w:rPr>
              <w:t xml:space="preserve">The Fifth Foundational Document: How the AI Builder Consumes the Playbook and How the Resulting System Handles Scale, Consistency, and Multi-Database Coordination Without Overload or Data Conflicts</w:t>
            </w:r>
          </w:p>
          <w:p>
            <w:pPr>
              <w:pBdr>
                <w:left w:val="single" w:color="529286" w:sz="8" w:space="12"/>
              </w:pBdr>
              <w:spacing w:after="80"/>
              <w:ind w:left="1400"/>
            </w:pPr>
            <w:r>
              <w:rPr>
                <w:rFonts w:ascii="Arial" w:eastAsia="Microsoft YaHei"/>
                <w:color w:val="90989F"/>
                <w:sz w:val="22"/>
                <w:szCs w:val="22"/>
              </w:rPr>
              <w:t xml:space="preserve">Document Type: In-Depth Research Report</w:t>
            </w:r>
          </w:p>
          <w:p>
            <w:pPr>
              <w:pBdr>
                <w:left w:val="single" w:color="529286" w:sz="8" w:space="12"/>
              </w:pBdr>
              <w:spacing w:after="80"/>
              <w:ind w:left="1400"/>
            </w:pPr>
            <w:r>
              <w:rPr>
                <w:rFonts w:ascii="Arial" w:eastAsia="Microsoft YaHei"/>
                <w:color w:val="90989F"/>
                <w:sz w:val="22"/>
                <w:szCs w:val="22"/>
              </w:rPr>
              <w:t xml:space="preserve">Style: Business Professional</w:t>
            </w:r>
          </w:p>
          <w:p>
            <w:pPr>
              <w:pBdr>
                <w:left w:val="single" w:color="529286" w:sz="8" w:space="12"/>
              </w:pBdr>
              <w:spacing w:after="80"/>
              <w:ind w:left="1400"/>
            </w:pPr>
            <w:r>
              <w:rPr>
                <w:rFonts w:ascii="Arial" w:eastAsia="Microsoft YaHei"/>
                <w:color w:val="90989F"/>
                <w:sz w:val="22"/>
                <w:szCs w:val="22"/>
              </w:rPr>
              <w:t xml:space="preserve">Scope: AI Document Consumption, Scalability, Concurrency, Multi-DB</w:t>
            </w:r>
          </w:p>
          <w:p>
            <w:pPr>
              <w:pBdr>
                <w:left w:val="single" w:color="529286" w:sz="8" w:space="12"/>
              </w:pBdr>
              <w:spacing w:after="80"/>
              <w:ind w:left="1400"/>
            </w:pPr>
            <w:r>
              <w:rPr>
                <w:rFonts w:ascii="Arial" w:eastAsia="Microsoft YaHei"/>
                <w:color w:val="90989F"/>
                <w:sz w:val="22"/>
                <w:szCs w:val="22"/>
              </w:rPr>
              <w:t xml:space="preserve">Prepared by: Super Z Research</w:t>
            </w:r>
          </w:p>
          <w:p>
            <w:pPr>
              <w:pBdr>
                <w:left w:val="single" w:color="529286" w:sz="8" w:space="12"/>
              </w:pBdr>
              <w:spacing w:after="80"/>
              <w:ind w:left="1400"/>
            </w:pPr>
            <w:r>
              <w:rPr>
                <w:rFonts w:ascii="Arial" w:eastAsia="Microsoft YaHei"/>
                <w:color w:val="90989F"/>
                <w:sz w:val="22"/>
                <w:szCs w:val="22"/>
              </w:rPr>
              <w:t xml:space="preserve">Date: August 27, 2026</w:t>
            </w:r>
          </w:p>
          <w:p>
            <w:pPr>
              <w:spacing w:before="3750"/>
            </w:pPr>
          </w:p>
          <w:p>
            <w:pPr>
              <w:pBdr>
                <w:top w:val="single" w:color="529286" w:sz="2" w:space="8"/>
              </w:pBdr>
              <w:spacing w:before="200"/>
              <w:ind w:left="1200" w:right="800"/>
            </w:pPr>
            <w:r>
              <w:rPr>
                <w:rFonts w:ascii="Arial"/>
                <w:color w:val="687078"/>
                <w:sz w:val="16"/>
                <w:szCs w:val="16"/>
              </w:rPr>
              <w:t xml:space="preserve">Confidential — For Strategic Planning</w:t>
            </w:r>
            <w:r>
              <w:t xml:space="preserve">                                        </w:t>
            </w:r>
            <w:r>
              <w:rPr>
                <w:rFonts w:ascii="Arial"/>
                <w:color w:val="687078"/>
                <w:sz w:val="16"/>
                <w:szCs w:val="16"/>
              </w:rPr>
              <w:t xml:space="preserve">2026 Edition</w:t>
            </w:r>
          </w:p>
        </w:tc>
      </w:tr>
    </w:tbl>
    <w:p>
      <w:pPr>
        <w:sectPr>
          <w:pgSz w:w="11906" w:h="16838" w:orient="portrait"/>
          <w:pgMar w:top="0" w:right="0" w:bottom="0" w:left="0" w:header="708" w:footer="708" w:gutter="0"/>
          <w:docGrid w:linePitch="360"/>
        </w:sectPr>
      </w:pPr>
    </w:p>
    <w:p>
      <w:pPr>
        <w:spacing w:after="360" w:before="480"/>
        <w:jc w:val="center"/>
      </w:pPr>
      <w:r>
        <w:rPr>
          <w:rFonts w:ascii="Arial" w:eastAsia="SimHei"/>
          <w:b/>
          <w:bCs/>
          <w:color w:val="0B1C2C"/>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Opening Hook and Thesis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Background and Context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3.1 Key Definitions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3.2 Scope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3.3 Historical Context</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4. The AI Builder's Document Consumption Protocol</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4.1 Phase 1: Document Inventory and Selection</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4.2 Phase 2: Document Loading and Context Window Management</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4.3 Phase 3: Synthesis and Understanding Verification</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4.4 Phase 4: Build Planning and Task Decomposition</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4.5 Phase 5: Implementation with Verification</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4.6 The Consumption Protocol as a Prompt</w:t>
            </w:r>
            <w:r>
              <w:tab/>
            </w:r>
            <w:r>
              <w:fldChar w:fldCharType="begin"/>
            </w:r>
            <w:r>
              <w:instrText xml:space="preserve"> PAGEREF _Toc100012 \h </w:instrText>
            </w:r>
            <w:r>
              <w:fldChar w:fldCharType="separate"/>
            </w:r>
            <w:r>
              <w:t>5</w:t>
            </w:r>
            <w:r>
              <w:fldChar w:fldCharType="end"/>
            </w:r>
          </w:hyperlink>
        </w:p>
        <w:p>
          <w:pPr>
            <w:pStyle w:val="9"/>
            <w:tabs>
              <w:tab w:val="right" w:leader="dot" w:pos="9026"/>
            </w:tabs>
            <w:spacing w:before="120" w:after="60"/>
          </w:pPr>
          <w:hyperlink w:anchor="_Toc100013" w:history="1">
            <w:r>
              <w:rPr>
                <w:rStyle w:val="Hyperlink"/>
              </w:rPr>
              <w:t>5. Scalability and Traffic Management</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5.1 Load Balancing</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5.2 Auto-Scaling</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5.3 Rate Limiting</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5.4 Caching Strategies</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5.5 The Circuit Breaker Pattern</w:t>
            </w:r>
            <w:r>
              <w:tab/>
            </w:r>
            <w:r>
              <w:fldChar w:fldCharType="begin"/>
            </w:r>
            <w:r>
              <w:instrText xml:space="preserve"> PAGEREF _Toc100018 \h </w:instrText>
            </w:r>
            <w:r>
              <w:fldChar w:fldCharType="separate"/>
            </w:r>
            <w:r>
              <w:t>6</w:t>
            </w:r>
            <w:r>
              <w:fldChar w:fldCharType="end"/>
            </w:r>
          </w:hyperlink>
        </w:p>
        <w:p>
          <w:pPr>
            <w:pStyle w:val="9"/>
            <w:tabs>
              <w:tab w:val="right" w:leader="dot" w:pos="9026"/>
            </w:tabs>
            <w:spacing w:before="120" w:after="60"/>
          </w:pPr>
          <w:hyperlink w:anchor="_Toc100019" w:history="1">
            <w:r>
              <w:rPr>
                <w:rStyle w:val="Hyperlink"/>
              </w:rPr>
              <w:t>6. Concurrency Control: Preventing Input Conflicts and Double Entries</w:t>
            </w:r>
            <w:r>
              <w:tab/>
            </w:r>
            <w:r>
              <w:fldChar w:fldCharType="begin"/>
            </w:r>
            <w:r>
              <w:instrText xml:space="preserve"> PAGEREF _Toc100019 \h </w:instrText>
            </w:r>
            <w:r>
              <w:fldChar w:fldCharType="separate"/>
            </w:r>
            <w:r>
              <w:t>6</w:t>
            </w:r>
            <w:r>
              <w:fldChar w:fldCharType="end"/>
            </w:r>
          </w:hyperlink>
        </w:p>
        <w:p>
          <w:pPr>
            <w:pStyle w:val="11"/>
            <w:ind w:left="360"/>
            <w:tabs>
              <w:tab w:val="right" w:leader="dot" w:pos="9026"/>
            </w:tabs>
            <w:spacing w:before="120" w:after="60"/>
          </w:pPr>
          <w:hyperlink w:anchor="_Toc100020" w:history="1">
            <w:r>
              <w:rPr>
                <w:rStyle w:val="Hyperlink"/>
              </w:rPr>
              <w:t>6.1 Optimistic Locking</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6.2 Pessimistic Locking</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6.3 Distributed Locks with Redis</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6.4 Idempotency: Preventing Double Entries</w:t>
            </w:r>
            <w:r>
              <w:tab/>
            </w:r>
            <w:r>
              <w:fldChar w:fldCharType="begin"/>
            </w:r>
            <w:r>
              <w:instrText xml:space="preserve"> PAGEREF _Toc100023 \h </w:instrText>
            </w:r>
            <w:r>
              <w:fldChar w:fldCharType="separate"/>
            </w:r>
            <w:r>
              <w:t>7</w:t>
            </w:r>
            <w:r>
              <w:fldChar w:fldCharType="end"/>
            </w:r>
          </w:hyperlink>
        </w:p>
        <w:p>
          <w:pPr>
            <w:pStyle w:val="11"/>
            <w:ind w:left="360"/>
            <w:tabs>
              <w:tab w:val="right" w:leader="dot" w:pos="9026"/>
            </w:tabs>
            <w:spacing w:before="120" w:after="60"/>
          </w:pPr>
          <w:hyperlink w:anchor="_Toc100024" w:history="1">
            <w:r>
              <w:rPr>
                <w:rStyle w:val="Hyperlink"/>
              </w:rPr>
              <w:t>6.5 Database Connection Pooling</w:t>
            </w:r>
            <w:r>
              <w:tab/>
            </w:r>
            <w:r>
              <w:fldChar w:fldCharType="begin"/>
            </w:r>
            <w:r>
              <w:instrText xml:space="preserve"> PAGEREF _Toc100024 \h </w:instrText>
            </w:r>
            <w:r>
              <w:fldChar w:fldCharType="separate"/>
            </w:r>
            <w:r>
              <w:t>8</w:t>
            </w:r>
            <w:r>
              <w:fldChar w:fldCharType="end"/>
            </w:r>
          </w:hyperlink>
        </w:p>
        <w:p>
          <w:pPr>
            <w:pStyle w:val="9"/>
            <w:tabs>
              <w:tab w:val="right" w:leader="dot" w:pos="9026"/>
            </w:tabs>
            <w:spacing w:before="120" w:after="60"/>
          </w:pPr>
          <w:hyperlink w:anchor="_Toc100025" w:history="1">
            <w:r>
              <w:rPr>
                <w:rStyle w:val="Hyperlink"/>
              </w:rPr>
              <w:t>7. Data Consistency Across Services: The Saga Pattern</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7.1 The Saga Pattern Explained</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7.2 Coordination: Choreography Versus Orchestration</w:t>
            </w:r>
            <w:r>
              <w:tab/>
            </w:r>
            <w:r>
              <w:fldChar w:fldCharType="begin"/>
            </w:r>
            <w:r>
              <w:instrText xml:space="preserve"> PAGEREF _Toc100027 \h </w:instrText>
            </w:r>
            <w:r>
              <w:fldChar w:fldCharType="separate"/>
            </w:r>
            <w:r>
              <w:t>8</w:t>
            </w:r>
            <w:r>
              <w:fldChar w:fldCharType="end"/>
            </w:r>
          </w:hyperlink>
        </w:p>
        <w:p>
          <w:pPr>
            <w:pStyle w:val="11"/>
            <w:ind w:left="360"/>
            <w:tabs>
              <w:tab w:val="right" w:leader="dot" w:pos="9026"/>
            </w:tabs>
            <w:spacing w:before="120" w:after="60"/>
          </w:pPr>
          <w:hyperlink w:anchor="_Toc100028" w:history="1">
            <w:r>
              <w:rPr>
                <w:rStyle w:val="Hyperlink"/>
              </w:rPr>
              <w:t>7.3 The Outbox Pattern</w:t>
            </w:r>
            <w:r>
              <w:tab/>
            </w:r>
            <w:r>
              <w:fldChar w:fldCharType="begin"/>
            </w:r>
            <w:r>
              <w:instrText xml:space="preserve"> PAGEREF _Toc100028 \h </w:instrText>
            </w:r>
            <w:r>
              <w:fldChar w:fldCharType="separate"/>
            </w:r>
            <w:r>
              <w:t>9</w:t>
            </w:r>
            <w:r>
              <w:fldChar w:fldCharType="end"/>
            </w:r>
          </w:hyperlink>
        </w:p>
        <w:p>
          <w:pPr>
            <w:pStyle w:val="9"/>
            <w:tabs>
              <w:tab w:val="right" w:leader="dot" w:pos="9026"/>
            </w:tabs>
            <w:spacing w:before="120" w:after="60"/>
          </w:pPr>
          <w:hyperlink w:anchor="_Toc100029" w:history="1">
            <w:r>
              <w:rPr>
                <w:rStyle w:val="Hyperlink"/>
              </w:rPr>
              <w:t>8. Multi-Database Architecture and the Central Data Hub</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8.1 Polyglot Persistence: The Right Database for Each Data</w:t>
            </w:r>
            <w:r>
              <w:tab/>
            </w:r>
            <w:r>
              <w:fldChar w:fldCharType="begin"/>
            </w:r>
            <w:r>
              <w:instrText xml:space="preserve"> PAGEREF _Toc100030 \h </w:instrText>
            </w:r>
            <w:r>
              <w:fldChar w:fldCharType="separate"/>
            </w:r>
            <w:r>
              <w:t>9</w:t>
            </w:r>
            <w:r>
              <w:fldChar w:fldCharType="end"/>
            </w:r>
          </w:hyperlink>
        </w:p>
        <w:p>
          <w:pPr>
            <w:pStyle w:val="11"/>
            <w:ind w:left="360"/>
            <w:tabs>
              <w:tab w:val="right" w:leader="dot" w:pos="9026"/>
            </w:tabs>
            <w:spacing w:before="120" w:after="60"/>
          </w:pPr>
          <w:hyperlink w:anchor="_Toc100031" w:history="1">
            <w:r>
              <w:rPr>
                <w:rStyle w:val="Hyperlink"/>
              </w:rPr>
              <w:t>8.2 The Central Data Hub</w:t>
            </w:r>
            <w:r>
              <w:tab/>
            </w:r>
            <w:r>
              <w:fldChar w:fldCharType="begin"/>
            </w:r>
            <w:r>
              <w:instrText xml:space="preserve"> PAGEREF _Toc100031 \h </w:instrText>
            </w:r>
            <w:r>
              <w:fldChar w:fldCharType="separate"/>
            </w:r>
            <w:r>
              <w:t>9</w:t>
            </w:r>
            <w:r>
              <w:fldChar w:fldCharType="end"/>
            </w:r>
          </w:hyperlink>
        </w:p>
        <w:p>
          <w:pPr>
            <w:pStyle w:val="11"/>
            <w:ind w:left="360"/>
            <w:tabs>
              <w:tab w:val="right" w:leader="dot" w:pos="9026"/>
            </w:tabs>
            <w:spacing w:before="120" w:after="60"/>
          </w:pPr>
          <w:hyperlink w:anchor="_Toc100032" w:history="1">
            <w:r>
              <w:rPr>
                <w:rStyle w:val="Hyperlink"/>
              </w:rPr>
              <w:t>8.3 Role-Based Access Control for Sensitive Data</w:t>
            </w:r>
            <w:r>
              <w:tab/>
            </w:r>
            <w:r>
              <w:fldChar w:fldCharType="begin"/>
            </w:r>
            <w:r>
              <w:instrText xml:space="preserve"> PAGEREF _Toc100032 \h </w:instrText>
            </w:r>
            <w:r>
              <w:fldChar w:fldCharType="separate"/>
            </w:r>
            <w:r>
              <w:t>10</w:t>
            </w:r>
            <w:r>
              <w:fldChar w:fldCharType="end"/>
            </w:r>
          </w:hyperlink>
        </w:p>
        <w:p>
          <w:pPr>
            <w:pStyle w:val="11"/>
            <w:ind w:left="360"/>
            <w:tabs>
              <w:tab w:val="right" w:leader="dot" w:pos="9026"/>
            </w:tabs>
            <w:spacing w:before="120" w:after="60"/>
          </w:pPr>
          <w:hyperlink w:anchor="_Toc100033" w:history="1">
            <w:r>
              <w:rPr>
                <w:rStyle w:val="Hyperlink"/>
              </w:rPr>
              <w:t>8.4 Data Synchronization Across Databases</w:t>
            </w:r>
            <w:r>
              <w:tab/>
            </w:r>
            <w:r>
              <w:fldChar w:fldCharType="begin"/>
            </w:r>
            <w:r>
              <w:instrText xml:space="preserve"> PAGEREF _Toc100033 \h </w:instrText>
            </w:r>
            <w:r>
              <w:fldChar w:fldCharType="separate"/>
            </w:r>
            <w:r>
              <w:t>10</w:t>
            </w:r>
            <w:r>
              <w:fldChar w:fldCharType="end"/>
            </w:r>
          </w:hyperlink>
        </w:p>
        <w:p>
          <w:pPr>
            <w:pStyle w:val="11"/>
            <w:ind w:left="360"/>
            <w:tabs>
              <w:tab w:val="right" w:leader="dot" w:pos="9026"/>
            </w:tabs>
            <w:spacing w:before="120" w:after="60"/>
          </w:pPr>
          <w:hyperlink w:anchor="_Toc100034" w:history="1">
            <w:r>
              <w:rPr>
                <w:rStyle w:val="Hyperlink"/>
              </w:rPr>
              <w:t>8.5 The Complete Architecture: Putting It Together</w:t>
            </w:r>
            <w:r>
              <w:tab/>
            </w:r>
            <w:r>
              <w:fldChar w:fldCharType="begin"/>
            </w:r>
            <w:r>
              <w:instrText xml:space="preserve"> PAGEREF _Toc100034 \h </w:instrText>
            </w:r>
            <w:r>
              <w:fldChar w:fldCharType="separate"/>
            </w:r>
            <w:r>
              <w:t>10</w:t>
            </w:r>
            <w:r>
              <w:fldChar w:fldCharType="end"/>
            </w:r>
          </w:hyperlink>
        </w:p>
        <w:p>
          <w:pPr>
            <w:pStyle w:val="9"/>
            <w:tabs>
              <w:tab w:val="right" w:leader="dot" w:pos="9026"/>
            </w:tabs>
            <w:spacing w:before="120" w:after="60"/>
          </w:pPr>
          <w:hyperlink w:anchor="_Toc100035" w:history="1">
            <w:r>
              <w:rPr>
                <w:rStyle w:val="Hyperlink"/>
              </w:rPr>
              <w:t>9. Counterarguments and Limitations</w:t>
            </w:r>
            <w:r>
              <w:tab/>
            </w:r>
            <w:r>
              <w:fldChar w:fldCharType="begin"/>
            </w:r>
            <w:r>
              <w:instrText xml:space="preserve"> PAGEREF _Toc100035 \h </w:instrText>
            </w:r>
            <w:r>
              <w:fldChar w:fldCharType="separate"/>
            </w:r>
            <w:r>
              <w:t>11</w:t>
            </w:r>
            <w:r>
              <w:fldChar w:fldCharType="end"/>
            </w:r>
          </w:hyperlink>
        </w:p>
        <w:p>
          <w:pPr>
            <w:pStyle w:val="9"/>
            <w:tabs>
              <w:tab w:val="right" w:leader="dot" w:pos="9026"/>
            </w:tabs>
            <w:spacing w:before="120" w:after="60"/>
          </w:pPr>
          <w:hyperlink w:anchor="_Toc100036" w:history="1">
            <w:r>
              <w:rPr>
                <w:rStyle w:val="Hyperlink"/>
              </w:rPr>
              <w:t>10. Conclusion and Strategic Implications</w:t>
            </w:r>
            <w:r>
              <w:tab/>
            </w:r>
            <w:r>
              <w:fldChar w:fldCharType="begin"/>
            </w:r>
            <w:r>
              <w:instrText xml:space="preserve"> PAGEREF _Toc100036 \h </w:instrText>
            </w:r>
            <w:r>
              <w:fldChar w:fldCharType="separate"/>
            </w:r>
            <w:r>
              <w:t>11</w:t>
            </w:r>
            <w:r>
              <w:fldChar w:fldCharType="end"/>
            </w:r>
          </w:hyperlink>
        </w:p>
        <w:p>
          <w:pPr>
            <w:pStyle w:val="9"/>
            <w:tabs>
              <w:tab w:val="right" w:leader="dot" w:pos="9026"/>
            </w:tabs>
            <w:spacing w:before="120" w:after="60"/>
          </w:pPr>
          <w:hyperlink w:anchor="_Toc100037" w:history="1">
            <w:r>
              <w:rPr>
                <w:rStyle w:val="Hyperlink"/>
              </w:rPr>
              <w:t>11. References</w:t>
            </w:r>
            <w:r>
              <w:tab/>
            </w:r>
            <w:r>
              <w:fldChar w:fldCharType="begin"/>
            </w:r>
            <w:r>
              <w:instrText xml:space="preserve"> PAGEREF _Toc100037 \h </w:instrText>
            </w:r>
            <w:r>
              <w:fldChar w:fldCharType="separate"/>
            </w:r>
            <w:r>
              <w:t>12</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Arial" w:eastAsia="SimHei"/>
          <w:b/>
          <w:bCs/>
          <w:color w:val="0B1C2C"/>
          <w:sz w:val="32"/>
          <w:szCs w:val="32"/>
        </w:rPr>
        <w:t xml:space="preserve">1. Executive Summary</w:t>
      </w:r>
      <w:bookmarkEnd w:id="100000"/>
    </w:p>
    <w:p>
      <w:pPr>
        <w:spacing w:after="120" w:line="312"/>
        <w:ind w:firstLine="360"/>
        <w:jc w:val="both"/>
      </w:pPr>
      <w:r>
        <w:rPr>
          <w:rFonts w:ascii="Times New Roman" w:eastAsia="SimSun"/>
          <w:color w:val="000000"/>
          <w:sz w:val="24"/>
          <w:szCs w:val="24"/>
        </w:rPr>
        <w:t xml:space="preserve">This report is the fifth foundational document in the AI builder playbook, and it addresses two questions that the first four documents do not fully answer. The first question is how the AI builder agent properly consumes the four existing documents, the foundation, the prompt guide, the stack guide, and the operational excellence guide, before it proceeds to build. The second question is how the resulting system handles large numbers of users without overload or downtime, prevents input conflicts and double entries, balances traffic and data consistency, and uses a multi-database architecture with a central data hub and role-based access. The two questions are related, because the system's ability to handle scale and consistency is a function of the architecture that the AI builder implements, and the architecture is a function of the documents the builder consumes and the understanding it derives from them.</w:t>
      </w:r>
    </w:p>
    <w:p>
      <w:pPr>
        <w:spacing w:after="120" w:line="312"/>
        <w:ind w:firstLine="360"/>
        <w:jc w:val="both"/>
      </w:pPr>
      <w:r>
        <w:rPr>
          <w:rFonts w:ascii="Times New Roman" w:eastAsia="SimSun"/>
          <w:color w:val="000000"/>
          <w:sz w:val="24"/>
          <w:szCs w:val="24"/>
        </w:rPr>
        <w:t xml:space="preserve">The document is organized into five parts. Part I specifies the document consumption protocol, the structured sequence by which the AI builder reads, understands, and synthesizes the four documents before any code is written. Part II covers scalability and traffic management, the disciplines that allow the system to handle large user loads without overload, including load balancing, auto-scaling, rate limiting, and the circuit breaker pattern. Part III covers concurrency control and data consistency, the disciplines that prevent input conflicts, double entries, and data corruption, including optimistic and pessimistic locking, distributed locks, idempotency, and the Saga pattern for distributed transactions. Part IV covers the multi-database architecture and the central data hub, the pattern by which the system uses specialized databases for different management functions while maintaining a central repository with role-based access for sensitive data. Part V covers the counterarguments, the conclusion, and the references.</w:t>
      </w:r>
    </w:p>
    <w:p>
      <w:pPr>
        <w:spacing w:after="120" w:line="312"/>
        <w:ind w:firstLine="360"/>
        <w:jc w:val="both"/>
      </w:pPr>
      <w:r>
        <w:rPr>
          <w:rFonts w:ascii="Times New Roman" w:eastAsia="SimSun"/>
          <w:color w:val="000000"/>
          <w:sz w:val="24"/>
          <w:szCs w:val="24"/>
        </w:rPr>
        <w:t xml:space="preserve">The central finding is that the system's ability to handle scale and consistency is not a feature added at the end but a property designed in from the start, and the property is a function of the AI builder's understanding of the architectural patterns that govern scale and consistency. An AI builder that consumes the four documents and that is then directed by this fifth document to implement the scalability, the concurrency, and the multi-database patterns will produce a system that handles large user loads without overload, that prevents input conflicts and double entries, and that maintains data consistency across a multi-database architecture. An AI builder that is not directed to implement these patterns will produce a system that works at low scale but that fails, often catastrophically, when the user load grows, when concurrent writes conflict, or when the data across databases becomes inconsistent.</w:t>
      </w:r>
    </w:p>
    <w:p>
      <w:pPr>
        <w:pStyle w:val="Heading1"/>
        <w:spacing w:after="160" w:before="360" w:line="312"/>
      </w:pPr>
      <w:bookmarkStart w:id="100001" w:name="_Toc100001"/>
      <w:r>
        <w:rPr>
          <w:rFonts w:ascii="Arial" w:eastAsia="SimHei"/>
          <w:b/>
          <w:bCs/>
          <w:color w:val="0B1C2C"/>
          <w:sz w:val="32"/>
          <w:szCs w:val="32"/>
        </w:rPr>
        <w:t xml:space="preserve">2. Opening Hook and Thesis</w:t>
      </w:r>
      <w:bookmarkEnd w:id="100001"/>
    </w:p>
    <w:p>
      <w:pPr>
        <w:spacing w:after="120" w:line="312"/>
        <w:ind w:firstLine="360"/>
        <w:jc w:val="both"/>
      </w:pPr>
      <w:r>
        <w:rPr>
          <w:rFonts w:ascii="Times New Roman" w:eastAsia="SimSun"/>
          <w:color w:val="000000"/>
          <w:sz w:val="24"/>
          <w:szCs w:val="24"/>
        </w:rPr>
        <w:t xml:space="preserve">The user's question, asked plainly, is whether the four documents we have built are sufficient for the AI builder to construct a system that handles large numbers of users without overload or downtime, that prevents input conflicts and double entries, and that uses a multi-database architecture with a central data hub and role-based access. The honest answer is that the four documents specify the architecture, the prompting, the stack, and the operational disciplines, but they do not specify, in the depth the user's question requires, the patterns that govern scalability, concurrency, and multi-database coordination. The four documents are necessary, and this fifth document is the complement that completes the specification for a system that operates at scale.</w:t>
      </w:r>
    </w:p>
    <w:p>
      <w:pPr>
        <w:spacing w:after="120" w:line="312"/>
        <w:ind w:firstLine="360"/>
        <w:jc w:val="both"/>
      </w:pPr>
      <w:r>
        <w:rPr>
          <w:rFonts w:ascii="Times New Roman" w:eastAsia="SimSun"/>
          <w:color w:val="000000"/>
          <w:sz w:val="24"/>
          <w:szCs w:val="24"/>
        </w:rPr>
        <w:t xml:space="preserve">The concern about overload and downtime is the concern that every builder of a successful system encounters. A system that works at ten users may fail at ten thousand, and the failure mode is not a gradual degradation but a cliff, the point at which the database connection pool is exhausted, the request queue overflows, or a race condition corrupts the data. Practitioner sources report that the wrong database choice does not hurt on day one but shows up at fifty thousand tenants, during a billing outage, or six months into rewriting sharding logic that a better architecture would have handled at the storage layer. The concern about input conflicts and double entries is the concern that concurrent writes, network retries, and user impatience produce duplicate submissions, overwriting of one user's data by another, and the data corruption that destroys trust. The concern about multi-database architecture is the concern that a single database cannot serve all the system's needs, that different management functions have different data characteristics, and that the system must coordinate across databases while maintaining a central, role-controlled access to sensitive data.</w:t>
      </w:r>
    </w:p>
    <w:p>
      <w:pPr>
        <w:spacing w:after="120" w:line="312"/>
        <w:ind w:firstLine="360"/>
        <w:jc w:val="both"/>
      </w:pPr>
      <w:r>
        <w:rPr>
          <w:rFonts w:ascii="Times New Roman" w:eastAsia="SimSun"/>
          <w:color w:val="000000"/>
          <w:sz w:val="24"/>
          <w:szCs w:val="24"/>
        </w:rPr>
        <w:t xml:space="preserve">The thesis is therefore the following. A system built by an AI agent handles large user loads, prevents input conflicts, and maintains data consistency across a multi-database architecture only when the AI builder consumes the four existing documents to derive the architectural context and then consumes this fifth document to derive the scalability, the concurrency, and the multi-database patterns that the implementation must embody. The document consumption protocol of Part I is the discipline that ensures the builder's understanding, and the patterns of Parts II, III, and IV are the disciplines that ensure the system's scale, consistency, and coordinated multi-database operation. The remainder of the document specifies each discipline with the depth the AI builder needs.</w:t>
      </w:r>
    </w:p>
    <w:p>
      <w:pPr>
        <w:pStyle w:val="Heading1"/>
        <w:spacing w:after="160" w:before="360" w:line="312"/>
      </w:pPr>
      <w:bookmarkStart w:id="100002" w:name="_Toc100002"/>
      <w:r>
        <w:rPr>
          <w:rFonts w:ascii="Arial" w:eastAsia="SimHei"/>
          <w:b/>
          <w:bCs/>
          <w:color w:val="0B1C2C"/>
          <w:sz w:val="32"/>
          <w:szCs w:val="32"/>
        </w:rPr>
        <w:t xml:space="preserve">3. Background and Context</w:t>
      </w:r>
      <w:bookmarkEnd w:id="100002"/>
    </w:p>
    <w:p>
      <w:pPr>
        <w:pStyle w:val="Heading2"/>
        <w:spacing w:after="120" w:before="280" w:line="312"/>
      </w:pPr>
      <w:bookmarkStart w:id="100003" w:name="_Toc100003"/>
      <w:r>
        <w:rPr>
          <w:rFonts w:ascii="Arial" w:eastAsia="SimHei"/>
          <w:b/>
          <w:bCs/>
          <w:color w:val="0B1C2C"/>
          <w:sz w:val="28"/>
          <w:szCs w:val="28"/>
        </w:rPr>
        <w:t xml:space="preserve">3.1 Key Definitions</w:t>
      </w:r>
      <w:bookmarkEnd w:id="100003"/>
    </w:p>
    <w:p>
      <w:pPr>
        <w:spacing w:after="120" w:line="312"/>
        <w:ind w:firstLine="360"/>
        <w:jc w:val="both"/>
      </w:pPr>
      <w:r>
        <w:rPr>
          <w:rFonts w:ascii="Times New Roman" w:eastAsia="SimSun"/>
          <w:color w:val="000000"/>
          <w:sz w:val="24"/>
          <w:szCs w:val="24"/>
        </w:rPr>
        <w:t xml:space="preserve">Before proceeding, it is necessary to define the key terms. Scalability is the property of a system to handle increasing load, whether in users, in requests, or in data volume, without degradation of performance or reliability, and it is achieved through horizontal scaling, vertical scaling, caching, and the architectural patterns that this document specifies. Concurrency control is the discipline of coordinating simultaneous access to shared data so that conflicts are prevented or resolved, and it encompasses the optimistic and pessimistic locking strategies, the distributed locks, and the idempotency patterns. Data consistency is the property that the data across the system, whether in a single database or across multiple databases, is correct and coherent, and it is governed by the consistency model, the transaction isolation level, and the distributed transaction patterns such as the Saga. A multi-database architecture, or polyglot persistence, is the pattern of using different databases for different data characteristics, such as a relational database for transactional data, a document database for schema-flexible content, a time-series database for telemetry, and a graph database for relationships, with coordination across them. A central data hub is the architectural component that provides a unified, role-controlled access layer to the sensitive data that multiple management functions must share, and it is the component that prevents the data silos that the multi-database pattern can produce.</w:t>
      </w:r>
    </w:p>
    <w:p>
      <w:pPr>
        <w:pStyle w:val="Heading2"/>
        <w:spacing w:after="120" w:before="280" w:line="312"/>
      </w:pPr>
      <w:bookmarkStart w:id="100004" w:name="_Toc100004"/>
      <w:r>
        <w:rPr>
          <w:rFonts w:ascii="Arial" w:eastAsia="SimHei"/>
          <w:b/>
          <w:bCs/>
          <w:color w:val="0B1C2C"/>
          <w:sz w:val="28"/>
          <w:szCs w:val="28"/>
        </w:rPr>
        <w:t xml:space="preserve">3.2 Scope</w:t>
      </w:r>
      <w:bookmarkEnd w:id="100004"/>
    </w:p>
    <w:p>
      <w:pPr>
        <w:spacing w:after="120" w:line="312"/>
        <w:ind w:firstLine="360"/>
        <w:jc w:val="both"/>
      </w:pPr>
      <w:r>
        <w:rPr>
          <w:rFonts w:ascii="Times New Roman" w:eastAsia="SimSun"/>
          <w:color w:val="000000"/>
          <w:sz w:val="24"/>
          <w:szCs w:val="24"/>
        </w:rPr>
        <w:t xml:space="preserve">The scope of this document is the AI builder's document consumption protocol and the three technical disciplines of scalability, concurrency, and multi-database architecture. The document covers the consumption protocol with the structured sequence that the builder follows, the scalability with the load balancing, the auto-scaling, the rate limiting, and the circuit breaker, the concurrency with the locking strategies, the idempotency, and the distributed transaction patterns, and the multi-database architecture with the polyglot persistence pattern, the central data hub, and the role-based access. The document does not cover the architecture, the prompting, the stack selection, or the operational disciplines, which are covered in the first four documents, and it assumes the builder has loaded those documents as context. The document also does not provide the depth that a distributed-systems specialist would require; it provides the depth that an AI builder needs to direct the agent to implement the patterns, and it references the specialist literature for the reader who needs more.</w:t>
      </w:r>
    </w:p>
    <w:p>
      <w:pPr>
        <w:pStyle w:val="Heading2"/>
        <w:spacing w:after="120" w:before="280" w:line="312"/>
      </w:pPr>
      <w:bookmarkStart w:id="100005" w:name="_Toc100005"/>
      <w:r>
        <w:rPr>
          <w:rFonts w:ascii="Arial" w:eastAsia="SimHei"/>
          <w:b/>
          <w:bCs/>
          <w:color w:val="0B1C2C"/>
          <w:sz w:val="28"/>
          <w:szCs w:val="28"/>
        </w:rPr>
        <w:t xml:space="preserve">3.3 Historical Context</w:t>
      </w:r>
      <w:bookmarkEnd w:id="100005"/>
    </w:p>
    <w:p>
      <w:pPr>
        <w:spacing w:after="120" w:line="312"/>
        <w:ind w:firstLine="360"/>
        <w:jc w:val="both"/>
      </w:pPr>
      <w:r>
        <w:rPr>
          <w:rFonts w:ascii="Times New Roman" w:eastAsia="SimSun"/>
          <w:color w:val="000000"/>
          <w:sz w:val="24"/>
          <w:szCs w:val="24"/>
        </w:rPr>
        <w:t xml:space="preserve">The disciplines this document covers have evolved over decades. The scalability patterns emerged as the web scaled from thousands of users in the 1990s to billions in the 2010s, and the patterns of sharding, read replicas, and caching were developed and refined by the large web companies, with Google, Facebook, and Amazon contributing the foundational practices. The concurrency control patterns have their roots in the database research of the 1970s and 1980s, with the optimistic and pessimistic locking strategies formalized in that era, and the distributed lock patterns emerged with the distributed systems of the 2000s. The Saga pattern was described in 1987 as a way to manage long-running transactions, and it was rediscovered and widely adopted in the microservices era of the 2010s as the pattern for managing distributed transactions without the two-phase commit's availability penalty. The multi-database architecture, or polyglot persistence, emerged in the 2010s as the NoSQL movement diversified the database landscape and as the practitioners recognized that no single database serves all needs. The central data hub and the data mesh patterns emerged in the late 2010s as the response to the data silos that the polyglot pattern produced, with the data mesh decentralizing the data ownership and the central hub providing the governed access. The AI builder that consumes this document inherits these decades of practice, and the patterns it directs the agent to implement are the codification of that inheritance.</w:t>
      </w:r>
    </w:p>
    <w:p>
      <w:pPr>
        <w:pStyle w:val="Heading1"/>
        <w:spacing w:after="160" w:before="360" w:line="312"/>
      </w:pPr>
      <w:bookmarkStart w:id="100006" w:name="_Toc100006"/>
      <w:r>
        <w:rPr>
          <w:rFonts w:ascii="Arial" w:eastAsia="SimHei"/>
          <w:b/>
          <w:bCs/>
          <w:color w:val="0B1C2C"/>
          <w:sz w:val="32"/>
          <w:szCs w:val="32"/>
        </w:rPr>
        <w:t xml:space="preserve">4. The AI Builder's Document Consumption Protocol</w:t>
      </w:r>
      <w:bookmarkEnd w:id="100006"/>
    </w:p>
    <w:p>
      <w:pPr>
        <w:spacing w:after="120" w:line="312"/>
        <w:ind w:firstLine="360"/>
        <w:jc w:val="both"/>
      </w:pPr>
      <w:r>
        <w:rPr>
          <w:rFonts w:ascii="Times New Roman" w:eastAsia="SimSun"/>
          <w:color w:val="000000"/>
          <w:sz w:val="24"/>
          <w:szCs w:val="24"/>
        </w:rPr>
        <w:t xml:space="preserve">The document consumption protocol is the structured sequence by which the AI builder agent reads, understands, and synthesizes the four existing documents before it proceeds to build. The protocol is the discipline that ensures the builder's understanding, and it is the discipline that prevents the agent from building on incorrect or incomplete assumptions. An AI builder that is prompted to build without first consuming the documents will produce a system that matches the agent's defaults rather than the documented specification, and the mismatch will be discovered at the demo or, worse, in production. The protocol consists of five phases, each producing a defined artifact that gates the next, and the builder reviews each artifact before proceeding.</w:t>
      </w:r>
    </w:p>
    <w:p>
      <w:pPr>
        <w:pStyle w:val="Heading2"/>
        <w:spacing w:after="120" w:before="280" w:line="312"/>
      </w:pPr>
      <w:bookmarkStart w:id="100007" w:name="_Toc100007"/>
      <w:r>
        <w:rPr>
          <w:rFonts w:ascii="Arial" w:eastAsia="SimHei"/>
          <w:b/>
          <w:bCs/>
          <w:color w:val="0B1C2C"/>
          <w:sz w:val="28"/>
          <w:szCs w:val="28"/>
        </w:rPr>
        <w:t xml:space="preserve">4.1 Phase 1: Document Inventory and Selection</w:t>
      </w:r>
      <w:bookmarkEnd w:id="100007"/>
    </w:p>
    <w:p>
      <w:pPr>
        <w:spacing w:after="120" w:line="312"/>
        <w:ind w:firstLine="360"/>
        <w:jc w:val="both"/>
      </w:pPr>
      <w:r>
        <w:rPr>
          <w:rFonts w:ascii="Times New Roman" w:eastAsia="SimSun"/>
          <w:color w:val="000000"/>
          <w:sz w:val="24"/>
          <w:szCs w:val="24"/>
        </w:rPr>
        <w:t xml:space="preserve">The first phase of the consumption protocol is the document inventory and selection. The AI builder is directed to enumerate the four documents, to identify the sections relevant to the system being built, and to produce a document inventory that lists the sections to be loaded. The inventory is the artifact that gates the loading phase, and it is the artifact that prevents the builder from loading irrelevant sections and from omitting relevant ones. For a school management system, for example, the inventory would include the foundation document's ERP and LMS sections, the prompt guide's three-phase model and master template, the stack guide's database and authentication sections, and the operational excellence guide's requirements engineering and testing strategy sections. The inventory is reviewed by the builder, and any omission is corrected before the loading phase begins.</w:t>
      </w:r>
    </w:p>
    <w:p>
      <w:pPr>
        <w:pStyle w:val="Heading2"/>
        <w:spacing w:after="120" w:before="280" w:line="312"/>
      </w:pPr>
      <w:bookmarkStart w:id="100008" w:name="_Toc100008"/>
      <w:r>
        <w:rPr>
          <w:rFonts w:ascii="Arial" w:eastAsia="SimHei"/>
          <w:b/>
          <w:bCs/>
          <w:color w:val="0B1C2C"/>
          <w:sz w:val="28"/>
          <w:szCs w:val="28"/>
        </w:rPr>
        <w:t xml:space="preserve">4.2 Phase 2: Document Loading and Context Window Management</w:t>
      </w:r>
      <w:bookmarkEnd w:id="100008"/>
    </w:p>
    <w:p>
      <w:pPr>
        <w:spacing w:after="120" w:line="312"/>
        <w:ind w:firstLine="360"/>
        <w:jc w:val="both"/>
      </w:pPr>
      <w:r>
        <w:rPr>
          <w:rFonts w:ascii="Times New Roman" w:eastAsia="SimSun"/>
          <w:color w:val="000000"/>
          <w:sz w:val="24"/>
          <w:szCs w:val="24"/>
        </w:rPr>
        <w:t xml:space="preserve">The second phase is the document loading and the context window management. The AI builder loads the selected sections into its context window, and the loading must be managed because the context window, while large in the 2026 models with windows of one million tokens or more, is not infinite, and the loading of irrelevant content degrades the model's performance on the relevant content. Practitioner sources report that thirteen models now ship context windows of one million tokens or more, and that the large context windows reduce the dependence on retrieval-augmented generation for many use cases, because entire knowledge bases can be loaded directly. The recommended pattern is to load the most relevant sections in full, to load the less relevant sections as summaries, and to use retrieval-augmented generation for the reference material that is too large to load. The loading is verified by the builder, who confirms that the agent has the necessary context before the synthesis phase begins.</w:t>
      </w:r>
    </w:p>
    <w:p>
      <w:pPr>
        <w:pStyle w:val="Heading2"/>
        <w:spacing w:after="120" w:before="280" w:line="312"/>
      </w:pPr>
      <w:bookmarkStart w:id="100009" w:name="_Toc100009"/>
      <w:r>
        <w:rPr>
          <w:rFonts w:ascii="Arial" w:eastAsia="SimHei"/>
          <w:b/>
          <w:bCs/>
          <w:color w:val="0B1C2C"/>
          <w:sz w:val="28"/>
          <w:szCs w:val="28"/>
        </w:rPr>
        <w:t xml:space="preserve">4.3 Phase 3: Synthesis and Understanding Verification</w:t>
      </w:r>
      <w:bookmarkEnd w:id="100009"/>
    </w:p>
    <w:p>
      <w:pPr>
        <w:spacing w:after="120" w:line="312"/>
        <w:ind w:firstLine="360"/>
        <w:jc w:val="both"/>
      </w:pPr>
      <w:r>
        <w:rPr>
          <w:rFonts w:ascii="Times New Roman" w:eastAsia="SimSun"/>
          <w:color w:val="000000"/>
          <w:sz w:val="24"/>
          <w:szCs w:val="24"/>
        </w:rPr>
        <w:t xml:space="preserve">The third phase is the synthesis and the understanding verification. The AI builder is directed to produce a synthesis document that demonstrates its understanding of the loaded material, by summarizing the architecture, the data model, the stack, the operational disciplines, and the specific patterns that the system will implement. The synthesis is the artifact that gates the planning phase, and it is the artifact that prevents the builder from proceeding on a misunderstanding. The synthesis should include the system's problem statement, the ideal customer profile, the functional and non-functional requirements, the reference architecture, the data model, the security controls, the testing strategy, and the scalability and concurrency patterns. The synthesis is reviewed by the builder, and any misunderstanding is corrected by re-prompting before the planning phase begins. This phase is the most important of the consumption protocol, because it is the phase where the agent's understanding is verified, and it is the phase that most prevents the downstream defects that a misunderstanding would produce.</w:t>
      </w:r>
    </w:p>
    <w:p>
      <w:pPr>
        <w:pStyle w:val="Heading2"/>
        <w:spacing w:after="120" w:before="280" w:line="312"/>
      </w:pPr>
      <w:bookmarkStart w:id="100010" w:name="_Toc100010"/>
      <w:r>
        <w:rPr>
          <w:rFonts w:ascii="Arial" w:eastAsia="SimHei"/>
          <w:b/>
          <w:bCs/>
          <w:color w:val="0B1C2C"/>
          <w:sz w:val="28"/>
          <w:szCs w:val="28"/>
        </w:rPr>
        <w:t xml:space="preserve">4.4 Phase 4: Build Planning and Task Decomposition</w:t>
      </w:r>
      <w:bookmarkEnd w:id="100010"/>
    </w:p>
    <w:p>
      <w:pPr>
        <w:spacing w:after="120" w:line="312"/>
        <w:ind w:firstLine="360"/>
        <w:jc w:val="both"/>
      </w:pPr>
      <w:r>
        <w:rPr>
          <w:rFonts w:ascii="Times New Roman" w:eastAsia="SimSun"/>
          <w:color w:val="000000"/>
          <w:sz w:val="24"/>
          <w:szCs w:val="24"/>
        </w:rPr>
        <w:t xml:space="preserve">The fourth phase is the build planning and the task decomposition. The AI builder takes the synthesis from phase three and produces a task list that decomposes the build into atomic tasks, each with a defined input, a defined output, and a defined acceptance criterion. The task list is the artifact that gates the implementation, and it is the artifact that prevents the agent from improvising during the implementation. The task list should include the order of implementation, the dependencies between tasks, and the verification gate that each task must pass. The build planning phase is the phase described in the prompt guide's analysis phase, and it is the phase where the consumption protocol connects to the prompt architecture that directs the implementation.</w:t>
      </w:r>
    </w:p>
    <w:p>
      <w:pPr>
        <w:pStyle w:val="Heading2"/>
        <w:spacing w:after="120" w:before="280" w:line="312"/>
      </w:pPr>
      <w:bookmarkStart w:id="100011" w:name="_Toc100011"/>
      <w:r>
        <w:rPr>
          <w:rFonts w:ascii="Arial" w:eastAsia="SimHei"/>
          <w:b/>
          <w:bCs/>
          <w:color w:val="0B1C2C"/>
          <w:sz w:val="28"/>
          <w:szCs w:val="28"/>
        </w:rPr>
        <w:t xml:space="preserve">4.5 Phase 5: Implementation with Verification</w:t>
      </w:r>
      <w:bookmarkEnd w:id="100011"/>
    </w:p>
    <w:p>
      <w:pPr>
        <w:spacing w:after="120" w:line="312"/>
        <w:ind w:firstLine="360"/>
        <w:jc w:val="both"/>
      </w:pPr>
      <w:r>
        <w:rPr>
          <w:rFonts w:ascii="Times New Roman" w:eastAsia="SimSun"/>
          <w:color w:val="000000"/>
          <w:sz w:val="24"/>
          <w:szCs w:val="24"/>
        </w:rPr>
        <w:t xml:space="preserve">The fifth phase is the implementation with the verification. The AI builder executes the task list, implementing each task, running the verification gate, and proceeding to the next task only when the gate passes. The implementation phase is the phase described in the prompt guide's implementation phase, and it is the phase where the consumed understanding is converted into the working system. The verification gate is the mechanism that ensures the implementation matches the documented specification, and it is the mechanism that catches the defects at the time they are introduced, when they are cheapest to fix. The implementation phase continues until all tasks are complete and the system meets the documented standard.</w:t>
      </w:r>
    </w:p>
    <w:p>
      <w:pPr>
        <w:pStyle w:val="Heading2"/>
        <w:spacing w:after="120" w:before="280" w:line="312"/>
      </w:pPr>
      <w:bookmarkStart w:id="100012" w:name="_Toc100012"/>
      <w:r>
        <w:rPr>
          <w:rFonts w:ascii="Arial" w:eastAsia="SimHei"/>
          <w:b/>
          <w:bCs/>
          <w:color w:val="0B1C2C"/>
          <w:sz w:val="28"/>
          <w:szCs w:val="28"/>
        </w:rPr>
        <w:t xml:space="preserve">4.6 The Consumption Protocol as a Prompt</w:t>
      </w:r>
      <w:bookmarkEnd w:id="100012"/>
    </w:p>
    <w:p>
      <w:pPr>
        <w:spacing w:after="120" w:line="312"/>
        <w:ind w:firstLine="360"/>
        <w:jc w:val="both"/>
      </w:pPr>
      <w:r>
        <w:rPr>
          <w:rFonts w:ascii="Times New Roman" w:eastAsia="SimSun"/>
          <w:color w:val="000000"/>
          <w:sz w:val="24"/>
          <w:szCs w:val="24"/>
        </w:rPr>
        <w:t xml:space="preserve">The following prompt directs the AI builder to execute the consumption protocol. The prompt is the entry point for the build, and it is the prompt that the builder issues before any other prompt. The prompt specifies the five phases, the artifacts each phase produces, and the gates that govern the transitions.</w:t>
      </w:r>
    </w:p>
    <w:tbl>
      <w:tblPr>
        <w:tblW w:type="pct" w:w="100%"/>
        <w:tblBorders>
          <w:top w:val="single" w:color="3E6B62" w:sz="4"/>
          <w:left w:val="none" w:color="FFFFFF" w:sz="0"/>
          <w:bottom w:val="single" w:color="3E6B62" w:sz="4"/>
          <w:right w:val="none" w:color="FFFFFF" w:sz="0"/>
          <w:insideH w:val="none" w:color="FFFFFF" w:sz="0"/>
          <w:insideV w:val="none" w:color="FFFFFF" w:sz="0"/>
        </w:tblBorders>
        <w:tblLayout w:type="fixed"/>
      </w:tblPr>
      <w:tblGrid>
        <w:gridCol w:w="100"/>
      </w:tblGrid>
      <w:tr>
        <w:trPr>
          <w:cantSplit w:val="false"/>
        </w:trPr>
        <w:tc>
          <w:tcPr>
            <w:tcW w:type="pct" w:w="100%"/>
            <w:shd w:fill="F1F5F9" w:val="clear"/>
            <w:tcMar>
              <w:top w:type="dxa" w:w="120"/>
              <w:left w:type="dxa" w:w="200"/>
              <w:bottom w:type="dxa" w:w="120"/>
              <w:right w:type="dxa" w:w="200"/>
            </w:tcMar>
          </w:tcPr>
          <w:p>
            <w:pPr>
              <w:spacing w:after="0" w:line="280"/>
            </w:pPr>
            <w:r>
              <w:rPr>
                <w:rFonts w:ascii="Consolas" w:eastAsia="Consolas"/>
                <w:color w:val="1F2937"/>
                <w:sz w:val="19"/>
                <w:szCs w:val="19"/>
              </w:rPr>
              <w:t xml:space="preserve">ROLE: You are a senior full-stack engineer building a production-grade system.</w:t>
            </w:r>
          </w:p>
          <w:p>
            <w:pPr>
              <w:spacing w:after="0" w:line="280"/>
            </w:pPr>
            <w:r>
              <w:rPr>
                <w:rFonts w:ascii="Consolas" w:eastAsia="Consolas"/>
                <w:color w:val="1F2937"/>
                <w:sz w:val="19"/>
                <w:szCs w:val="19"/>
              </w:rPr>
              <w:t xml:space="preserve">Before you write any code, you must consume the four foundational documents</w:t>
            </w:r>
          </w:p>
          <w:p>
            <w:pPr>
              <w:spacing w:after="0" w:line="280"/>
            </w:pPr>
            <w:r>
              <w:rPr>
                <w:rFonts w:ascii="Consolas" w:eastAsia="Consolas"/>
                <w:color w:val="1F2937"/>
                <w:sz w:val="19"/>
                <w:szCs w:val="19"/>
              </w:rPr>
              <w:t xml:space="preserve">and demonstrate your understanding. You do not improvise; you implement</w:t>
            </w:r>
          </w:p>
          <w:p>
            <w:pPr>
              <w:spacing w:after="0" w:line="280"/>
            </w:pPr>
            <w:r>
              <w:rPr>
                <w:rFonts w:ascii="Consolas" w:eastAsia="Consolas"/>
                <w:color w:val="1F2937"/>
                <w:sz w:val="19"/>
                <w:szCs w:val="19"/>
              </w:rPr>
              <w:t xml:space="preserve">against the documented specification.</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THE FOUR DOCUMENTS (load the relevant sections):</w:t>
            </w:r>
          </w:p>
          <w:p>
            <w:pPr>
              <w:spacing w:after="0" w:line="280"/>
            </w:pPr>
            <w:r>
              <w:rPr>
                <w:rFonts w:ascii="Consolas" w:eastAsia="Consolas"/>
                <w:color w:val="1F2937"/>
                <w:sz w:val="19"/>
                <w:szCs w:val="19"/>
              </w:rPr>
              <w:t xml:space="preserve">1. Production-Ready Full-Stack Systems for Business (foundation)</w:t>
            </w:r>
          </w:p>
          <w:p>
            <w:pPr>
              <w:spacing w:after="0" w:line="280"/>
            </w:pPr>
            <w:r>
              <w:rPr>
                <w:rFonts w:ascii="Consolas" w:eastAsia="Consolas"/>
                <w:color w:val="1F2937"/>
                <w:sz w:val="19"/>
                <w:szCs w:val="19"/>
              </w:rPr>
              <w:t xml:space="preserve">   - Architecture, data models, SDLC, 8 system categories</w:t>
            </w:r>
          </w:p>
          <w:p>
            <w:pPr>
              <w:spacing w:after="0" w:line="280"/>
            </w:pPr>
            <w:r>
              <w:rPr>
                <w:rFonts w:ascii="Consolas" w:eastAsia="Consolas"/>
                <w:color w:val="1F2937"/>
                <w:sz w:val="19"/>
                <w:szCs w:val="19"/>
              </w:rPr>
              <w:t xml:space="preserve">2. Prompting AI Builder Agents (prompt guide)</w:t>
            </w:r>
          </w:p>
          <w:p>
            <w:pPr>
              <w:spacing w:after="0" w:line="280"/>
            </w:pPr>
            <w:r>
              <w:rPr>
                <w:rFonts w:ascii="Consolas" w:eastAsia="Consolas"/>
                <w:color w:val="1F2937"/>
                <w:sz w:val="19"/>
                <w:szCs w:val="19"/>
              </w:rPr>
              <w:t xml:space="preserve">   - Three-phase model, master prompt template, UI/UX standards</w:t>
            </w:r>
          </w:p>
          <w:p>
            <w:pPr>
              <w:spacing w:after="0" w:line="280"/>
            </w:pPr>
            <w:r>
              <w:rPr>
                <w:rFonts w:ascii="Consolas" w:eastAsia="Consolas"/>
                <w:color w:val="1F2937"/>
                <w:sz w:val="19"/>
                <w:szCs w:val="19"/>
              </w:rPr>
              <w:t xml:space="preserve">3. Technical Stack and Frontend-Backend Integration Guide (stack guide)</w:t>
            </w:r>
          </w:p>
          <w:p>
            <w:pPr>
              <w:spacing w:after="0" w:line="280"/>
            </w:pPr>
            <w:r>
              <w:rPr>
                <w:rFonts w:ascii="Consolas" w:eastAsia="Consolas"/>
                <w:color w:val="1F2937"/>
                <w:sz w:val="19"/>
                <w:szCs w:val="19"/>
              </w:rPr>
              <w:t xml:space="preserve">   - Database, cache, queue, search, storage, auth selection</w:t>
            </w:r>
          </w:p>
          <w:p>
            <w:pPr>
              <w:spacing w:after="0" w:line="280"/>
            </w:pPr>
            <w:r>
              <w:rPr>
                <w:rFonts w:ascii="Consolas" w:eastAsia="Consolas"/>
                <w:color w:val="1F2937"/>
                <w:sz w:val="19"/>
                <w:szCs w:val="19"/>
              </w:rPr>
              <w:t xml:space="preserve">   - tRPC integration contract, type-safe toolchain</w:t>
            </w:r>
          </w:p>
          <w:p>
            <w:pPr>
              <w:spacing w:after="0" w:line="280"/>
            </w:pPr>
            <w:r>
              <w:rPr>
                <w:rFonts w:ascii="Consolas" w:eastAsia="Consolas"/>
                <w:color w:val="1F2937"/>
                <w:sz w:val="19"/>
                <w:szCs w:val="19"/>
              </w:rPr>
              <w:t xml:space="preserve">4. System Analysis, Quality Engineering, and Operational Excellence</w:t>
            </w:r>
          </w:p>
          <w:p>
            <w:pPr>
              <w:spacing w:after="0" w:line="280"/>
            </w:pPr>
            <w:r>
              <w:rPr>
                <w:rFonts w:ascii="Consolas" w:eastAsia="Consolas"/>
                <w:color w:val="1F2937"/>
                <w:sz w:val="19"/>
                <w:szCs w:val="19"/>
              </w:rPr>
              <w:t xml:space="preserve">   - Requirements engineering, testing, DevOps, SRE, threat modeling,</w:t>
            </w:r>
          </w:p>
          <w:p>
            <w:pPr>
              <w:spacing w:after="0" w:line="280"/>
            </w:pPr>
            <w:r>
              <w:rPr>
                <w:rFonts w:ascii="Consolas" w:eastAsia="Consolas"/>
                <w:color w:val="1F2937"/>
                <w:sz w:val="19"/>
                <w:szCs w:val="19"/>
              </w:rPr>
              <w:t xml:space="preserve">     compliance, performance, ADRs, go-to-market, unit economics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PHASE 1 — DOCUMENT INVENTORY AND SELECTION:</w:t>
            </w:r>
          </w:p>
          <w:p>
            <w:pPr>
              <w:spacing w:after="0" w:line="280"/>
            </w:pPr>
            <w:r>
              <w:rPr>
                <w:rFonts w:ascii="Consolas" w:eastAsia="Consolas"/>
                <w:color w:val="1F2937"/>
                <w:sz w:val="19"/>
                <w:szCs w:val="19"/>
              </w:rPr>
              <w:t xml:space="preserve">- Enumerate the four documents.</w:t>
            </w:r>
          </w:p>
          <w:p>
            <w:pPr>
              <w:spacing w:after="0" w:line="280"/>
            </w:pPr>
            <w:r>
              <w:rPr>
                <w:rFonts w:ascii="Consolas" w:eastAsia="Consolas"/>
                <w:color w:val="1F2937"/>
                <w:sz w:val="19"/>
                <w:szCs w:val="19"/>
              </w:rPr>
              <w:t xml:space="preserve">- Identify the sections relevant to [the system being built].</w:t>
            </w:r>
          </w:p>
          <w:p>
            <w:pPr>
              <w:spacing w:after="0" w:line="280"/>
            </w:pPr>
            <w:r>
              <w:rPr>
                <w:rFonts w:ascii="Consolas" w:eastAsia="Consolas"/>
                <w:color w:val="1F2937"/>
                <w:sz w:val="19"/>
                <w:szCs w:val="19"/>
              </w:rPr>
              <w:t xml:space="preserve">- Produce a document inventory listing the sections to load.</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PHASE 2 — DOCUMENT LOADING:</w:t>
            </w:r>
          </w:p>
          <w:p>
            <w:pPr>
              <w:spacing w:after="0" w:line="280"/>
            </w:pPr>
            <w:r>
              <w:rPr>
                <w:rFonts w:ascii="Consolas" w:eastAsia="Consolas"/>
                <w:color w:val="1F2937"/>
                <w:sz w:val="19"/>
                <w:szCs w:val="19"/>
              </w:rPr>
              <w:t xml:space="preserve">- Load the selected sections into your context.</w:t>
            </w:r>
          </w:p>
          <w:p>
            <w:pPr>
              <w:spacing w:after="0" w:line="280"/>
            </w:pPr>
            <w:r>
              <w:rPr>
                <w:rFonts w:ascii="Consolas" w:eastAsia="Consolas"/>
                <w:color w:val="1F2937"/>
                <w:sz w:val="19"/>
                <w:szCs w:val="19"/>
              </w:rPr>
              <w:t xml:space="preserve">- Load the most relevant in full; load the less relevant as summaries.</w:t>
            </w:r>
          </w:p>
          <w:p>
            <w:pPr>
              <w:spacing w:after="0" w:line="280"/>
            </w:pPr>
            <w:r>
              <w:rPr>
                <w:rFonts w:ascii="Consolas" w:eastAsia="Consolas"/>
                <w:color w:val="1F2937"/>
                <w:sz w:val="19"/>
                <w:szCs w:val="19"/>
              </w:rPr>
              <w:t xml:space="preserve">- Confirm the loading is complete.</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PHASE 3 — SYNTHESIS AND UNDERSTANDING VERIFICATION:</w:t>
            </w:r>
          </w:p>
          <w:p>
            <w:pPr>
              <w:spacing w:after="0" w:line="280"/>
            </w:pPr>
            <w:r>
              <w:rPr>
                <w:rFonts w:ascii="Consolas" w:eastAsia="Consolas"/>
                <w:color w:val="1F2937"/>
                <w:sz w:val="19"/>
                <w:szCs w:val="19"/>
              </w:rPr>
              <w:t xml:space="preserve">- Produce a synthesis document that demonstrates your understanding:</w:t>
            </w:r>
          </w:p>
          <w:p>
            <w:pPr>
              <w:spacing w:after="0" w:line="280"/>
            </w:pPr>
            <w:r>
              <w:rPr>
                <w:rFonts w:ascii="Consolas" w:eastAsia="Consolas"/>
                <w:color w:val="1F2937"/>
                <w:sz w:val="19"/>
                <w:szCs w:val="19"/>
              </w:rPr>
              <w:t xml:space="preserve">  (a) The system's problem statement and ideal customer profile.</w:t>
            </w:r>
          </w:p>
          <w:p>
            <w:pPr>
              <w:spacing w:after="0" w:line="280"/>
            </w:pPr>
            <w:r>
              <w:rPr>
                <w:rFonts w:ascii="Consolas" w:eastAsia="Consolas"/>
                <w:color w:val="1F2937"/>
                <w:sz w:val="19"/>
                <w:szCs w:val="19"/>
              </w:rPr>
              <w:t xml:space="preserve">  (b) The functional and non-functional requirements.</w:t>
            </w:r>
          </w:p>
          <w:p>
            <w:pPr>
              <w:spacing w:after="0" w:line="280"/>
            </w:pPr>
            <w:r>
              <w:rPr>
                <w:rFonts w:ascii="Consolas" w:eastAsia="Consolas"/>
                <w:color w:val="1F2937"/>
                <w:sz w:val="19"/>
                <w:szCs w:val="19"/>
              </w:rPr>
              <w:t xml:space="preserve">  (c) The reference architecture and the data model.</w:t>
            </w:r>
          </w:p>
          <w:p>
            <w:pPr>
              <w:spacing w:after="0" w:line="280"/>
            </w:pPr>
            <w:r>
              <w:rPr>
                <w:rFonts w:ascii="Consolas" w:eastAsia="Consolas"/>
                <w:color w:val="1F2937"/>
                <w:sz w:val="19"/>
                <w:szCs w:val="19"/>
              </w:rPr>
              <w:t xml:space="preserve">  (d) The security controls and the testing strategy.</w:t>
            </w:r>
          </w:p>
          <w:p>
            <w:pPr>
              <w:spacing w:after="0" w:line="280"/>
            </w:pPr>
            <w:r>
              <w:rPr>
                <w:rFonts w:ascii="Consolas" w:eastAsia="Consolas"/>
                <w:color w:val="1F2937"/>
                <w:sz w:val="19"/>
                <w:szCs w:val="19"/>
              </w:rPr>
              <w:t xml:space="preserve">  (e) The scalability, concurrency, and multi-database patterns to implement.</w:t>
            </w:r>
          </w:p>
          <w:p>
            <w:pPr>
              <w:spacing w:after="0" w:line="280"/>
            </w:pPr>
            <w:r>
              <w:rPr>
                <w:rFonts w:ascii="Consolas" w:eastAsia="Consolas"/>
                <w:color w:val="1F2937"/>
                <w:sz w:val="19"/>
                <w:szCs w:val="19"/>
              </w:rPr>
              <w:t xml:space="preserve">- The builder reviews the synthesis and confirms it matches the documents.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PHASE 4 — BUILD PLANNING:</w:t>
            </w:r>
          </w:p>
          <w:p>
            <w:pPr>
              <w:spacing w:after="0" w:line="280"/>
            </w:pPr>
            <w:r>
              <w:rPr>
                <w:rFonts w:ascii="Consolas" w:eastAsia="Consolas"/>
                <w:color w:val="1F2937"/>
                <w:sz w:val="19"/>
                <w:szCs w:val="19"/>
              </w:rPr>
              <w:t xml:space="preserve">- Decompose the build into atomic tasks with inputs, outputs, and acceptance criteria.</w:t>
            </w:r>
          </w:p>
          <w:p>
            <w:pPr>
              <w:spacing w:after="0" w:line="280"/>
            </w:pPr>
            <w:r>
              <w:rPr>
                <w:rFonts w:ascii="Consolas" w:eastAsia="Consolas"/>
                <w:color w:val="1F2937"/>
                <w:sz w:val="19"/>
                <w:szCs w:val="19"/>
              </w:rPr>
              <w:t xml:space="preserve">- The builder reviews and approves the task list.</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PHASE 5 — IMPLEMENTATION WITH VERIFICATION:</w:t>
            </w:r>
          </w:p>
          <w:p>
            <w:pPr>
              <w:spacing w:after="0" w:line="280"/>
            </w:pPr>
            <w:r>
              <w:rPr>
                <w:rFonts w:ascii="Consolas" w:eastAsia="Consolas"/>
                <w:color w:val="1F2937"/>
                <w:sz w:val="19"/>
                <w:szCs w:val="19"/>
              </w:rPr>
              <w:t xml:space="preserve">- Implement each task, run the verification gate, proceed only on pass.</w:t>
            </w:r>
          </w:p>
          <w:p>
            <w:pPr>
              <w:spacing w:after="0" w:line="280"/>
            </w:pPr>
            <w:r>
              <w:rPr>
                <w:rFonts w:ascii="Consolas" w:eastAsia="Consolas"/>
                <w:color w:val="1F2937"/>
                <w:sz w:val="19"/>
                <w:szCs w:val="19"/>
              </w:rPr>
              <w:t xml:space="preserve">- Do not proceed past a failed gate.</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CONSTRAINT: Do not write any code until the synthesis (Phase 3) is approved.</w:t>
            </w:r>
          </w:p>
        </w:tc>
      </w:tr>
    </w:tbl>
    <w:p>
      <w:pPr>
        <w:pStyle w:val="Heading1"/>
        <w:spacing w:after="160" w:before="360" w:line="312"/>
      </w:pPr>
      <w:bookmarkStart w:id="100013" w:name="_Toc100013"/>
      <w:r>
        <w:rPr>
          <w:rFonts w:ascii="Arial" w:eastAsia="SimHei"/>
          <w:b/>
          <w:bCs/>
          <w:color w:val="0B1C2C"/>
          <w:sz w:val="32"/>
          <w:szCs w:val="32"/>
        </w:rPr>
        <w:t xml:space="preserve">5. Scalability and Traffic Management</w:t>
      </w:r>
      <w:bookmarkEnd w:id="100013"/>
    </w:p>
    <w:p>
      <w:pPr>
        <w:spacing w:after="120" w:line="312"/>
        <w:ind w:firstLine="360"/>
        <w:jc w:val="both"/>
      </w:pPr>
      <w:r>
        <w:rPr>
          <w:rFonts w:ascii="Times New Roman" w:eastAsia="SimSun"/>
          <w:color w:val="000000"/>
          <w:sz w:val="24"/>
          <w:szCs w:val="24"/>
        </w:rPr>
        <w:t xml:space="preserve">Scalability is the property of the system to handle increasing load without degradation, and it is the property that the user's question about overload and downtime addresses. A system that cannot scale will, at some load level, become slow, then unresponsive, then unavailable, and the failure mode is the failure mode that destroys user trust and that produces the incidents that the SRE discipline must respond to. The scalability is achieved through a combination of load balancing, auto-scaling, rate limiting, caching, and the circuit breaker pattern, and each is a discipline that the AI builder must be directed to implement. This section covers each discipline with the depth the builder needs.</w:t>
      </w:r>
    </w:p>
    <w:p>
      <w:pPr>
        <w:pStyle w:val="Heading2"/>
        <w:spacing w:after="120" w:before="280" w:line="312"/>
      </w:pPr>
      <w:bookmarkStart w:id="100014" w:name="_Toc100014"/>
      <w:r>
        <w:rPr>
          <w:rFonts w:ascii="Arial" w:eastAsia="SimHei"/>
          <w:b/>
          <w:bCs/>
          <w:color w:val="0B1C2C"/>
          <w:sz w:val="28"/>
          <w:szCs w:val="28"/>
        </w:rPr>
        <w:t xml:space="preserve">5.1 Load Balancing</w:t>
      </w:r>
      <w:bookmarkEnd w:id="100014"/>
    </w:p>
    <w:p>
      <w:pPr>
        <w:spacing w:after="120" w:line="312"/>
        <w:ind w:firstLine="360"/>
        <w:jc w:val="both"/>
      </w:pPr>
      <w:r>
        <w:rPr>
          <w:rFonts w:ascii="Times New Roman" w:eastAsia="SimSun"/>
          <w:color w:val="000000"/>
          <w:sz w:val="24"/>
          <w:szCs w:val="24"/>
        </w:rPr>
        <w:t xml:space="preserve">Load balancing is the distribution of incoming traffic across multiple servers, and it is the discipline that prevents any single server from becoming the bottleneck. The load balancer is the component that receives the incoming requests and routes them to the available servers, using a scheduling algorithm such as round-robin, least-connections, or IP-hash. The load balancer also performs the health checks that detect failed servers and that route traffic away from them, and it performs the SSL termination that offloads the encryption from the application servers. Practitioner sources report that the load balancer is one of the most critical components in the path, and that the wrong load balancer will surface its limitations at the worst time, usually during an incident. The recommendation for a production system is a managed load balancer, such as the AWS Application Load Balancer, the Google Cloud Load Balancer, or the Azure Load Balancer, with Cloudflare or a comparable content delivery network at the edge for the global traffic distribution. The AI builder should be directed to provision the load balancer through the infrastructure-as-code, to configure the health checks, and to verify the load distribution under load testing.</w:t>
      </w:r>
    </w:p>
    <w:p>
      <w:pPr>
        <w:pStyle w:val="Heading2"/>
        <w:spacing w:after="120" w:before="280" w:line="312"/>
      </w:pPr>
      <w:bookmarkStart w:id="100015" w:name="_Toc100015"/>
      <w:r>
        <w:rPr>
          <w:rFonts w:ascii="Arial" w:eastAsia="SimHei"/>
          <w:b/>
          <w:bCs/>
          <w:color w:val="0B1C2C"/>
          <w:sz w:val="28"/>
          <w:szCs w:val="28"/>
        </w:rPr>
        <w:t xml:space="preserve">5.2 Auto-Scaling</w:t>
      </w:r>
      <w:bookmarkEnd w:id="100015"/>
    </w:p>
    <w:p>
      <w:pPr>
        <w:spacing w:after="120" w:line="312"/>
        <w:ind w:firstLine="360"/>
        <w:jc w:val="both"/>
      </w:pPr>
      <w:r>
        <w:rPr>
          <w:rFonts w:ascii="Times New Roman" w:eastAsia="SimSun"/>
          <w:color w:val="000000"/>
          <w:sz w:val="24"/>
          <w:szCs w:val="24"/>
        </w:rPr>
        <w:t xml:space="preserve">Auto-scaling is the dynamic adjustment of the number of application instances in response to the load, and it is the discipline that allows the system to handle the traffic spikes without over-provisioning for the average load. The auto-scaling is configured with a scaling policy that specifies the metric to monitor, such as the CPU utilization or the request queue depth, the threshold that triggers the scaling, and the minimum and maximum number of instances. The auto-scaling adds instances when the metric exceeds the threshold and removes instances when it falls below, and it does so with a cooldown period to prevent the thrashing that rapid scaling and de-scaling would produce. The AI builder should be directed to configure the auto-scaling through the infrastructure-as-code, to set the scaling policy based on the system's load profile, and to verify the scaling behavior under load testing. The auto-scaling is the complement to the load balancing, because the load balancer distributes the traffic and the auto-scaling ensures there are enough servers to handle it.</w:t>
      </w:r>
    </w:p>
    <w:p>
      <w:pPr>
        <w:pStyle w:val="Heading2"/>
        <w:spacing w:after="120" w:before="280" w:line="312"/>
      </w:pPr>
      <w:bookmarkStart w:id="100016" w:name="_Toc100016"/>
      <w:r>
        <w:rPr>
          <w:rFonts w:ascii="Arial" w:eastAsia="SimHei"/>
          <w:b/>
          <w:bCs/>
          <w:color w:val="0B1C2C"/>
          <w:sz w:val="28"/>
          <w:szCs w:val="28"/>
        </w:rPr>
        <w:t xml:space="preserve">5.3 Rate Limiting</w:t>
      </w:r>
      <w:bookmarkEnd w:id="100016"/>
    </w:p>
    <w:p>
      <w:pPr>
        <w:spacing w:after="120" w:line="312"/>
        <w:ind w:firstLine="360"/>
        <w:jc w:val="both"/>
      </w:pPr>
      <w:r>
        <w:rPr>
          <w:rFonts w:ascii="Times New Roman" w:eastAsia="SimSun"/>
          <w:color w:val="000000"/>
          <w:sz w:val="24"/>
          <w:szCs w:val="24"/>
        </w:rPr>
        <w:t xml:space="preserve">Rate limiting is the control of the rate at which a client, whether a user or an API consumer, can submit requests, and it is the discipline that prevents the abuse, the accidental overload, and the denial-of-service that a single client can produce. The rate limiting is implemented at the API gateway or at the load balancer, and it uses a token bucket or a sliding window algorithm to enforce the limit. The limit is typically per-client, identified by the IP address or the API key, and it is set to a level that allows legitimate use while preventing abuse. The rate limiting returns a 429 Too Many Requests status when the limit is exceeded, with a Retry-After header that tells the client when to retry. The AI builder should be directed to implement the rate limiting at the API gateway, to set the limits based on the system's capacity and the legitimate use patterns, and to verify the limiting under load testing. The rate limiting is the discipline that protects the system from the overload that a single client can produce, and it is the discipline that the user's question about overload directly addresses.</w:t>
      </w:r>
    </w:p>
    <w:p>
      <w:pPr>
        <w:pStyle w:val="Heading2"/>
        <w:spacing w:after="120" w:before="280" w:line="312"/>
      </w:pPr>
      <w:bookmarkStart w:id="100017" w:name="_Toc100017"/>
      <w:r>
        <w:rPr>
          <w:rFonts w:ascii="Arial" w:eastAsia="SimHei"/>
          <w:b/>
          <w:bCs/>
          <w:color w:val="0B1C2C"/>
          <w:sz w:val="28"/>
          <w:szCs w:val="28"/>
        </w:rPr>
        <w:t xml:space="preserve">5.4 Caching Strategies</w:t>
      </w:r>
      <w:bookmarkEnd w:id="100017"/>
    </w:p>
    <w:p>
      <w:pPr>
        <w:spacing w:after="120" w:line="312"/>
        <w:ind w:firstLine="360"/>
        <w:jc w:val="both"/>
      </w:pPr>
      <w:r>
        <w:rPr>
          <w:rFonts w:ascii="Times New Roman" w:eastAsia="SimSun"/>
          <w:color w:val="000000"/>
          <w:sz w:val="24"/>
          <w:szCs w:val="24"/>
        </w:rPr>
        <w:t xml:space="preserve">Caching is the storage of frequently accessed data in a fast, low-latency store, and it is the discipline that reduces the database load and the response latency. The cache is implemented with Redis or a comparable in-memory store, and it uses one of several strategies: the cache-aside strategy, where the application reads from the cache and, on a miss, reads from the database and writes to the cache; the write-through strategy, where the application writes to the cache and the cache writes to the database synchronously; and the write-behind strategy, where the application writes to the cache and the cache writes to the database asynchronously. The cache-aside is the most common and the simplest, and it is the recommended starting point. The write-through and the write-behind are used when the write latency or the write throughput is a concern. The AI builder should be directed to implement the caching for the hot-path data, to set the cache expiration based on the data's volatility, and to verify the cache hit rate under load testing. The caching is the discipline that most reduces the database load, and it is the discipline that allows the system to handle the read-heavy workloads that dominate most web applications.</w:t>
      </w:r>
    </w:p>
    <w:p>
      <w:pPr>
        <w:pStyle w:val="Heading2"/>
        <w:spacing w:after="120" w:before="280" w:line="312"/>
      </w:pPr>
      <w:bookmarkStart w:id="100018" w:name="_Toc100018"/>
      <w:r>
        <w:rPr>
          <w:rFonts w:ascii="Arial" w:eastAsia="SimHei"/>
          <w:b/>
          <w:bCs/>
          <w:color w:val="0B1C2C"/>
          <w:sz w:val="28"/>
          <w:szCs w:val="28"/>
        </w:rPr>
        <w:t xml:space="preserve">5.5 The Circuit Breaker Pattern</w:t>
      </w:r>
      <w:bookmarkEnd w:id="100018"/>
    </w:p>
    <w:p>
      <w:pPr>
        <w:spacing w:after="120" w:line="312"/>
        <w:ind w:firstLine="360"/>
        <w:jc w:val="both"/>
      </w:pPr>
      <w:r>
        <w:rPr>
          <w:rFonts w:ascii="Times New Roman" w:eastAsia="SimSun"/>
          <w:color w:val="000000"/>
          <w:sz w:val="24"/>
          <w:szCs w:val="24"/>
        </w:rPr>
        <w:t xml:space="preserve">The circuit breaker is the pattern that prevents the cascading failure that occurs when a downstream service fails and the upstream service's requests pile up waiting for the response. The circuit breaker monitors the failure rate of the calls to the downstream service, and when the failure rate exceeds a threshold, the circuit opens, and subsequent calls fail fast rather than waiting. The circuit remains open for a cooldown period, after which it enters a half-open state, where a limited number of calls are allowed to test whether the downstream service has recovered. If the test calls succeed, the circuit closes and the normal operation resumes; if they fail, the circuit reopens. The circuit breaker is the pattern that contains the failure to the failing service and that prevents the failure from propagating to the rest of the system. The AI builder should be directed to implement the circuit breaker for the calls to the external services, the payment processors, the email providers, and the model providers, and to configure the failure thresholds and the cooldown periods based on the service's reliability.</w:t>
      </w:r>
    </w:p>
    <w:p>
      <w:pPr>
        <w:pStyle w:val="Heading1"/>
        <w:spacing w:after="160" w:before="360" w:line="312"/>
      </w:pPr>
      <w:bookmarkStart w:id="100019" w:name="_Toc100019"/>
      <w:r>
        <w:rPr>
          <w:rFonts w:ascii="Arial" w:eastAsia="SimHei"/>
          <w:b/>
          <w:bCs/>
          <w:color w:val="0B1C2C"/>
          <w:sz w:val="32"/>
          <w:szCs w:val="32"/>
        </w:rPr>
        <w:t xml:space="preserve">6. Concurrency Control: Preventing Input Conflicts and Double Entries</w:t>
      </w:r>
      <w:bookmarkEnd w:id="100019"/>
    </w:p>
    <w:p>
      <w:pPr>
        <w:spacing w:after="120" w:line="312"/>
        <w:ind w:firstLine="360"/>
        <w:jc w:val="both"/>
      </w:pPr>
      <w:r>
        <w:rPr>
          <w:rFonts w:ascii="Times New Roman" w:eastAsia="SimSun"/>
          <w:color w:val="000000"/>
          <w:sz w:val="24"/>
          <w:szCs w:val="24"/>
        </w:rPr>
        <w:t xml:space="preserve">Concurrency control is the discipline of coordinating simultaneous access to shared data so that conflicts are prevented or resolved, and it is the discipline that the user's question about input conflicts and double entries addresses. The concern is real and is the most common cause of data corruption in a multi-user system. When two users submit the same form simultaneously, when a network retry submits the same request twice, or when a user clicks the submit button multiple times, the system must prevent the double entry and the data corruption that would result. The concurrency control is achieved through a combination of locking strategies, idempotency patterns, and the distributed transaction patterns, and each is a discipline that the AI builder must be directed to implement.</w:t>
      </w:r>
    </w:p>
    <w:p>
      <w:pPr>
        <w:pStyle w:val="Heading2"/>
        <w:spacing w:after="120" w:before="280" w:line="312"/>
      </w:pPr>
      <w:bookmarkStart w:id="100020" w:name="_Toc100020"/>
      <w:r>
        <w:rPr>
          <w:rFonts w:ascii="Arial" w:eastAsia="SimHei"/>
          <w:b/>
          <w:bCs/>
          <w:color w:val="0B1C2C"/>
          <w:sz w:val="28"/>
          <w:szCs w:val="28"/>
        </w:rPr>
        <w:t xml:space="preserve">6.1 Optimistic Locking</w:t>
      </w:r>
      <w:bookmarkEnd w:id="100020"/>
    </w:p>
    <w:p>
      <w:pPr>
        <w:spacing w:after="120" w:line="312"/>
        <w:ind w:firstLine="360"/>
        <w:jc w:val="both"/>
      </w:pPr>
      <w:r>
        <w:rPr>
          <w:rFonts w:ascii="Times New Roman" w:eastAsia="SimSun"/>
          <w:color w:val="000000"/>
          <w:sz w:val="24"/>
          <w:szCs w:val="24"/>
        </w:rPr>
        <w:t xml:space="preserve">Optimistic locking is the strategy that assumes conflicts are rare and that checks for conflicts at the time of the update rather than locking the resource upfront. The implementation uses a version field on each record, and the update includes the version in the WHERE clause, so that the update succeeds only if the version has not changed since the record was read. If the update affects zero rows, the application knows that the record was modified by another process, and it can retry or report the conflict. Practitioner sources recommend optimistic locking as the starting point for most concurrency control, because it is the simplest, requires no extra infrastructure, and scales the best. The AI builder should be directed to implement the optimistic locking with a version field on every entity that is subject to concurrent updates, and to handle the conflict by retrying or by reporting the conflict to the user.</w:t>
      </w:r>
    </w:p>
    <w:p>
      <w:pPr>
        <w:pStyle w:val="Heading2"/>
        <w:spacing w:after="120" w:before="280" w:line="312"/>
      </w:pPr>
      <w:bookmarkStart w:id="100021" w:name="_Toc100021"/>
      <w:r>
        <w:rPr>
          <w:rFonts w:ascii="Arial" w:eastAsia="SimHei"/>
          <w:b/>
          <w:bCs/>
          <w:color w:val="0B1C2C"/>
          <w:sz w:val="28"/>
          <w:szCs w:val="28"/>
        </w:rPr>
        <w:t xml:space="preserve">6.2 Pessimistic Locking</w:t>
      </w:r>
      <w:bookmarkEnd w:id="100021"/>
    </w:p>
    <w:p>
      <w:pPr>
        <w:spacing w:after="120" w:line="312"/>
        <w:ind w:firstLine="360"/>
        <w:jc w:val="both"/>
      </w:pPr>
      <w:r>
        <w:rPr>
          <w:rFonts w:ascii="Times New Roman" w:eastAsia="SimSun"/>
          <w:color w:val="000000"/>
          <w:sz w:val="24"/>
          <w:szCs w:val="24"/>
        </w:rPr>
        <w:t xml:space="preserve">Pessimistic locking is the strategy that assumes conflicts are likely and that locks the resource upfront, before the operation begins, so that no other process can modify it until the lock is released. The implementation uses the database's SELECT FOR UPDATE statement, which acquires a row-level lock that is held until the transaction commits or rolls back. The pessimistic locking is suitable when conflicts are expected frequently, when the operation is short, and when the cost of a retry is high. The pessimistic locking has the disadvantage that it can produce deadlocks, where two transactions each hold a lock that the other needs, and the database must detect and resolve the deadlock by aborting one of the transactions. The AI builder should be directed to use the pessimistic locking selectively, for the operations where the conflicts are likely and the cost of a retry is high, and to implement the deadlock detection and the retry.</w:t>
      </w:r>
    </w:p>
    <w:p>
      <w:pPr>
        <w:pStyle w:val="Heading2"/>
        <w:spacing w:after="120" w:before="280" w:line="312"/>
      </w:pPr>
      <w:bookmarkStart w:id="100022" w:name="_Toc100022"/>
      <w:r>
        <w:rPr>
          <w:rFonts w:ascii="Arial" w:eastAsia="SimHei"/>
          <w:b/>
          <w:bCs/>
          <w:color w:val="0B1C2C"/>
          <w:sz w:val="28"/>
          <w:szCs w:val="28"/>
        </w:rPr>
        <w:t xml:space="preserve">6.3 Distributed Locks with Redis</w:t>
      </w:r>
      <w:bookmarkEnd w:id="100022"/>
    </w:p>
    <w:p>
      <w:pPr>
        <w:spacing w:after="120" w:line="312"/>
        <w:ind w:firstLine="360"/>
        <w:jc w:val="both"/>
      </w:pPr>
      <w:r>
        <w:rPr>
          <w:rFonts w:ascii="Times New Roman" w:eastAsia="SimSun"/>
          <w:color w:val="000000"/>
          <w:sz w:val="24"/>
          <w:szCs w:val="24"/>
        </w:rPr>
        <w:t xml:space="preserve">The distributed lock is the lock that works across multiple application instances, and it is the lock that is needed when the application runs on multiple servers and the database's row-level lock is not sufficient. The distributed lock is implemented with Redis, using the SET NX command to acquire the lock and the DEL command to release it, with a time-to-live that ensures the lock is released if the holder crashes. The distributed lock is the pattern that the booking system uses to prevent two customers from booking the same slot simultaneously, and it is the pattern that the inventory system uses to prevent two orders from overselling the last item. Practitioner sources recommend the Redis SET NX for the general-purpose distributed coordination, with the Redlock algorithm or the etcd and Consul for the cases where the strong mutual exclusion guarantees are required, such as the financial transactions. The AI builder should be directed to implement the distributed lock for the resources that are subject to concurrent access across instances, and to handle the lock acquisition failure by retrying or by reporting the conflict.</w:t>
      </w:r>
    </w:p>
    <w:p>
      <w:pPr>
        <w:pStyle w:val="Heading2"/>
        <w:spacing w:after="120" w:before="280" w:line="312"/>
      </w:pPr>
      <w:bookmarkStart w:id="100023" w:name="_Toc100023"/>
      <w:r>
        <w:rPr>
          <w:rFonts w:ascii="Arial" w:eastAsia="SimHei"/>
          <w:b/>
          <w:bCs/>
          <w:color w:val="0B1C2C"/>
          <w:sz w:val="28"/>
          <w:szCs w:val="28"/>
        </w:rPr>
        <w:t xml:space="preserve">6.4 Idempotency: Preventing Double Entries</w:t>
      </w:r>
      <w:bookmarkEnd w:id="100023"/>
    </w:p>
    <w:p>
      <w:pPr>
        <w:spacing w:after="120" w:line="312"/>
        <w:ind w:firstLine="360"/>
        <w:jc w:val="both"/>
      </w:pPr>
      <w:r>
        <w:rPr>
          <w:rFonts w:ascii="Times New Roman" w:eastAsia="SimSun"/>
          <w:color w:val="000000"/>
          <w:sz w:val="24"/>
          <w:szCs w:val="24"/>
        </w:rPr>
        <w:t xml:space="preserve">Idempotency is the property that an operation produces the same result whether it is executed once or multiple times, and it is the property that prevents the double entries that network retries and user impatience produce. The implementation uses an idempotency key, a unique identifier that the client generates and sends with the request, and the server checks the key before processing the request. If the key has been seen before, the server returns the cached result of the previous processing rather than processing the request again; if the key is new, the server processes the request and caches the result with the key. The idempotency is the pattern that the e-commerce checkout uses to prevent a duplicate order when the network retries the payment, and it is the pattern that the booking system uses to prevent a duplicate booking when the user clicks the submit button multiple times. The AI builder should be directed to implement the idempotency for every endpoint that creates or modifies data, using a unique idempotency key sent by the client, and to cache the result with the key for the duration that a retry is possible.</w:t>
      </w:r>
    </w:p>
    <w:tbl>
      <w:tblPr>
        <w:tblW w:type="pct" w:w="100%"/>
        <w:tblBorders>
          <w:top w:val="single" w:color="3E6B62" w:sz="4"/>
          <w:left w:val="none" w:color="FFFFFF" w:sz="0"/>
          <w:bottom w:val="single" w:color="3E6B62" w:sz="4"/>
          <w:right w:val="none" w:color="FFFFFF" w:sz="0"/>
          <w:insideH w:val="none" w:color="FFFFFF" w:sz="0"/>
          <w:insideV w:val="none" w:color="FFFFFF" w:sz="0"/>
        </w:tblBorders>
        <w:tblLayout w:type="fixed"/>
      </w:tblPr>
      <w:tblGrid>
        <w:gridCol w:w="100"/>
      </w:tblGrid>
      <w:tr>
        <w:trPr>
          <w:cantSplit w:val="false"/>
        </w:trPr>
        <w:tc>
          <w:tcPr>
            <w:tcW w:type="pct" w:w="100%"/>
            <w:shd w:fill="F1F5F9" w:val="clear"/>
            <w:tcMar>
              <w:top w:type="dxa" w:w="120"/>
              <w:left w:type="dxa" w:w="200"/>
              <w:bottom w:type="dxa" w:w="120"/>
              <w:right w:type="dxa" w:w="200"/>
            </w:tcMar>
          </w:tcPr>
          <w:p>
            <w:pPr>
              <w:spacing w:after="0" w:line="280"/>
            </w:pPr>
            <w:r>
              <w:rPr>
                <w:rFonts w:ascii="Consolas" w:eastAsia="Consolas"/>
                <w:color w:val="1F2937"/>
                <w:sz w:val="19"/>
                <w:szCs w:val="19"/>
              </w:rPr>
              <w:t xml:space="preserve">// Idempotency middleware pattern (Node.js / Next.js example)</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The client sends an Idempotency-Key header with each POST/PUT request.</w:t>
            </w:r>
          </w:p>
          <w:p>
            <w:pPr>
              <w:spacing w:after="0" w:line="280"/>
            </w:pPr>
            <w:r>
              <w:rPr>
                <w:rFonts w:ascii="Consolas" w:eastAsia="Consolas"/>
                <w:color w:val="1F2937"/>
                <w:sz w:val="19"/>
                <w:szCs w:val="19"/>
              </w:rPr>
              <w:t xml:space="preserve">// The server checks the key in Redis before processing.</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async function withIdempotency(req, res, next) {</w:t>
            </w:r>
          </w:p>
          <w:p>
            <w:pPr>
              <w:spacing w:after="0" w:line="280"/>
            </w:pPr>
            <w:r>
              <w:rPr>
                <w:rFonts w:ascii="Consolas" w:eastAsia="Consolas"/>
                <w:color w:val="1F2937"/>
                <w:sz w:val="19"/>
                <w:szCs w:val="19"/>
              </w:rPr>
              <w:t xml:space="preserve">  if (req.method !== 'POST' &amp;&amp; req.method !== 'PUT') return next();</w:t>
            </w:r>
          </w:p>
          <w:p>
            <w:pPr>
              <w:spacing w:after="0" w:line="280"/>
            </w:pPr>
            <w:r>
              <w:rPr>
                <w:rFonts w:ascii="Consolas" w:eastAsia="Consolas"/>
                <w:color w:val="1F2937"/>
                <w:sz w:val="19"/>
                <w:szCs w:val="19"/>
              </w:rPr>
              <w:t xml:space="preserve">  const key = req.headers['idempotency-key'];</w:t>
            </w:r>
          </w:p>
          <w:p>
            <w:pPr>
              <w:spacing w:after="0" w:line="280"/>
            </w:pPr>
            <w:r>
              <w:rPr>
                <w:rFonts w:ascii="Consolas" w:eastAsia="Consolas"/>
                <w:color w:val="1F2937"/>
                <w:sz w:val="19"/>
                <w:szCs w:val="19"/>
              </w:rPr>
              <w:t xml:space="preserve">  if (!key) return next(); // or reject, depending on policy</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 Try to set the key in Redis with NX (only if not exists)</w:t>
            </w:r>
          </w:p>
          <w:p>
            <w:pPr>
              <w:spacing w:after="0" w:line="280"/>
            </w:pPr>
            <w:r>
              <w:rPr>
                <w:rFonts w:ascii="Consolas" w:eastAsia="Consolas"/>
                <w:color w:val="1F2937"/>
                <w:sz w:val="19"/>
                <w:szCs w:val="19"/>
              </w:rPr>
              <w:t xml:space="preserve">  const acquired = await redis.set('idem:' + key, 'processing', 'NX', 'EX', 86400);</w:t>
            </w:r>
          </w:p>
          <w:p>
            <w:pPr>
              <w:spacing w:after="0" w:line="280"/>
            </w:pPr>
            <w:r>
              <w:rPr>
                <w:rFonts w:ascii="Consolas" w:eastAsia="Consolas"/>
                <w:color w:val="1F2937"/>
                <w:sz w:val="19"/>
                <w:szCs w:val="19"/>
              </w:rPr>
              <w:t xml:space="preserve">  if (!acquired) {</w:t>
            </w:r>
          </w:p>
          <w:p>
            <w:pPr>
              <w:spacing w:after="0" w:line="280"/>
            </w:pPr>
            <w:r>
              <w:rPr>
                <w:rFonts w:ascii="Consolas" w:eastAsia="Consolas"/>
                <w:color w:val="1F2937"/>
                <w:sz w:val="19"/>
                <w:szCs w:val="19"/>
              </w:rPr>
              <w:t xml:space="preserve">    // Key exists -- return the cached response</w:t>
            </w:r>
          </w:p>
          <w:p>
            <w:pPr>
              <w:spacing w:after="0" w:line="280"/>
            </w:pPr>
            <w:r>
              <w:rPr>
                <w:rFonts w:ascii="Consolas" w:eastAsia="Consolas"/>
                <w:color w:val="1F2937"/>
                <w:sz w:val="19"/>
                <w:szCs w:val="19"/>
              </w:rPr>
              <w:t xml:space="preserve">    const cached = await redis.get('idem:result:' + key);</w:t>
            </w:r>
          </w:p>
          <w:p>
            <w:pPr>
              <w:spacing w:after="0" w:line="280"/>
            </w:pPr>
            <w:r>
              <w:rPr>
                <w:rFonts w:ascii="Consolas" w:eastAsia="Consolas"/>
                <w:color w:val="1F2937"/>
                <w:sz w:val="19"/>
                <w:szCs w:val="19"/>
              </w:rPr>
              <w:t xml:space="preserve">    if (cached) return res.status(200).json(JSON.parse(cached));</w:t>
            </w:r>
          </w:p>
          <w:p>
            <w:pPr>
              <w:spacing w:after="0" w:line="280"/>
            </w:pPr>
            <w:r>
              <w:rPr>
                <w:rFonts w:ascii="Consolas" w:eastAsia="Consolas"/>
                <w:color w:val="1F2937"/>
                <w:sz w:val="19"/>
                <w:szCs w:val="19"/>
              </w:rPr>
              <w:t xml:space="preserve">    // Still processing -- tell the client to retry</w:t>
            </w:r>
          </w:p>
          <w:p>
            <w:pPr>
              <w:spacing w:after="0" w:line="280"/>
            </w:pPr>
            <w:r>
              <w:rPr>
                <w:rFonts w:ascii="Consolas" w:eastAsia="Consolas"/>
                <w:color w:val="1F2937"/>
                <w:sz w:val="19"/>
                <w:szCs w:val="19"/>
              </w:rPr>
              <w:t xml:space="preserve">    return res.status(409).json({ error: 'request_in_progress' });</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 Wrap res.json to cache the response</w:t>
            </w:r>
          </w:p>
          <w:p>
            <w:pPr>
              <w:spacing w:after="0" w:line="280"/>
            </w:pPr>
            <w:r>
              <w:rPr>
                <w:rFonts w:ascii="Consolas" w:eastAsia="Consolas"/>
                <w:color w:val="1F2937"/>
                <w:sz w:val="19"/>
                <w:szCs w:val="19"/>
              </w:rPr>
              <w:t xml:space="preserve">  const originalJson = res.json.bind(res);</w:t>
            </w:r>
          </w:p>
          <w:p>
            <w:pPr>
              <w:spacing w:after="0" w:line="280"/>
            </w:pPr>
            <w:r>
              <w:rPr>
                <w:rFonts w:ascii="Consolas" w:eastAsia="Consolas"/>
                <w:color w:val="1F2937"/>
                <w:sz w:val="19"/>
                <w:szCs w:val="19"/>
              </w:rPr>
              <w:t xml:space="preserve">  res.json = async (body) =&gt; {</w:t>
            </w:r>
          </w:p>
          <w:p>
            <w:pPr>
              <w:spacing w:after="0" w:line="280"/>
            </w:pPr>
            <w:r>
              <w:rPr>
                <w:rFonts w:ascii="Consolas" w:eastAsia="Consolas"/>
                <w:color w:val="1F2937"/>
                <w:sz w:val="19"/>
                <w:szCs w:val="19"/>
              </w:rPr>
              <w:t xml:space="preserve">    await redis.set('idem:result:' + key, JSON.stringify(body), 'EX', 86400);</w:t>
            </w:r>
          </w:p>
          <w:p>
            <w:pPr>
              <w:spacing w:after="0" w:line="280"/>
            </w:pPr>
            <w:r>
              <w:rPr>
                <w:rFonts w:ascii="Consolas" w:eastAsia="Consolas"/>
                <w:color w:val="1F2937"/>
                <w:sz w:val="19"/>
                <w:szCs w:val="19"/>
              </w:rPr>
              <w:t xml:space="preserve">    return originalJson(body);</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next();</w:t>
            </w:r>
          </w:p>
          <w:p>
            <w:pPr>
              <w:spacing w:after="0" w:line="280"/>
            </w:pPr>
            <w:r>
              <w:rPr>
                <w:rFonts w:ascii="Consolas" w:eastAsia="Consolas"/>
                <w:color w:val="1F2937"/>
                <w:sz w:val="19"/>
                <w:szCs w:val="19"/>
              </w:rPr>
              <w:t xml:space="preserve">}</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 Usage: the client generates a UUID per form submission and sends it</w:t>
            </w:r>
          </w:p>
          <w:p>
            <w:pPr>
              <w:spacing w:after="0" w:line="280"/>
            </w:pPr>
            <w:r>
              <w:rPr>
                <w:rFonts w:ascii="Consolas" w:eastAsia="Consolas"/>
                <w:color w:val="1F2937"/>
                <w:sz w:val="19"/>
                <w:szCs w:val="19"/>
              </w:rPr>
              <w:t xml:space="preserve">// with every retry. The server processes only the first, returns the</w:t>
            </w:r>
          </w:p>
          <w:p>
            <w:pPr>
              <w:spacing w:after="0" w:line="280"/>
            </w:pPr>
            <w:r>
              <w:rPr>
                <w:rFonts w:ascii="Consolas" w:eastAsia="Consolas"/>
                <w:color w:val="1F2937"/>
                <w:sz w:val="19"/>
                <w:szCs w:val="19"/>
              </w:rPr>
              <w:t xml:space="preserve">// cached result for subsequent retries.</w:t>
            </w:r>
          </w:p>
        </w:tc>
      </w:tr>
    </w:tbl>
    <w:p>
      <w:pPr>
        <w:pStyle w:val="Heading2"/>
        <w:spacing w:after="120" w:before="280" w:line="312"/>
      </w:pPr>
      <w:bookmarkStart w:id="100024" w:name="_Toc100024"/>
      <w:r>
        <w:rPr>
          <w:rFonts w:ascii="Arial" w:eastAsia="SimHei"/>
          <w:b/>
          <w:bCs/>
          <w:color w:val="0B1C2C"/>
          <w:sz w:val="28"/>
          <w:szCs w:val="28"/>
        </w:rPr>
        <w:t xml:space="preserve">6.5 Database Connection Pooling</w:t>
      </w:r>
      <w:bookmarkEnd w:id="100024"/>
    </w:p>
    <w:p>
      <w:pPr>
        <w:spacing w:after="120" w:line="312"/>
        <w:ind w:firstLine="360"/>
        <w:jc w:val="both"/>
      </w:pPr>
      <w:r>
        <w:rPr>
          <w:rFonts w:ascii="Times New Roman" w:eastAsia="SimSun"/>
          <w:color w:val="000000"/>
          <w:sz w:val="24"/>
          <w:szCs w:val="24"/>
        </w:rPr>
        <w:t xml:space="preserve">Database connection pooling is the management of the database connections so that they are reused rather than created and destroyed for each request, and it is the discipline that prevents the connection exhaustion that is a common cause of the overload the user is concerned about. The database connection is expensive to create, and a system that creates a new connection per request will exhaust the database's connection limit at a moderate load. The connection pool maintains a set of connections that are reused across requests, and the pool size is configured to match the database's capacity and the application's concurrency. Practitioner sources report that the connection pooling is not optional at scale, and that this one change can ten-times the throughput. The AI builder should be directed to configure the connection pool, to set the pool size based on the database's capacity, and to use a pooler such as PgBouncer for the PostgreSQL systems that need to scale the connection count beyond the database's direct capacity.</w:t>
      </w:r>
    </w:p>
    <w:p>
      <w:pPr>
        <w:pStyle w:val="Heading1"/>
        <w:spacing w:after="160" w:before="360" w:line="312"/>
      </w:pPr>
      <w:bookmarkStart w:id="100025" w:name="_Toc100025"/>
      <w:r>
        <w:rPr>
          <w:rFonts w:ascii="Arial" w:eastAsia="SimHei"/>
          <w:b/>
          <w:bCs/>
          <w:color w:val="0B1C2C"/>
          <w:sz w:val="32"/>
          <w:szCs w:val="32"/>
        </w:rPr>
        <w:t xml:space="preserve">7. Data Consistency Across Services: The Saga Pattern</w:t>
      </w:r>
      <w:bookmarkEnd w:id="100025"/>
    </w:p>
    <w:p>
      <w:pPr>
        <w:spacing w:after="120" w:line="312"/>
        <w:ind w:firstLine="360"/>
        <w:jc w:val="both"/>
      </w:pPr>
      <w:r>
        <w:rPr>
          <w:rFonts w:ascii="Times New Roman" w:eastAsia="SimSun"/>
          <w:color w:val="000000"/>
          <w:sz w:val="24"/>
          <w:szCs w:val="24"/>
        </w:rPr>
        <w:t xml:space="preserve">Data consistency across services is the discipline of maintaining the correct state of the data when a business transaction spans multiple services, each with its own database, and it is the discipline that the multi-database architecture requires. The traditional approach, the two-phase commit, provides the strong consistency but at the cost of availability, because all participants must be available for the transaction to commit. The modern approach, the Saga pattern, provides the eventual consistency by decomposing the distributed transaction into a sequence of local transactions, each with a compensating transaction that undoes the effect if a later step fails. The Saga is the pattern that the microservices architecture uses to maintain the data consistency without the two-phase commit's availability penalty, and it is the pattern that the AI builder must be directed to implement for any business transaction that spans multiple services or multiple databases.</w:t>
      </w:r>
    </w:p>
    <w:p>
      <w:pPr>
        <w:pStyle w:val="Heading2"/>
        <w:spacing w:after="120" w:before="280" w:line="312"/>
      </w:pPr>
      <w:bookmarkStart w:id="100026" w:name="_Toc100026"/>
      <w:r>
        <w:rPr>
          <w:rFonts w:ascii="Arial" w:eastAsia="SimHei"/>
          <w:b/>
          <w:bCs/>
          <w:color w:val="0B1C2C"/>
          <w:sz w:val="28"/>
          <w:szCs w:val="28"/>
        </w:rPr>
        <w:t xml:space="preserve">7.1 The Saga Pattern Explained</w:t>
      </w:r>
      <w:bookmarkEnd w:id="100026"/>
    </w:p>
    <w:p>
      <w:pPr>
        <w:spacing w:after="120" w:line="312"/>
        <w:ind w:firstLine="360"/>
        <w:jc w:val="both"/>
      </w:pPr>
      <w:r>
        <w:rPr>
          <w:rFonts w:ascii="Times New Roman" w:eastAsia="SimSun"/>
          <w:color w:val="000000"/>
          <w:sz w:val="24"/>
          <w:szCs w:val="24"/>
        </w:rPr>
        <w:t xml:space="preserve">The Saga pattern, as documented by the microservices.io reference and the Microsoft Azure Architecture Center, decomposes a distributed transaction into a sequence of local transactions, each executed by a service, with a compensating transaction for each local transaction. If a local transaction fails, the Saga executes the compensating transactions for the local transactions that have already completed, in the reverse order, to undo the effects. For example, an e-commerce order Saga might consist of the local transactions: reserve inventory, charge payment, create shipment. If the create shipment fails, the Saga executes the compensating transactions: refund payment, release inventory. The Saga does not provide the isolation that a traditional transaction provides, because the intermediate states are visible to other transactions, and the Saga must handle the visibility through the design of the compensating transactions and through the use of the optimistic locking or the pessimistic locking where the isolation is critical.</w:t>
      </w:r>
    </w:p>
    <w:p>
      <w:pPr>
        <w:pStyle w:val="Heading2"/>
        <w:spacing w:after="120" w:before="280" w:line="312"/>
      </w:pPr>
      <w:bookmarkStart w:id="100027" w:name="_Toc100027"/>
      <w:r>
        <w:rPr>
          <w:rFonts w:ascii="Arial" w:eastAsia="SimHei"/>
          <w:b/>
          <w:bCs/>
          <w:color w:val="0B1C2C"/>
          <w:sz w:val="28"/>
          <w:szCs w:val="28"/>
        </w:rPr>
        <w:t xml:space="preserve">7.2 Coordination: Choreography Versus Orchestration</w:t>
      </w:r>
      <w:bookmarkEnd w:id="100027"/>
    </w:p>
    <w:p>
      <w:pPr>
        <w:spacing w:after="120" w:line="312"/>
        <w:ind w:firstLine="360"/>
        <w:jc w:val="both"/>
      </w:pPr>
      <w:r>
        <w:rPr>
          <w:rFonts w:ascii="Times New Roman" w:eastAsia="SimSun"/>
          <w:color w:val="000000"/>
          <w:sz w:val="24"/>
          <w:szCs w:val="24"/>
        </w:rPr>
        <w:t xml:space="preserve">The Saga can be coordinated in two ways. The choreography approach has each service publish an event when it completes its local transaction, and the next service listens for the event and executes its local transaction in response. The choreography is decentralized and is suitable for the simple Sagas with few steps. The orchestration approach has a central orchestrator that commands each service to execute its local transaction and that handles the compensation if a step fails. The orchestration is more explicit and is suitable for the complex Sagas with many steps, where the choreography would become difficult to follow. The recommendation for a complex system is the orchestration, because the orchestrator provides a single place to understand the Saga's flow and to manage the compensation, and because the orchestrator can be tested and verified as a unit. The AI builder should be directed to implement the Saga with the orchestration for the complex business transactions, using a workflow engine or a custom orchestrator, and to implement the compensating transactions for each step.</w:t>
      </w:r>
    </w:p>
    <w:p>
      <w:pPr>
        <w:pStyle w:val="Heading2"/>
        <w:spacing w:after="120" w:before="280" w:line="312"/>
      </w:pPr>
      <w:bookmarkStart w:id="100028" w:name="_Toc100028"/>
      <w:r>
        <w:rPr>
          <w:rFonts w:ascii="Arial" w:eastAsia="SimHei"/>
          <w:b/>
          <w:bCs/>
          <w:color w:val="0B1C2C"/>
          <w:sz w:val="28"/>
          <w:szCs w:val="28"/>
        </w:rPr>
        <w:t xml:space="preserve">7.3 The Outbox Pattern</w:t>
      </w:r>
      <w:bookmarkEnd w:id="100028"/>
    </w:p>
    <w:p>
      <w:pPr>
        <w:spacing w:after="120" w:line="312"/>
        <w:ind w:firstLine="360"/>
        <w:jc w:val="both"/>
      </w:pPr>
      <w:r>
        <w:rPr>
          <w:rFonts w:ascii="Times New Roman" w:eastAsia="SimSun"/>
          <w:color w:val="000000"/>
          <w:sz w:val="24"/>
          <w:szCs w:val="24"/>
        </w:rPr>
        <w:t xml:space="preserve">The Outbox pattern is the complement to the Saga that solves the dual-write problem, the problem of writing to the database and publishing an event atomically. The dual-write problem arises because the database commit and the event publication are two separate operations, and a failure between them leaves the system in an inconsistent state, with the database updated but the event not published. The Outbox pattern solves this by writing the event to an outbox table in the same database transaction as the business data, and a separate process, the relay, reads the outbox table and publishes the events to the message broker. The Outbox ensures that the event is published if and only if the database transaction commits, and it is the pattern that the Saga's choreography and the event-driven architecture depend on. The AI builder should be directed to implement the Outbox pattern for every service that publishes events, and to implement the relay that reads the outbox and publishes the events.</w:t>
      </w:r>
    </w:p>
    <w:p>
      <w:pPr>
        <w:pStyle w:val="Heading1"/>
        <w:spacing w:after="160" w:before="360" w:line="312"/>
      </w:pPr>
      <w:bookmarkStart w:id="100029" w:name="_Toc100029"/>
      <w:r>
        <w:rPr>
          <w:rFonts w:ascii="Arial" w:eastAsia="SimHei"/>
          <w:b/>
          <w:bCs/>
          <w:color w:val="0B1C2C"/>
          <w:sz w:val="32"/>
          <w:szCs w:val="32"/>
        </w:rPr>
        <w:t xml:space="preserve">8. Multi-Database Architecture and the Central Data Hub</w:t>
      </w:r>
      <w:bookmarkEnd w:id="100029"/>
    </w:p>
    <w:p>
      <w:pPr>
        <w:spacing w:after="120" w:line="312"/>
        <w:ind w:firstLine="360"/>
        <w:jc w:val="both"/>
      </w:pPr>
      <w:r>
        <w:rPr>
          <w:rFonts w:ascii="Times New Roman" w:eastAsia="SimSun"/>
          <w:color w:val="000000"/>
          <w:sz w:val="24"/>
          <w:szCs w:val="24"/>
        </w:rPr>
        <w:t xml:space="preserve">The multi-database architecture, or polyglot persistence, is the pattern of using different databases for different data characteristics, and it is the pattern that the user's question about using multiple databases for each management function addresses. The pattern recognizes that no single database serves all needs: the transactional data needs the ACID properties of a relational database; the schema-flexible content needs the flexibility of a document database; the time-series telemetry needs the throughput of a time-series database; and the relationship-heavy data needs the traversal performance of a graph database. The multi-database architecture uses the right database for each data characteristic, and it coordinates across them through the patterns of the previous section. The challenge that the multi-database architecture introduces is the data silo, the situation where the data is fragmented across the databases and the management functions cannot access the integrated view they need. The central data hub is the architectural component that addresses this challenge, by providing a unified, role-controlled access layer to the sensitive data that multiple management functions must share.</w:t>
      </w:r>
    </w:p>
    <w:p>
      <w:pPr>
        <w:pStyle w:val="Heading2"/>
        <w:spacing w:after="120" w:before="280" w:line="312"/>
      </w:pPr>
      <w:bookmarkStart w:id="100030" w:name="_Toc100030"/>
      <w:r>
        <w:rPr>
          <w:rFonts w:ascii="Arial" w:eastAsia="SimHei"/>
          <w:b/>
          <w:bCs/>
          <w:color w:val="0B1C2C"/>
          <w:sz w:val="28"/>
          <w:szCs w:val="28"/>
        </w:rPr>
        <w:t xml:space="preserve">8.1 Polyglot Persistence: The Right Database for Each Data</w:t>
      </w:r>
      <w:bookmarkEnd w:id="100030"/>
    </w:p>
    <w:p>
      <w:pPr>
        <w:spacing w:after="120" w:line="312"/>
        <w:ind w:firstLine="360"/>
        <w:jc w:val="both"/>
      </w:pPr>
      <w:r>
        <w:rPr>
          <w:rFonts w:ascii="Times New Roman" w:eastAsia="SimSun"/>
          <w:color w:val="000000"/>
          <w:sz w:val="24"/>
          <w:szCs w:val="24"/>
        </w:rPr>
        <w:t xml:space="preserve">The polyglot persistence pattern assigns each data characteristic to the database that best serves it. The transactional data, the orders, the users, the financial records, is stored in the relational database, PostgreSQL, which provides the ACID properties and the row-level security. The schema-flexible content, the product catalog with varying attributes, the user-generated content with varying structure, is stored in the document database, MongoDB or the PostgreSQL JSONB, depending on the schema volatility. The time-series telemetry, the application metrics, the user activity logs, is stored in the time-series database, ClickHouse or InfluxDB, which provides the high-throughput ingestion and the efficient aggregation. The relationship-heavy data, the social graph, the recommendation graph, is stored in the graph database, Neo4j, which provides the efficient traversal. The search index, the full-text and the faceted search, is stored in the search engine, Meilisearch or OpenSearch, which provides the typo tolerance and the relevance ranking. The cache, the sessions, the hot-path data, is stored in the in-memory store, Redis, which provides the low latency. The AI builder should be directed to identify the data characteristics of the system and to assign each to the appropriate database, with the assignment documented in the architecture decision record.</w:t>
      </w:r>
    </w:p>
    <w:p>
      <w:pPr>
        <w:pStyle w:val="Heading2"/>
        <w:spacing w:after="120" w:before="280" w:line="312"/>
      </w:pPr>
      <w:bookmarkStart w:id="100031" w:name="_Toc100031"/>
      <w:r>
        <w:rPr>
          <w:rFonts w:ascii="Arial" w:eastAsia="SimHei"/>
          <w:b/>
          <w:bCs/>
          <w:color w:val="0B1C2C"/>
          <w:sz w:val="28"/>
          <w:szCs w:val="28"/>
        </w:rPr>
        <w:t xml:space="preserve">8.2 The Central Data Hub</w:t>
      </w:r>
      <w:bookmarkEnd w:id="100031"/>
    </w:p>
    <w:p>
      <w:pPr>
        <w:spacing w:after="120" w:line="312"/>
        <w:ind w:firstLine="360"/>
        <w:jc w:val="both"/>
      </w:pPr>
      <w:r>
        <w:rPr>
          <w:rFonts w:ascii="Times New Roman" w:eastAsia="SimSun"/>
          <w:color w:val="000000"/>
          <w:sz w:val="24"/>
          <w:szCs w:val="24"/>
        </w:rPr>
        <w:t xml:space="preserve">The central data hub is the architectural component that provides the unified, role-controlled access layer to the sensitive data that multiple management functions must share, and it is the component that prevents the data silos that the polyglot pattern can produce. The central data hub is not a single database; it is an access layer, implemented as an API or a data service, that sits in front of the sensitive data and that enforces the role-based access control, the audit logging, and the data governance. The management functions access the sensitive data through the central data hub, not directly, and the hub enforces the access policy, logs the access, and provides the integrated view that the management functions need. The central data hub is the architectural response to the data mesh principle that the data should be treated as a product, owned by the teams that generate it, and accessed through a governed interface. The AI builder should be directed to implement the central data hub as the access layer for the sensitive data, with the role-based access control, the audit logging, and the data governance, and to direct all the management functions' access through the hub.</w:t>
      </w:r>
    </w:p>
    <w:p>
      <w:pPr>
        <w:pStyle w:val="Heading2"/>
        <w:spacing w:after="120" w:before="280" w:line="312"/>
      </w:pPr>
      <w:bookmarkStart w:id="100032" w:name="_Toc100032"/>
      <w:r>
        <w:rPr>
          <w:rFonts w:ascii="Arial" w:eastAsia="SimHei"/>
          <w:b/>
          <w:bCs/>
          <w:color w:val="0B1C2C"/>
          <w:sz w:val="28"/>
          <w:szCs w:val="28"/>
        </w:rPr>
        <w:t xml:space="preserve">8.3 Role-Based Access Control for Sensitive Data</w:t>
      </w:r>
      <w:bookmarkEnd w:id="100032"/>
    </w:p>
    <w:p>
      <w:pPr>
        <w:spacing w:after="120" w:line="312"/>
        <w:ind w:firstLine="360"/>
        <w:jc w:val="both"/>
      </w:pPr>
      <w:r>
        <w:rPr>
          <w:rFonts w:ascii="Times New Roman" w:eastAsia="SimSun"/>
          <w:color w:val="000000"/>
          <w:sz w:val="24"/>
          <w:szCs w:val="24"/>
        </w:rPr>
        <w:t xml:space="preserve">The role-based access control, abbreviated RBAC, is the mechanism that governs who can access which data, and it is the mechanism that the central data hub enforces. The RBAC defines the roles, such as the administrator, the finance officer, the support agent, and the auditor, and the permissions that each role has on each data category. The administrator may have the full access to the user data, the finance officer may have the access to the financial data, the support agent may have the limited access to the user data needed for the support, and the auditor may have the read-only access to the audit logs. The RBAC is enforced at the central data hub, so that every access to the sensitive data passes through the control, and the access is logged for the audit. The RBAC should be complemented by the attribute-based access control, ABAC, for the finer-grained control, where the access decision depends on the attributes of the user, the data, and the context, such as the user's location, the data's sensitivity, and the time of the access. The AI builder should be directed to implement the RBAC at the central data hub, to define the roles and the permissions based on the principle of least privilege, and to log every access for the audit.</w:t>
      </w:r>
    </w:p>
    <w:p>
      <w:pPr>
        <w:pStyle w:val="Heading2"/>
        <w:spacing w:after="120" w:before="280" w:line="312"/>
      </w:pPr>
      <w:bookmarkStart w:id="100033" w:name="_Toc100033"/>
      <w:r>
        <w:rPr>
          <w:rFonts w:ascii="Arial" w:eastAsia="SimHei"/>
          <w:b/>
          <w:bCs/>
          <w:color w:val="0B1C2C"/>
          <w:sz w:val="28"/>
          <w:szCs w:val="28"/>
        </w:rPr>
        <w:t xml:space="preserve">8.4 Data Synchronization Across Databases</w:t>
      </w:r>
      <w:bookmarkEnd w:id="100033"/>
    </w:p>
    <w:p>
      <w:pPr>
        <w:spacing w:after="120" w:line="312"/>
        <w:ind w:firstLine="360"/>
        <w:jc w:val="both"/>
      </w:pPr>
      <w:r>
        <w:rPr>
          <w:rFonts w:ascii="Times New Roman" w:eastAsia="SimSun"/>
          <w:color w:val="000000"/>
          <w:sz w:val="24"/>
          <w:szCs w:val="24"/>
        </w:rPr>
        <w:t xml:space="preserve">The data synchronization across the databases is the discipline that keeps the data consistent when it is stored in multiple databases, and it is the discipline that the multi-database architecture requires. The synchronization is implemented through the change data capture, CDC, which captures the changes to the source database and propagates them to the target databases, or through the event-driven pattern, where the source service publishes an event and the target services consume it to update their databases. The synchronization must handle the eventual consistency, where the target databases are not immediately consistent with the source but become consistent over time, and the conflict resolution, where the same data is updated in multiple databases simultaneously. The AI builder should be directed to implement the synchronization through the CDC or the event-driven pattern, to handle the eventual consistency in the application logic, and to implement the conflict resolution where the simultaneous updates are possible. The synchronization is the discipline that makes the multi-database architecture workable, and it is the discipline that prevents the data inconsistency that would otherwise result.</w:t>
      </w:r>
    </w:p>
    <w:p>
      <w:pPr>
        <w:keepNext/>
        <w:spacing w:after="100" w:before="200" w:line="312"/>
        <w:jc w:val="left"/>
      </w:pPr>
      <w:r>
        <w:rPr>
          <w:rFonts w:ascii="Arial" w:eastAsia="SimHei"/>
          <w:b/>
          <w:bCs/>
          <w:color w:val="0B1C2C"/>
          <w:sz w:val="22"/>
          <w:szCs w:val="22"/>
        </w:rPr>
        <w:t xml:space="preserve">Table 1: The Multi-Database Architecture by Data Characteristic</w:t>
      </w:r>
    </w:p>
    <w:tbl>
      <w:tblPr>
        <w:tblW w:type="pct" w:w="100%"/>
        <w:tblBorders>
          <w:top w:val="single" w:color="529286" w:sz="6"/>
          <w:left w:val="none" w:color="FFFFFF" w:sz="0"/>
          <w:bottom w:val="single" w:color="529286" w:sz="6"/>
          <w:right w:val="none" w:color="FFFFFF" w:sz="0"/>
          <w:insideH w:val="single" w:color="BECFCC" w:sz="1"/>
          <w:insideV w:val="none" w:color="FFFFFF" w:sz="0"/>
        </w:tblBorders>
        <w:tblLayout w:type="fixed"/>
      </w:tblPr>
      <w:tblGrid>
        <w:gridCol w:w="100"/>
        <w:gridCol w:w="100"/>
        <w:gridCol w:w="100"/>
        <w:gridCol w:w="100"/>
      </w:tblGrid>
      <w:tr>
        <w:trPr>
          <w:cantSplit/>
          <w:tblHeader/>
        </w:trPr>
        <w:tc>
          <w:tcPr>
            <w:tcW w:type="pct" w:w="28%"/>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Data Characteristic</w:t>
            </w:r>
          </w:p>
        </w:tc>
        <w:tc>
          <w:tcPr>
            <w:tcW w:type="pct" w:w="22%"/>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Recommended Database</w:t>
            </w:r>
          </w:p>
        </w:tc>
        <w:tc>
          <w:tcPr>
            <w:tcW w:type="pct" w:w="24%"/>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Access Pattern</w:t>
            </w:r>
          </w:p>
        </w:tc>
        <w:tc>
          <w:tcPr>
            <w:tcW w:type="pct" w:w="26%"/>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Synchronization</w:t>
            </w:r>
          </w:p>
        </w:tc>
      </w:tr>
      <w:tr>
        <w:trPr>
          <w:cantSplit/>
        </w:trPr>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Transactional data (orders, users, financial)</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PostgreSQL (ACID, RLS)</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CRUD through the API</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Source of truth; CDC to others</w:t>
            </w:r>
          </w:p>
        </w:tc>
      </w:tr>
      <w:tr>
        <w:trPr>
          <w:cantSplit/>
        </w:trPr>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Schema-flexible content (catalog, UGC)</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MongoDB or PostgreSQL JSONB</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CRUD through the API</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CDC from PostgreSQL if paired</w:t>
            </w:r>
          </w:p>
        </w:tc>
      </w:tr>
      <w:tr>
        <w:trPr>
          <w:cantSplit/>
        </w:trPr>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Time-series telemetry (metrics, logs)</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ClickHouse or InfluxDB</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Append-only, aggregate queries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Event stream from the application</w:t>
            </w:r>
          </w:p>
        </w:tc>
      </w:tr>
      <w:tr>
        <w:trPr>
          <w:cantSplit/>
        </w:trPr>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Relationship-heavy data (graph, recommendations)</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Neo4j</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Traversal queries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CDC from the relational DB</w:t>
            </w:r>
          </w:p>
        </w:tc>
      </w:tr>
      <w:tr>
        <w:trPr>
          <w:cantSplit/>
        </w:trPr>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Full-text and faceted search</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Meilisearch or OpenSearch</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Search queries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CDC from the relational DB</w:t>
            </w:r>
          </w:p>
        </w:tc>
      </w:tr>
      <w:tr>
        <w:trPr>
          <w:cantSplit/>
        </w:trPr>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Cache (sessions, hot-path data)</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Redis</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Get/set with TTL</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Application-managed</w:t>
            </w:r>
          </w:p>
        </w:tc>
      </w:tr>
      <w:tr>
        <w:trPr>
          <w:cantSplit/>
        </w:trPr>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Sensitive data (central hub)</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PostgreSQL with RBAC</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Through the central data hub API</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Source of truth; accessed via hub</w:t>
            </w:r>
          </w:p>
        </w:tc>
      </w:tr>
    </w:tbl>
    <w:p>
      <w:pPr>
        <w:spacing w:after="200" w:before="80" w:line="312"/>
        <w:jc w:val="center"/>
      </w:pPr>
      <w:r>
        <w:rPr>
          <w:rFonts w:ascii="Times New Roman" w:eastAsia="SimSun"/>
          <w:i/>
          <w:iCs/>
          <w:color w:val="606060"/>
          <w:sz w:val="20"/>
          <w:szCs w:val="20"/>
        </w:rPr>
        <w:t xml:space="preserve">Table 1: The multi-database architecture by data characteristic, with the recommended database, the access pattern, and the synchronization approach. The central data hub provides the role-controlled access to the sensitive data that multiple management functions share.</w:t>
      </w:r>
    </w:p>
    <w:p>
      <w:pPr>
        <w:pStyle w:val="Heading2"/>
        <w:spacing w:after="120" w:before="280" w:line="312"/>
      </w:pPr>
      <w:bookmarkStart w:id="100034" w:name="_Toc100034"/>
      <w:r>
        <w:rPr>
          <w:rFonts w:ascii="Arial" w:eastAsia="SimHei"/>
          <w:b/>
          <w:bCs/>
          <w:color w:val="0B1C2C"/>
          <w:sz w:val="28"/>
          <w:szCs w:val="28"/>
        </w:rPr>
        <w:t xml:space="preserve">8.5 The Complete Architecture: Putting It Together</w:t>
      </w:r>
      <w:bookmarkEnd w:id="100034"/>
    </w:p>
    <w:p>
      <w:pPr>
        <w:spacing w:after="120" w:line="312"/>
        <w:ind w:firstLine="360"/>
        <w:jc w:val="both"/>
      </w:pPr>
      <w:r>
        <w:rPr>
          <w:rFonts w:ascii="Times New Roman" w:eastAsia="SimSun"/>
          <w:color w:val="000000"/>
          <w:sz w:val="24"/>
          <w:szCs w:val="24"/>
        </w:rPr>
        <w:t xml:space="preserve">The complete architecture combines the scalability patterns of Part II, the concurrency patterns of Part III, and the multi-database patterns of Part IV into a coherent system. The incoming traffic enters through the load balancer, which distributes it across the auto-scaled application instances, with the rate limiting at the API gateway protecting against the abuse. The application instances use the connection pool to access the PostgreSQL database, with the Redis cache for the hot-path data and the Redis distributed lock for the concurrent resources. The idempotency middleware prevents the double entries, and the optimistic locking prevents the conflicting updates. The business transactions that span multiple services are coordinated through the Saga pattern, with the Outbox pattern ensuring the reliable event publication. The data is stored across the polyglot databases, with the central data hub providing the role-controlled access to the sensitive data. The circuit breaker protects the calls to the external services, and the monitoring and the alerting, governed by the SRE discipline, detect and respond to the incidents. The AI builder should be directed to implement the complete architecture, with each component specified, verified, and documented, and the result is a system that handles the large user loads, prevents the input conflicts, and maintains the data consistency across the multi-database architecture.</w:t>
      </w:r>
    </w:p>
    <w:p>
      <w:pPr>
        <w:pStyle w:val="Heading1"/>
        <w:spacing w:after="160" w:before="360" w:line="312"/>
      </w:pPr>
      <w:bookmarkStart w:id="100035" w:name="_Toc100035"/>
      <w:r>
        <w:rPr>
          <w:rFonts w:ascii="Arial" w:eastAsia="SimHei"/>
          <w:b/>
          <w:bCs/>
          <w:color w:val="0B1C2C"/>
          <w:sz w:val="32"/>
          <w:szCs w:val="32"/>
        </w:rPr>
        <w:t xml:space="preserve">9. Counterarguments and Limitations</w:t>
      </w:r>
      <w:bookmarkEnd w:id="100035"/>
    </w:p>
    <w:p>
      <w:pPr>
        <w:spacing w:after="120" w:line="312"/>
        <w:ind w:firstLine="360"/>
        <w:jc w:val="both"/>
      </w:pPr>
      <w:r>
        <w:rPr>
          <w:rFonts w:ascii="Times New Roman" w:eastAsia="SimSun"/>
          <w:color w:val="000000"/>
          <w:sz w:val="24"/>
          <w:szCs w:val="24"/>
        </w:rPr>
        <w:t xml:space="preserve">The recommendations in this report are subject to several counterarguments and limitations. The first counterargument is that the patterns this document specifies, the distributed locks, the Saga, the polyglot persistence, and the central data hub, are excessive for a system that is not yet at scale, and that a builder who implements them prematurely will incur the complexity without the benefit. This argument is valid for the earliest stage of a system, where the simplicity of a single database and a single application instance is the right choice. The counterargument fails for a system that is intended for commercial sale, because the patterns are easier to implement at the design stage than to retrofit at the scale stage, and the cost of the retrofit, in terms of the migration, the downtime, and the data consistency risks, is far higher than the cost of the initial implementation. The recommendation is to implement the patterns that the system's scale trajectory will require, with the understanding that the patterns are designed to be implemented at the start and to scale with the system.</w:t>
      </w:r>
    </w:p>
    <w:p>
      <w:pPr>
        <w:spacing w:after="120" w:line="312"/>
        <w:ind w:firstLine="360"/>
        <w:jc w:val="both"/>
      </w:pPr>
      <w:r>
        <w:rPr>
          <w:rFonts w:ascii="Times New Roman" w:eastAsia="SimSun"/>
          <w:color w:val="000000"/>
          <w:sz w:val="24"/>
          <w:szCs w:val="24"/>
        </w:rPr>
        <w:t xml:space="preserve">The second counterargument is that the multi-database architecture introduces the operational complexity that a small team cannot sustain, and that a single database, well-tuned, can serve the system's needs for far longer than the polyglot advocates suggest. This argument has merit, and the report acknowledges that the polyglot persistence should be adopted selectively, for the data characteristics that genuinely benefit from a specialized database, and not for the data that the primary database serves well. The recommendation is to start with the primary database, PostgreSQL, for the transactional data, and to add the specialized databases, the search engine, the cache, the time-series database, only when the primary database's limitations become apparent. The central data hub, however, should be implemented from the start, because it is the component that prevents the data silos that the later addition of the specialized databases would produce.</w:t>
      </w:r>
    </w:p>
    <w:p>
      <w:pPr>
        <w:spacing w:after="120" w:line="312"/>
        <w:ind w:firstLine="360"/>
        <w:jc w:val="both"/>
      </w:pPr>
      <w:r>
        <w:rPr>
          <w:rFonts w:ascii="Times New Roman" w:eastAsia="SimSun"/>
          <w:color w:val="000000"/>
          <w:sz w:val="24"/>
          <w:szCs w:val="24"/>
        </w:rPr>
        <w:t xml:space="preserve">The third counterargument is that the document consumption protocol of Part I is overhead that slows the build, and that an AI builder can produce a working system by prompting directly without the five-phase protocol. This argument is valid for a prototype, where the goal is to test an idea rather than to build a production system. The argument fails for a commercial system, because the cost of the protocol is paid once, while the cost of the misunderstanding that the protocol prevents is paid repeatedly, in the rework, the defects, and the incidents that a misunderstanding produces. The protocol is the discipline that ensures the builder's understanding, and it is the discipline that the user's question about the builder's proper consumption of the documents directly addresses.</w:t>
      </w:r>
    </w:p>
    <w:p>
      <w:pPr>
        <w:spacing w:after="120" w:line="312"/>
        <w:ind w:firstLine="360"/>
        <w:jc w:val="both"/>
      </w:pPr>
      <w:r>
        <w:rPr>
          <w:rFonts w:ascii="Times New Roman" w:eastAsia="SimSun"/>
          <w:color w:val="000000"/>
          <w:sz w:val="24"/>
          <w:szCs w:val="24"/>
        </w:rPr>
        <w:t xml:space="preserve">A limitation is that the document provides the patterns and the recommendations but does not provide the complete implementation, which is the work of the AI builder directed by the prompts. The patterns are the specification, and the implementation is the execution, and the two are distinct. The builder who needs the complete implementation should direct the AI builder with the prompts from this document and the prompt guide, and should verify the output against the verification gates. The document is the specification; the builder and the agent are the implementation.</w:t>
      </w:r>
    </w:p>
    <w:p>
      <w:pPr>
        <w:pStyle w:val="Heading1"/>
        <w:spacing w:after="160" w:before="360" w:line="312"/>
      </w:pPr>
      <w:bookmarkStart w:id="100036" w:name="_Toc100036"/>
      <w:r>
        <w:rPr>
          <w:rFonts w:ascii="Arial" w:eastAsia="SimHei"/>
          <w:b/>
          <w:bCs/>
          <w:color w:val="0B1C2C"/>
          <w:sz w:val="32"/>
          <w:szCs w:val="32"/>
        </w:rPr>
        <w:t xml:space="preserve">10. Conclusion and Strategic Implications</w:t>
      </w:r>
      <w:bookmarkEnd w:id="100036"/>
    </w:p>
    <w:p>
      <w:pPr>
        <w:spacing w:after="120" w:line="312"/>
        <w:ind w:firstLine="360"/>
        <w:jc w:val="both"/>
      </w:pPr>
      <w:r>
        <w:rPr>
          <w:rFonts w:ascii="Times New Roman" w:eastAsia="SimSun"/>
          <w:color w:val="000000"/>
          <w:sz w:val="24"/>
          <w:szCs w:val="24"/>
        </w:rPr>
        <w:t xml:space="preserve">The question that opened this report was how the AI builder properly consumes the four existing documents and how the resulting system handles the large user loads, the input conflicts, and the multi-database coordination that the user's question specified. The document has specified the consumption protocol, the five-phase sequence that ensures the builder's understanding, and the three technical disciplines of scalability, concurrency, and multi-database architecture, with the patterns that each discipline requires. The central finding is that the system's ability to handle scale and consistency is a property designed in from the start, through the patterns this document specifies, and the property is a function of the AI builder's understanding, which the consumption protocol ensures.</w:t>
      </w:r>
    </w:p>
    <w:p>
      <w:pPr>
        <w:spacing w:after="120" w:line="312"/>
        <w:ind w:firstLine="360"/>
        <w:jc w:val="both"/>
      </w:pPr>
      <w:r>
        <w:rPr>
          <w:rFonts w:ascii="Times New Roman" w:eastAsia="SimSun"/>
          <w:color w:val="000000"/>
          <w:sz w:val="24"/>
          <w:szCs w:val="24"/>
        </w:rPr>
        <w:t xml:space="preserve">The strategic implication is that the five documents, the foundation, the prompt guide, the stack guide, the operational excellence guide, and this scalability and concurrency guide, together constitute the complete playbook for building a real-world system through an AI builder agent, with the scale, the consistency, and the multi-database coordination that the real-world standard requires. The five documents cover the architecture, the prompting, the stack, the operational disciplines, and the scalability and concurrency patterns, and together they give the AI builder the complete specification it needs to build a system that does not overload, does not produce double entries, and maintains the data consistency across a multi-database architecture with a central data hub and role-based access.</w:t>
      </w:r>
    </w:p>
    <w:p>
      <w:pPr>
        <w:spacing w:after="120" w:line="312"/>
        <w:ind w:firstLine="360"/>
        <w:jc w:val="both"/>
      </w:pPr>
      <w:r>
        <w:rPr>
          <w:rFonts w:ascii="Times New Roman" w:eastAsia="SimSun"/>
          <w:color w:val="000000"/>
          <w:sz w:val="24"/>
          <w:szCs w:val="24"/>
        </w:rPr>
        <w:t xml:space="preserve">The closing recommendation is therefore the following. A builder who intends to direct an AI builder agent to construct a production-grade system that handles large user loads, prevents input conflicts, and maintains data consistency should load all five documents as the complete context, should follow the document consumption protocol of Part I to ensure the builder's understanding, and should direct the agent to implement the scalability patterns of Part II, the concurrency patterns of Part III, and the multi-database architecture of Part IV. The discipline of the five documents, the consumption protocol, and the verification gates is the discipline that produces a system that meets the real-world standard across all the dimensions, from the architecture to the scale, from the prompting to the consistency, and from the stack to the operational excellence. The five documents are the complete playbook, and this document is the fifth that completes it for the scale, the concurrency, and the multi-database architecture that the real-world standard requires.</w:t>
      </w:r>
    </w:p>
    <w:p>
      <w:pPr>
        <w:pStyle w:val="Heading1"/>
        <w:spacing w:after="160" w:before="360" w:line="312"/>
      </w:pPr>
      <w:bookmarkStart w:id="100037" w:name="_Toc100037"/>
      <w:r>
        <w:rPr>
          <w:rFonts w:ascii="Arial" w:eastAsia="SimHei"/>
          <w:b/>
          <w:bCs/>
          <w:color w:val="0B1C2C"/>
          <w:sz w:val="32"/>
          <w:szCs w:val="32"/>
        </w:rPr>
        <w:t xml:space="preserve">11. References</w:t>
      </w:r>
      <w:bookmarkEnd w:id="100037"/>
    </w:p>
    <w:p>
      <w:pPr>
        <w:spacing w:after="120" w:line="312"/>
        <w:ind w:firstLine="360"/>
        <w:jc w:val="both"/>
      </w:pPr>
      <w:r>
        <w:rPr>
          <w:rFonts w:ascii="Times New Roman" w:eastAsia="SimSun"/>
          <w:color w:val="000000"/>
          <w:sz w:val="24"/>
          <w:szCs w:val="24"/>
        </w:rPr>
        <w:t xml:space="preserve">The following sources informed the analysis presented in this report. Sources are listed in the order of first citation. All URLs were accessible at the time of writing; readers verifying specific claims should consult the cited source directly.</w:t>
      </w:r>
    </w:p>
    <w:p>
      <w:pPr>
        <w:spacing w:after="100" w:line="312"/>
        <w:ind w:left="480" w:hanging="480"/>
      </w:pPr>
      <w:r>
        <w:rPr>
          <w:rFonts w:ascii="Times New Roman" w:eastAsia="SimSun"/>
          <w:b/>
          <w:bCs/>
          <w:color w:val="000000"/>
          <w:sz w:val="22"/>
          <w:szCs w:val="22"/>
        </w:rPr>
        <w:t xml:space="preserve">[1] </w:t>
      </w:r>
      <w:r>
        <w:rPr>
          <w:rFonts w:ascii="Times New Roman" w:eastAsia="SimSun"/>
          <w:color w:val="000000"/>
          <w:sz w:val="22"/>
          <w:szCs w:val="22"/>
        </w:rPr>
        <w:t xml:space="preserve">PingCAP. Best Databases for SaaS Applications 2026 (Updated March 2026). </w:t>
      </w:r>
      <w:hyperlink w:history="1" r:id="rIdb-rxapvkxz3phyri2_hue">
        <w:r>
          <w:rPr>
            <w:rFonts w:ascii="Times New Roman" w:eastAsia="SimSun"/>
            <w:color w:val="3E6B62"/>
            <w:sz w:val="20"/>
            <w:szCs w:val="20"/>
            <w:u w:val="single"/>
          </w:rPr>
          <w:t xml:space="preserve">https://www.pingcap.com/compare/best-databases-for-saas-applications-at-scale</w:t>
        </w:r>
      </w:hyperlink>
    </w:p>
    <w:p>
      <w:pPr>
        <w:spacing w:after="100" w:line="312"/>
        <w:ind w:left="480" w:hanging="480"/>
      </w:pPr>
      <w:r>
        <w:rPr>
          <w:rFonts w:ascii="Times New Roman" w:eastAsia="SimSun"/>
          <w:b/>
          <w:bCs/>
          <w:color w:val="000000"/>
          <w:sz w:val="22"/>
          <w:szCs w:val="22"/>
        </w:rPr>
        <w:t xml:space="preserve">[2] </w:t>
      </w:r>
      <w:r>
        <w:rPr>
          <w:rFonts w:ascii="Times New Roman" w:eastAsia="SimSun"/>
          <w:color w:val="000000"/>
          <w:sz w:val="22"/>
          <w:szCs w:val="22"/>
        </w:rPr>
        <w:t xml:space="preserve">JusDB. Scalable Database Schema Design (2026): 12 Production Best Practices. </w:t>
      </w:r>
      <w:hyperlink w:history="1" r:id="rId9hpuqr8nwjwv5vooygqjm">
        <w:r>
          <w:rPr>
            <w:rFonts w:ascii="Times New Roman" w:eastAsia="SimSun"/>
            <w:color w:val="3E6B62"/>
            <w:sz w:val="20"/>
            <w:szCs w:val="20"/>
            <w:u w:val="single"/>
          </w:rPr>
          <w:t xml:space="preserve">https://www.jusdb.com/blog/database-schema-design-for-scalability-summary-and-best-practices</w:t>
        </w:r>
      </w:hyperlink>
    </w:p>
    <w:p>
      <w:pPr>
        <w:spacing w:after="100" w:line="312"/>
        <w:ind w:left="480" w:hanging="480"/>
      </w:pPr>
      <w:r>
        <w:rPr>
          <w:rFonts w:ascii="Times New Roman" w:eastAsia="SimSun"/>
          <w:b/>
          <w:bCs/>
          <w:color w:val="000000"/>
          <w:sz w:val="22"/>
          <w:szCs w:val="22"/>
        </w:rPr>
        <w:t xml:space="preserve">[3] </w:t>
      </w:r>
      <w:r>
        <w:rPr>
          <w:rFonts w:ascii="Times New Roman" w:eastAsia="SimSun"/>
          <w:color w:val="000000"/>
          <w:sz w:val="22"/>
          <w:szCs w:val="22"/>
        </w:rPr>
        <w:t xml:space="preserve">PlanetScale. What is Database Sharding and How Does It Work? </w:t>
      </w:r>
      <w:hyperlink w:history="1" r:id="rIdgsrbx9uprcigbnjpyywju">
        <w:r>
          <w:rPr>
            <w:rFonts w:ascii="Times New Roman" w:eastAsia="SimSun"/>
            <w:color w:val="3E6B62"/>
            <w:sz w:val="20"/>
            <w:szCs w:val="20"/>
            <w:u w:val="single"/>
          </w:rPr>
          <w:t xml:space="preserve">https://planetscale.com/blog/what-is-database-sharding-and-how-does-it-work</w:t>
        </w:r>
      </w:hyperlink>
    </w:p>
    <w:p>
      <w:pPr>
        <w:spacing w:after="100" w:line="312"/>
        <w:ind w:left="480" w:hanging="480"/>
      </w:pPr>
      <w:r>
        <w:rPr>
          <w:rFonts w:ascii="Times New Roman" w:eastAsia="SimSun"/>
          <w:b/>
          <w:bCs/>
          <w:color w:val="000000"/>
          <w:sz w:val="22"/>
          <w:szCs w:val="22"/>
        </w:rPr>
        <w:t xml:space="preserve">[4] </w:t>
      </w:r>
      <w:r>
        <w:rPr>
          <w:rFonts w:ascii="Times New Roman" w:eastAsia="SimSun"/>
          <w:color w:val="000000"/>
          <w:sz w:val="22"/>
          <w:szCs w:val="22"/>
        </w:rPr>
        <w:t xml:space="preserve">System Design Roadmap. Database Scaling Patterns: Read Replicas and Sharding. </w:t>
      </w:r>
      <w:hyperlink w:history="1" r:id="rIdkrdbf4dmaroatrqx9cwcj">
        <w:r>
          <w:rPr>
            <w:rFonts w:ascii="Times New Roman" w:eastAsia="SimSun"/>
            <w:color w:val="3E6B62"/>
            <w:sz w:val="20"/>
            <w:szCs w:val="20"/>
            <w:u w:val="single"/>
          </w:rPr>
          <w:t xml:space="preserve">https://systemdr.systemdrd.com/p/database-scaling-patterns-read-replicas</w:t>
        </w:r>
      </w:hyperlink>
    </w:p>
    <w:p>
      <w:pPr>
        <w:spacing w:after="100" w:line="312"/>
        <w:ind w:left="480" w:hanging="480"/>
      </w:pPr>
      <w:r>
        <w:rPr>
          <w:rFonts w:ascii="Times New Roman" w:eastAsia="SimSun"/>
          <w:b/>
          <w:bCs/>
          <w:color w:val="000000"/>
          <w:sz w:val="22"/>
          <w:szCs w:val="22"/>
        </w:rPr>
        <w:t xml:space="preserve">[5] </w:t>
      </w:r>
      <w:r>
        <w:rPr>
          <w:rFonts w:ascii="Times New Roman" w:eastAsia="SimSun"/>
          <w:color w:val="000000"/>
          <w:sz w:val="22"/>
          <w:szCs w:val="22"/>
        </w:rPr>
        <w:t xml:space="preserve">Young Gao (DEV). Distributed Locking: Preventing Race Conditions Across Microservices. </w:t>
      </w:r>
      <w:hyperlink w:history="1" r:id="rId4axppppsqgcksxvaxfno5">
        <w:r>
          <w:rPr>
            <w:rFonts w:ascii="Times New Roman" w:eastAsia="SimSun"/>
            <w:color w:val="3E6B62"/>
            <w:sz w:val="20"/>
            <w:szCs w:val="20"/>
            <w:u w:val="single"/>
          </w:rPr>
          <w:t xml:space="preserve">https://dev.to/young_gao/distributed-locking-preventing-race-conditions-across-services-2e35</w:t>
        </w:r>
      </w:hyperlink>
    </w:p>
    <w:p>
      <w:pPr>
        <w:spacing w:after="100" w:line="312"/>
        <w:ind w:left="480" w:hanging="480"/>
      </w:pPr>
      <w:r>
        <w:rPr>
          <w:rFonts w:ascii="Times New Roman" w:eastAsia="SimSun"/>
          <w:b/>
          <w:bCs/>
          <w:color w:val="000000"/>
          <w:sz w:val="22"/>
          <w:szCs w:val="22"/>
        </w:rPr>
        <w:t xml:space="preserve">[6] </w:t>
      </w:r>
      <w:r>
        <w:rPr>
          <w:rFonts w:ascii="Times New Roman" w:eastAsia="SimSun"/>
          <w:color w:val="000000"/>
          <w:sz w:val="22"/>
          <w:szCs w:val="22"/>
        </w:rPr>
        <w:t xml:space="preserve">Hanif Maliki (Medium). Concurrency in Go: Pessimistic, Optimistic, and Redis Distributed Locks Explained. </w:t>
      </w:r>
      <w:hyperlink w:history="1" r:id="rIdsix4c-ermwyl9h-xai5lm">
        <w:r>
          <w:rPr>
            <w:rFonts w:ascii="Times New Roman" w:eastAsia="SimSun"/>
            <w:color w:val="3E6B62"/>
            <w:sz w:val="20"/>
            <w:szCs w:val="20"/>
            <w:u w:val="single"/>
          </w:rPr>
          <w:t xml:space="preserve">https://medium.com/@hanifmaliki/concurrency-in-go-pessimistic-optimistic-and-redis-distributed-locks-explained-77125355594d</w:t>
        </w:r>
      </w:hyperlink>
    </w:p>
    <w:p>
      <w:pPr>
        <w:spacing w:after="100" w:line="312"/>
        <w:ind w:left="480" w:hanging="480"/>
      </w:pPr>
      <w:r>
        <w:rPr>
          <w:rFonts w:ascii="Times New Roman" w:eastAsia="SimSun"/>
          <w:b/>
          <w:bCs/>
          <w:color w:val="000000"/>
          <w:sz w:val="22"/>
          <w:szCs w:val="22"/>
        </w:rPr>
        <w:t xml:space="preserve">[7] </w:t>
      </w:r>
      <w:r>
        <w:rPr>
          <w:rFonts w:ascii="Times New Roman" w:eastAsia="SimSun"/>
          <w:color w:val="000000"/>
          <w:sz w:val="22"/>
          <w:szCs w:val="22"/>
        </w:rPr>
        <w:t xml:space="preserve">Dev-Exp-Share. Optimistic Locking vs Pessimistic Locking. </w:t>
      </w:r>
      <w:hyperlink w:history="1" r:id="rIddrzgqdjyb85t9t-axvs_x">
        <w:r>
          <w:rPr>
            <w:rFonts w:ascii="Times New Roman" w:eastAsia="SimSun"/>
            <w:color w:val="3E6B62"/>
            <w:sz w:val="20"/>
            <w:szCs w:val="20"/>
            <w:u w:val="single"/>
          </w:rPr>
          <w:t xml:space="preserve">https://dev-exp-share.readthedocs.io/en/latest/002200-Optimistic-Locking-Pessimistic-Locking-EN/index.html</w:t>
        </w:r>
      </w:hyperlink>
    </w:p>
    <w:p>
      <w:pPr>
        <w:spacing w:after="100" w:line="312"/>
        <w:ind w:left="480" w:hanging="480"/>
      </w:pPr>
      <w:r>
        <w:rPr>
          <w:rFonts w:ascii="Times New Roman" w:eastAsia="SimSun"/>
          <w:b/>
          <w:bCs/>
          <w:color w:val="000000"/>
          <w:sz w:val="22"/>
          <w:szCs w:val="22"/>
        </w:rPr>
        <w:t xml:space="preserve">[8] </w:t>
      </w:r>
      <w:r>
        <w:rPr>
          <w:rFonts w:ascii="Times New Roman" w:eastAsia="SimSun"/>
          <w:color w:val="000000"/>
          <w:sz w:val="22"/>
          <w:szCs w:val="22"/>
        </w:rPr>
        <w:t xml:space="preserve">Microservices.io. Pattern: Saga. </w:t>
      </w:r>
      <w:hyperlink w:history="1" r:id="rIdlt9ufqyphu6uwq47yhsut">
        <w:r>
          <w:rPr>
            <w:rFonts w:ascii="Times New Roman" w:eastAsia="SimSun"/>
            <w:color w:val="3E6B62"/>
            <w:sz w:val="20"/>
            <w:szCs w:val="20"/>
            <w:u w:val="single"/>
          </w:rPr>
          <w:t xml:space="preserve">https://microservices.io/patterns/data/saga.html</w:t>
        </w:r>
      </w:hyperlink>
    </w:p>
    <w:p>
      <w:pPr>
        <w:spacing w:after="100" w:line="312"/>
        <w:ind w:left="480" w:hanging="480"/>
      </w:pPr>
      <w:r>
        <w:rPr>
          <w:rFonts w:ascii="Times New Roman" w:eastAsia="SimSun"/>
          <w:b/>
          <w:bCs/>
          <w:color w:val="000000"/>
          <w:sz w:val="22"/>
          <w:szCs w:val="22"/>
        </w:rPr>
        <w:t xml:space="preserve">[9] </w:t>
      </w:r>
      <w:r>
        <w:rPr>
          <w:rFonts w:ascii="Times New Roman" w:eastAsia="SimSun"/>
          <w:color w:val="000000"/>
          <w:sz w:val="22"/>
          <w:szCs w:val="22"/>
        </w:rPr>
        <w:t xml:space="preserve">Microsoft Azure Architecture Center. Saga Design Pattern. </w:t>
      </w:r>
      <w:hyperlink w:history="1" r:id="rIdzreyjxcbl6sovxnzl0gwn">
        <w:r>
          <w:rPr>
            <w:rFonts w:ascii="Times New Roman" w:eastAsia="SimSun"/>
            <w:color w:val="3E6B62"/>
            <w:sz w:val="20"/>
            <w:szCs w:val="20"/>
            <w:u w:val="single"/>
          </w:rPr>
          <w:t xml:space="preserve">https://learn.microsoft.com/en-us/azure/architecture/patterns/saga</w:t>
        </w:r>
      </w:hyperlink>
    </w:p>
    <w:p>
      <w:pPr>
        <w:spacing w:after="100" w:line="312"/>
        <w:ind w:left="480" w:hanging="480"/>
      </w:pPr>
      <w:r>
        <w:rPr>
          <w:rFonts w:ascii="Times New Roman" w:eastAsia="SimSun"/>
          <w:b/>
          <w:bCs/>
          <w:color w:val="000000"/>
          <w:sz w:val="22"/>
          <w:szCs w:val="22"/>
        </w:rPr>
        <w:t xml:space="preserve">[10] </w:t>
      </w:r>
      <w:r>
        <w:rPr>
          <w:rFonts w:ascii="Times New Roman" w:eastAsia="SimSun"/>
          <w:color w:val="000000"/>
          <w:sz w:val="22"/>
          <w:szCs w:val="22"/>
        </w:rPr>
        <w:t xml:space="preserve">Aseem (Medium). Mastering Distributed Transactions: From 2PC to the Saga Pattern. </w:t>
      </w:r>
      <w:hyperlink w:history="1" r:id="rIdzhohdj1me_rkukz0rqdj9">
        <w:r>
          <w:rPr>
            <w:rFonts w:ascii="Times New Roman" w:eastAsia="SimSun"/>
            <w:color w:val="3E6B62"/>
            <w:sz w:val="20"/>
            <w:szCs w:val="20"/>
            <w:u w:val="single"/>
          </w:rPr>
          <w:t xml:space="preserve">https://medium.com/@aseem2372005/mastering-distributed-transactions-from-2pc-to-the-saga-pattern-690483d565c8</w:t>
        </w:r>
      </w:hyperlink>
    </w:p>
    <w:p>
      <w:pPr>
        <w:spacing w:after="100" w:line="312"/>
        <w:ind w:left="480" w:hanging="480"/>
      </w:pPr>
      <w:r>
        <w:rPr>
          <w:rFonts w:ascii="Times New Roman" w:eastAsia="SimSun"/>
          <w:b/>
          <w:bCs/>
          <w:color w:val="000000"/>
          <w:sz w:val="22"/>
          <w:szCs w:val="22"/>
        </w:rPr>
        <w:t xml:space="preserve">[11] </w:t>
      </w:r>
      <w:r>
        <w:rPr>
          <w:rFonts w:ascii="Times New Roman" w:eastAsia="SimSun"/>
          <w:color w:val="000000"/>
          <w:sz w:val="22"/>
          <w:szCs w:val="22"/>
        </w:rPr>
        <w:t xml:space="preserve">AWS Documentation. Use Elastic Load Balancing to Distribute Incoming Application Traffic. </w:t>
      </w:r>
      <w:hyperlink w:history="1" r:id="rIdqitzxwjox9em3eeiq89ql">
        <w:r>
          <w:rPr>
            <w:rFonts w:ascii="Times New Roman" w:eastAsia="SimSun"/>
            <w:color w:val="3E6B62"/>
            <w:sz w:val="20"/>
            <w:szCs w:val="20"/>
            <w:u w:val="single"/>
          </w:rPr>
          <w:t xml:space="preserve">https://docs.aws.amazon.com/autoscaling/ec2/userguide/autoscaling-load-balancer.html</w:t>
        </w:r>
      </w:hyperlink>
    </w:p>
    <w:p>
      <w:pPr>
        <w:spacing w:after="100" w:line="312"/>
        <w:ind w:left="480" w:hanging="480"/>
      </w:pPr>
      <w:r>
        <w:rPr>
          <w:rFonts w:ascii="Times New Roman" w:eastAsia="SimSun"/>
          <w:b/>
          <w:bCs/>
          <w:color w:val="000000"/>
          <w:sz w:val="22"/>
          <w:szCs w:val="22"/>
        </w:rPr>
        <w:t xml:space="preserve">[12] </w:t>
      </w:r>
      <w:r>
        <w:rPr>
          <w:rFonts w:ascii="Times New Roman" w:eastAsia="SimSun"/>
          <w:color w:val="000000"/>
          <w:sz w:val="22"/>
          <w:szCs w:val="22"/>
        </w:rPr>
        <w:t xml:space="preserve">Kamalmeet Singh (Medium). Handling High Traffic: Load Balancing and Caching. </w:t>
      </w:r>
      <w:hyperlink w:history="1" r:id="rIdmsw_qfxhgd0pnw7qcckjy">
        <w:r>
          <w:rPr>
            <w:rFonts w:ascii="Times New Roman" w:eastAsia="SimSun"/>
            <w:color w:val="3E6B62"/>
            <w:sz w:val="20"/>
            <w:szCs w:val="20"/>
            <w:u w:val="single"/>
          </w:rPr>
          <w:t xml:space="preserve">https://medium.com/@kamalmeet/handling-high-traffic-load-balancing-and-caching-c5644b6e7a85</w:t>
        </w:r>
      </w:hyperlink>
    </w:p>
    <w:p>
      <w:pPr>
        <w:spacing w:after="100" w:line="312"/>
        <w:ind w:left="480" w:hanging="480"/>
      </w:pPr>
      <w:r>
        <w:rPr>
          <w:rFonts w:ascii="Times New Roman" w:eastAsia="SimSun"/>
          <w:b/>
          <w:bCs/>
          <w:color w:val="000000"/>
          <w:sz w:val="22"/>
          <w:szCs w:val="22"/>
        </w:rPr>
        <w:t xml:space="preserve">[13] </w:t>
      </w:r>
      <w:r>
        <w:rPr>
          <w:rFonts w:ascii="Times New Roman" w:eastAsia="SimSun"/>
          <w:color w:val="000000"/>
          <w:sz w:val="22"/>
          <w:szCs w:val="22"/>
        </w:rPr>
        <w:t xml:space="preserve">Xurrent. 11 Top Load Balancers for 2026 (Cloud, Enterprise &amp; Open Source). </w:t>
      </w:r>
      <w:hyperlink w:history="1" r:id="rIdl0jya2c7g4f9hl2i3lv0m">
        <w:r>
          <w:rPr>
            <w:rFonts w:ascii="Times New Roman" w:eastAsia="SimSun"/>
            <w:color w:val="3E6B62"/>
            <w:sz w:val="20"/>
            <w:szCs w:val="20"/>
            <w:u w:val="single"/>
          </w:rPr>
          <w:t xml:space="preserve">https://www.xurrent.com/blog/top-load-balancers</w:t>
        </w:r>
      </w:hyperlink>
    </w:p>
    <w:p>
      <w:pPr>
        <w:spacing w:after="100" w:line="312"/>
        <w:ind w:left="480" w:hanging="480"/>
      </w:pPr>
      <w:r>
        <w:rPr>
          <w:rFonts w:ascii="Times New Roman" w:eastAsia="SimSun"/>
          <w:b/>
          <w:bCs/>
          <w:color w:val="000000"/>
          <w:sz w:val="22"/>
          <w:szCs w:val="22"/>
        </w:rPr>
        <w:t xml:space="preserve">[14] </w:t>
      </w:r>
      <w:r>
        <w:rPr>
          <w:rFonts w:ascii="Times New Roman" w:eastAsia="SimSun"/>
          <w:color w:val="000000"/>
          <w:sz w:val="22"/>
          <w:szCs w:val="22"/>
        </w:rPr>
        <w:t xml:space="preserve">Digital Applied. AI Context Window Comparison 2026: 1M to 10M Tokens. </w:t>
      </w:r>
      <w:hyperlink w:history="1" r:id="rIdsb-z2bhlmeywgrej34rgb">
        <w:r>
          <w:rPr>
            <w:rFonts w:ascii="Times New Roman" w:eastAsia="SimSun"/>
            <w:color w:val="3E6B62"/>
            <w:sz w:val="20"/>
            <w:szCs w:val="20"/>
            <w:u w:val="single"/>
          </w:rPr>
          <w:t xml:space="preserve">https://www.digitalapplied.com</w:t>
        </w:r>
      </w:hyperlink>
    </w:p>
    <w:p>
      <w:pPr>
        <w:spacing w:after="100" w:line="312"/>
        <w:ind w:left="480" w:hanging="480"/>
      </w:pPr>
      <w:r>
        <w:rPr>
          <w:rFonts w:ascii="Times New Roman" w:eastAsia="SimSun"/>
          <w:b/>
          <w:bCs/>
          <w:color w:val="000000"/>
          <w:sz w:val="22"/>
          <w:szCs w:val="22"/>
        </w:rPr>
        <w:t xml:space="preserve">[15] </w:t>
      </w:r>
      <w:r>
        <w:rPr>
          <w:rFonts w:ascii="Times New Roman" w:eastAsia="SimSun"/>
          <w:color w:val="000000"/>
          <w:sz w:val="22"/>
          <w:szCs w:val="22"/>
        </w:rPr>
        <w:t xml:space="preserve">Elvex. AI Model Context Window Comparison 2026: Advertised vs Effective. </w:t>
      </w:r>
      <w:hyperlink w:history="1" r:id="rIdcsin7zdth2yo2wtnfvsw4">
        <w:r>
          <w:rPr>
            <w:rFonts w:ascii="Times New Roman" w:eastAsia="SimSun"/>
            <w:color w:val="3E6B62"/>
            <w:sz w:val="20"/>
            <w:szCs w:val="20"/>
            <w:u w:val="single"/>
          </w:rPr>
          <w:t xml:space="preserve">https://www.elvex.com</w:t>
        </w:r>
      </w:hyperlink>
    </w:p>
    <w:p>
      <w:pPr>
        <w:spacing w:after="100" w:line="312"/>
        <w:ind w:left="480" w:hanging="480"/>
      </w:pPr>
      <w:r>
        <w:rPr>
          <w:rFonts w:ascii="Times New Roman" w:eastAsia="SimSun"/>
          <w:b/>
          <w:bCs/>
          <w:color w:val="000000"/>
          <w:sz w:val="22"/>
          <w:szCs w:val="22"/>
        </w:rPr>
        <w:t xml:space="preserve">[16] </w:t>
      </w:r>
      <w:r>
        <w:rPr>
          <w:rFonts w:ascii="Times New Roman" w:eastAsia="SimSun"/>
          <w:color w:val="000000"/>
          <w:sz w:val="22"/>
          <w:szCs w:val="22"/>
        </w:rPr>
        <w:t xml:space="preserve">CodingScape. LLMs with Largest Context Windows. </w:t>
      </w:r>
      <w:hyperlink w:history="1" r:id="rIdhuanpov5s07npuv7kljhp">
        <w:r>
          <w:rPr>
            <w:rFonts w:ascii="Times New Roman" w:eastAsia="SimSun"/>
            <w:color w:val="3E6B62"/>
            <w:sz w:val="20"/>
            <w:szCs w:val="20"/>
            <w:u w:val="single"/>
          </w:rPr>
          <w:t xml:space="preserve">https://codingscape.com</w:t>
        </w:r>
      </w:hyperlink>
    </w:p>
    <w:p>
      <w:pPr>
        <w:spacing w:after="100" w:line="312"/>
        <w:ind w:left="480" w:hanging="480"/>
      </w:pPr>
      <w:r>
        <w:rPr>
          <w:rFonts w:ascii="Times New Roman" w:eastAsia="SimSun"/>
          <w:b/>
          <w:bCs/>
          <w:color w:val="000000"/>
          <w:sz w:val="22"/>
          <w:szCs w:val="22"/>
        </w:rPr>
        <w:t xml:space="preserve">[17] </w:t>
      </w:r>
      <w:r>
        <w:rPr>
          <w:rFonts w:ascii="Times New Roman" w:eastAsia="SimSun"/>
          <w:color w:val="000000"/>
          <w:sz w:val="22"/>
          <w:szCs w:val="22"/>
        </w:rPr>
        <w:t xml:space="preserve">Zylos AI. LLM Context Window Management and Long-Context Optimization. </w:t>
      </w:r>
      <w:hyperlink w:history="1" r:id="rIdtqtjnbqrmxhiwglqwpfqo">
        <w:r>
          <w:rPr>
            <w:rFonts w:ascii="Times New Roman" w:eastAsia="SimSun"/>
            <w:color w:val="3E6B62"/>
            <w:sz w:val="20"/>
            <w:szCs w:val="20"/>
            <w:u w:val="single"/>
          </w:rPr>
          <w:t xml:space="preserve">https://zylos.ai</w:t>
        </w:r>
      </w:hyperlink>
    </w:p>
    <w:p>
      <w:pPr>
        <w:spacing w:after="100" w:line="312"/>
        <w:ind w:left="480" w:hanging="480"/>
      </w:pPr>
      <w:r>
        <w:rPr>
          <w:rFonts w:ascii="Times New Roman" w:eastAsia="SimSun"/>
          <w:b/>
          <w:bCs/>
          <w:color w:val="000000"/>
          <w:sz w:val="22"/>
          <w:szCs w:val="22"/>
        </w:rPr>
        <w:t xml:space="preserve">[18] </w:t>
      </w:r>
      <w:r>
        <w:rPr>
          <w:rFonts w:ascii="Times New Roman" w:eastAsia="SimSun"/>
          <w:color w:val="000000"/>
          <w:sz w:val="22"/>
          <w:szCs w:val="22"/>
        </w:rPr>
        <w:t xml:space="preserve">Risi (LinkedIn). Modernizing Data: From Relational Databases to Polyglot Persistence. </w:t>
      </w:r>
      <w:hyperlink w:history="1" r:id="rIdg_lnepqoo-s38v_q03u6t">
        <w:r>
          <w:rPr>
            <w:rFonts w:ascii="Times New Roman" w:eastAsia="SimSun"/>
            <w:color w:val="3E6B62"/>
            <w:sz w:val="20"/>
            <w:szCs w:val="20"/>
            <w:u w:val="single"/>
          </w:rPr>
          <w:t xml:space="preserve">https://www.linkedin.com/pulse/modernizing-data-from-relational-databases-polyglot-persistence-risi-lr9gf</w:t>
        </w:r>
      </w:hyperlink>
    </w:p>
    <w:p>
      <w:pPr>
        <w:spacing w:after="100" w:line="312"/>
        <w:ind w:left="480" w:hanging="480"/>
      </w:pPr>
      <w:r>
        <w:rPr>
          <w:rFonts w:ascii="Times New Roman" w:eastAsia="SimSun"/>
          <w:b/>
          <w:bCs/>
          <w:color w:val="000000"/>
          <w:sz w:val="22"/>
          <w:szCs w:val="22"/>
        </w:rPr>
        <w:t xml:space="preserve">[19] </w:t>
      </w:r>
      <w:r>
        <w:rPr>
          <w:rFonts w:ascii="Times New Roman" w:eastAsia="SimSun"/>
          <w:color w:val="000000"/>
          <w:sz w:val="22"/>
          <w:szCs w:val="22"/>
        </w:rPr>
        <w:t xml:space="preserve">Immuta. How to Decentralize Data Access Policies in the Data Mesh Architecture. </w:t>
      </w:r>
      <w:hyperlink w:history="1" r:id="rIdwtmizja3fzd32oo2zwgha">
        <w:r>
          <w:rPr>
            <w:rFonts w:ascii="Times New Roman" w:eastAsia="SimSun"/>
            <w:color w:val="3E6B62"/>
            <w:sz w:val="20"/>
            <w:szCs w:val="20"/>
            <w:u w:val="single"/>
          </w:rPr>
          <w:t xml:space="preserve">https://www.immuta.com/blog/how-to-decentralize-data-access-policies-in-the-data-mesh-architecture</w:t>
        </w:r>
      </w:hyperlink>
    </w:p>
    <w:p>
      <w:pPr>
        <w:spacing w:after="100" w:line="312"/>
        <w:ind w:left="480" w:hanging="480"/>
      </w:pPr>
      <w:r>
        <w:rPr>
          <w:rFonts w:ascii="Times New Roman" w:eastAsia="SimSun"/>
          <w:b/>
          <w:bCs/>
          <w:color w:val="000000"/>
          <w:sz w:val="22"/>
          <w:szCs w:val="22"/>
        </w:rPr>
        <w:t xml:space="preserve">[20] </w:t>
      </w:r>
      <w:r>
        <w:rPr>
          <w:rFonts w:ascii="Times New Roman" w:eastAsia="SimSun"/>
          <w:color w:val="000000"/>
          <w:sz w:val="22"/>
          <w:szCs w:val="22"/>
        </w:rPr>
        <w:t xml:space="preserve">DataHub. What Is Data Mesh? (March 2026) </w:t>
      </w:r>
      <w:hyperlink w:history="1" r:id="rIdb5wenxlknzyghstww1-pp">
        <w:r>
          <w:rPr>
            <w:rFonts w:ascii="Times New Roman" w:eastAsia="SimSun"/>
            <w:color w:val="3E6B62"/>
            <w:sz w:val="20"/>
            <w:szCs w:val="20"/>
            <w:u w:val="single"/>
          </w:rPr>
          <w:t xml:space="preserve">https://datahub.com/blog/what-is-data-mesh</w:t>
        </w:r>
      </w:hyperlink>
    </w:p>
    <w:p>
      <w:pPr>
        <w:spacing w:after="100" w:line="312"/>
        <w:ind w:left="480" w:hanging="480"/>
      </w:pPr>
      <w:r>
        <w:rPr>
          <w:rFonts w:ascii="Times New Roman" w:eastAsia="SimSun"/>
          <w:b/>
          <w:bCs/>
          <w:color w:val="000000"/>
          <w:sz w:val="22"/>
          <w:szCs w:val="22"/>
        </w:rPr>
        <w:t xml:space="preserve">[21] </w:t>
      </w:r>
      <w:r>
        <w:rPr>
          <w:rFonts w:ascii="Times New Roman" w:eastAsia="SimSun"/>
          <w:color w:val="000000"/>
          <w:sz w:val="22"/>
          <w:szCs w:val="22"/>
        </w:rPr>
        <w:t xml:space="preserve">Domo. Best Data Mesh Tools for Modern Data Teams in 2026. </w:t>
      </w:r>
      <w:hyperlink w:history="1" r:id="rIdtszxffxmytlwja4udwm7p">
        <w:r>
          <w:rPr>
            <w:rFonts w:ascii="Times New Roman" w:eastAsia="SimSun"/>
            <w:color w:val="3E6B62"/>
            <w:sz w:val="20"/>
            <w:szCs w:val="20"/>
            <w:u w:val="single"/>
          </w:rPr>
          <w:t xml:space="preserve">https://www.domo.com/learn/article/best-data-mesh-tools</w:t>
        </w:r>
      </w:hyperlink>
    </w:p>
    <w:p>
      <w:pPr>
        <w:spacing w:after="100" w:line="312"/>
        <w:ind w:left="480" w:hanging="480"/>
      </w:pPr>
      <w:r>
        <w:rPr>
          <w:rFonts w:ascii="Times New Roman" w:eastAsia="SimSun"/>
          <w:b/>
          <w:bCs/>
          <w:color w:val="000000"/>
          <w:sz w:val="22"/>
          <w:szCs w:val="22"/>
        </w:rPr>
        <w:t xml:space="preserve">[22] </w:t>
      </w:r>
      <w:r>
        <w:rPr>
          <w:rFonts w:ascii="Times New Roman" w:eastAsia="SimSun"/>
          <w:color w:val="000000"/>
          <w:sz w:val="22"/>
          <w:szCs w:val="22"/>
        </w:rPr>
        <w:t xml:space="preserve">URF Publishers. Polyglot Persistence: Usage and Challenges. </w:t>
      </w:r>
      <w:hyperlink w:history="1" r:id="rIdbbvyenikfxbkfg5lzkzew">
        <w:r>
          <w:rPr>
            <w:rFonts w:ascii="Times New Roman" w:eastAsia="SimSun"/>
            <w:color w:val="3E6B62"/>
            <w:sz w:val="20"/>
            <w:szCs w:val="20"/>
            <w:u w:val="single"/>
          </w:rPr>
          <w:t xml:space="preserve">https://urfpublishers.com/article/view/polyglot-persistence-usage-and-challenges</w:t>
        </w:r>
      </w:hyperlink>
    </w:p>
    <w:p>
      <w:pPr>
        <w:spacing w:after="100" w:line="312"/>
        <w:ind w:left="480" w:hanging="480"/>
      </w:pPr>
      <w:r>
        <w:rPr>
          <w:rFonts w:ascii="Times New Roman" w:eastAsia="SimSun"/>
          <w:b/>
          <w:bCs/>
          <w:color w:val="000000"/>
          <w:sz w:val="22"/>
          <w:szCs w:val="22"/>
        </w:rPr>
        <w:t xml:space="preserve">[23] </w:t>
      </w:r>
      <w:r>
        <w:rPr>
          <w:rFonts w:ascii="Times New Roman" w:eastAsia="SimSun"/>
          <w:color w:val="000000"/>
          <w:sz w:val="22"/>
          <w:szCs w:val="22"/>
        </w:rPr>
        <w:t xml:space="preserve">Anthropic. Effective Context Engineering for AI Agents. </w:t>
      </w:r>
      <w:hyperlink w:history="1" r:id="rIdzfi6lsvlkve5yz8mdl51j">
        <w:r>
          <w:rPr>
            <w:rFonts w:ascii="Times New Roman" w:eastAsia="SimSun"/>
            <w:color w:val="3E6B62"/>
            <w:sz w:val="20"/>
            <w:szCs w:val="20"/>
            <w:u w:val="single"/>
          </w:rPr>
          <w:t xml:space="preserve">https://www.anthropic.com/engineering/effective-context-engineering-for-ai-agents</w:t>
        </w:r>
      </w:hyperlink>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808080"/>
        <w:sz w:val="18"/>
        <w:szCs w:val="18"/>
      </w:rPr>
      <w:t xml:space="preserve">Scalability, Concurrency &amp; Multi-Database Architecture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808080"/>
        <w:sz w:val="18"/>
        <w:szCs w:val="18"/>
      </w:rPr>
      <w:t xml:space="preserve">Scalability, Concurrency &amp; Multi-Database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Arial" w:eastAsia="SimHei"/>
      <w:b/>
      <w:bCs/>
      <w:color w:val="0B1C2C"/>
      <w:sz w:val="32"/>
      <w:szCs w:val="32"/>
    </w:rPr>
  </w:style>
  <w:style w:type="paragraph" w:styleId="Heading2">
    <w:name w:val="Heading 2"/>
    <w:basedOn w:val="Normal"/>
    <w:next w:val="Normal"/>
    <w:qFormat/>
    <w:pPr>
      <w:spacing w:after="120" w:before="280" w:line="312"/>
      <w:outlineLvl w:val="1"/>
    </w:pPr>
    <w:rPr>
      <w:rFonts w:ascii="Arial" w:eastAsia="SimHei"/>
      <w:b/>
      <w:bCs/>
      <w:color w:val="0B1C2C"/>
      <w:sz w:val="28"/>
      <w:szCs w:val="28"/>
    </w:rPr>
  </w:style>
  <w:style w:type="paragraph" w:styleId="Heading3">
    <w:name w:val="Heading 3"/>
    <w:basedOn w:val="Normal"/>
    <w:next w:val="Normal"/>
    <w:qFormat/>
    <w:pPr>
      <w:spacing w:after="100" w:before="220" w:line="312"/>
      <w:outlineLvl w:val="2"/>
    </w:pPr>
    <w:rPr>
      <w:rFonts w:ascii="Arial" w:eastAsia="SimHei"/>
      <w:b/>
      <w:bCs/>
      <w:color w:val="0B1C2C"/>
      <w:sz w:val="24"/>
      <w:szCs w:val="24"/>
    </w:rPr>
  </w:style>
  <w:style w:type="paragraph" w:styleId="Heading4">
    <w:name w:val="Heading 4"/>
    <w:basedOn w:val="Normal"/>
    <w:next w:val="Normal"/>
    <w:qFormat/>
    <w:pPr>
      <w:spacing w:after="80" w:before="180" w:line="312"/>
      <w:outlineLvl w:val="3"/>
    </w:pPr>
    <w:rPr>
      <w:rFonts w:ascii="Arial" w:eastAsia="SimHei"/>
      <w:b/>
      <w:bCs/>
      <w:color w:val="3E6B62"/>
      <w:sz w:val="22"/>
      <w:szCs w:val="22"/>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b-rxapvkxz3phyri2_hue" Type="http://schemas.openxmlformats.org/officeDocument/2006/relationships/hyperlink" Target="https://www.pingcap.com/compare/best-databases-for-saas-applications-at-scale" TargetMode="External"/><Relationship Id="rId9hpuqr8nwjwv5vooygqjm" Type="http://schemas.openxmlformats.org/officeDocument/2006/relationships/hyperlink" Target="https://www.jusdb.com/blog/database-schema-design-for-scalability-summary-and-best-practices" TargetMode="External"/><Relationship Id="rIdgsrbx9uprcigbnjpyywju" Type="http://schemas.openxmlformats.org/officeDocument/2006/relationships/hyperlink" Target="https://planetscale.com/blog/what-is-database-sharding-and-how-does-it-work" TargetMode="External"/><Relationship Id="rIdkrdbf4dmaroatrqx9cwcj" Type="http://schemas.openxmlformats.org/officeDocument/2006/relationships/hyperlink" Target="https://systemdr.systemdrd.com/p/database-scaling-patterns-read-replicas" TargetMode="External"/><Relationship Id="rId4axppppsqgcksxvaxfno5" Type="http://schemas.openxmlformats.org/officeDocument/2006/relationships/hyperlink" Target="https://dev.to/young_gao/distributed-locking-preventing-race-conditions-across-services-2e35" TargetMode="External"/><Relationship Id="rIdsix4c-ermwyl9h-xai5lm" Type="http://schemas.openxmlformats.org/officeDocument/2006/relationships/hyperlink" Target="https://medium.com/@hanifmaliki/concurrency-in-go-pessimistic-optimistic-and-redis-distributed-locks-explained-77125355594d" TargetMode="External"/><Relationship Id="rIddrzgqdjyb85t9t-axvs_x" Type="http://schemas.openxmlformats.org/officeDocument/2006/relationships/hyperlink" Target="https://dev-exp-share.readthedocs.io/en/latest/002200-Optimistic-Locking-Pessimistic-Locking-EN/index.html" TargetMode="External"/><Relationship Id="rIdlt9ufqyphu6uwq47yhsut" Type="http://schemas.openxmlformats.org/officeDocument/2006/relationships/hyperlink" Target="https://microservices.io/patterns/data/saga.html" TargetMode="External"/><Relationship Id="rIdzreyjxcbl6sovxnzl0gwn" Type="http://schemas.openxmlformats.org/officeDocument/2006/relationships/hyperlink" Target="https://learn.microsoft.com/en-us/azure/architecture/patterns/saga" TargetMode="External"/><Relationship Id="rIdzhohdj1me_rkukz0rqdj9" Type="http://schemas.openxmlformats.org/officeDocument/2006/relationships/hyperlink" Target="https://medium.com/@aseem2372005/mastering-distributed-transactions-from-2pc-to-the-saga-pattern-690483d565c8" TargetMode="External"/><Relationship Id="rIdqitzxwjox9em3eeiq89ql" Type="http://schemas.openxmlformats.org/officeDocument/2006/relationships/hyperlink" Target="https://docs.aws.amazon.com/autoscaling/ec2/userguide/autoscaling-load-balancer.html" TargetMode="External"/><Relationship Id="rIdmsw_qfxhgd0pnw7qcckjy" Type="http://schemas.openxmlformats.org/officeDocument/2006/relationships/hyperlink" Target="https://medium.com/@kamalmeet/handling-high-traffic-load-balancing-and-caching-c5644b6e7a85" TargetMode="External"/><Relationship Id="rIdl0jya2c7g4f9hl2i3lv0m" Type="http://schemas.openxmlformats.org/officeDocument/2006/relationships/hyperlink" Target="https://www.xurrent.com/blog/top-load-balancers" TargetMode="External"/><Relationship Id="rIdsb-z2bhlmeywgrej34rgb" Type="http://schemas.openxmlformats.org/officeDocument/2006/relationships/hyperlink" Target="https://www.digitalapplied.com" TargetMode="External"/><Relationship Id="rIdcsin7zdth2yo2wtnfvsw4" Type="http://schemas.openxmlformats.org/officeDocument/2006/relationships/hyperlink" Target="https://www.elvex.com" TargetMode="External"/><Relationship Id="rIdhuanpov5s07npuv7kljhp" Type="http://schemas.openxmlformats.org/officeDocument/2006/relationships/hyperlink" Target="https://codingscape.com" TargetMode="External"/><Relationship Id="rIdtqtjnbqrmxhiwglqwpfqo" Type="http://schemas.openxmlformats.org/officeDocument/2006/relationships/hyperlink" Target="https://zylos.ai" TargetMode="External"/><Relationship Id="rIdg_lnepqoo-s38v_q03u6t" Type="http://schemas.openxmlformats.org/officeDocument/2006/relationships/hyperlink" Target="https://www.linkedin.com/pulse/modernizing-data-from-relational-databases-polyglot-persistence-risi-lr9gf" TargetMode="External"/><Relationship Id="rIdwtmizja3fzd32oo2zwgha" Type="http://schemas.openxmlformats.org/officeDocument/2006/relationships/hyperlink" Target="https://www.immuta.com/blog/how-to-decentralize-data-access-policies-in-the-data-mesh-architecture" TargetMode="External"/><Relationship Id="rIdb5wenxlknzyghstww1-pp" Type="http://schemas.openxmlformats.org/officeDocument/2006/relationships/hyperlink" Target="https://datahub.com/blog/what-is-data-mesh" TargetMode="External"/><Relationship Id="rIdtszxffxmytlwja4udwm7p" Type="http://schemas.openxmlformats.org/officeDocument/2006/relationships/hyperlink" Target="https://www.domo.com/learn/article/best-data-mesh-tools" TargetMode="External"/><Relationship Id="rIdbbvyenikfxbkfg5lzkzew" Type="http://schemas.openxmlformats.org/officeDocument/2006/relationships/hyperlink" Target="https://urfpublishers.com/article/view/polyglot-persistence-usage-and-challenges" TargetMode="External"/><Relationship Id="rIdzfi6lsvlkve5yz8mdl51j" Type="http://schemas.openxmlformats.org/officeDocument/2006/relationships/hyperlink" Target="https://www.anthropic.com/engineering/effective-context-engineering-for-ai-agents"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2026-08-27T13:42:47.684Z</dcterms:created>
  <dcterms:modified xsi:type="dcterms:W3CDTF">2026-08-27T13:42:47.685Z</dcterms:modified>
</cp:coreProperties>
</file>

<file path=docProps/custom.xml><?xml version="1.0" encoding="utf-8"?>
<Properties xmlns="http://schemas.openxmlformats.org/officeDocument/2006/custom-properties" xmlns:vt="http://schemas.openxmlformats.org/officeDocument/2006/docPropsVTypes"/>
</file>