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162235" w:val="clear"/>
          </w:tcPr>
          <w:p>
            <w:pPr>
              <w:spacing w:before="3750"/>
            </w:pPr>
          </w:p>
          <w:p>
            <w:pPr>
              <w:pBdr>
                <w:bottom w:val="single" w:color="37DCF2" w:sz="6" w:space="8"/>
              </w:pBdr>
              <w:spacing w:after="500"/>
              <w:ind w:left="1200" w:right="800"/>
            </w:pPr>
            <w:r>
              <w:rPr>
                <w:rFonts w:ascii="Calibri" w:eastAsia="SimHei"/>
                <w:color w:val="37DCF2"/>
                <w:spacing w:val="40"/>
                <w:sz w:val="18"/>
                <w:szCs w:val="18"/>
              </w:rPr>
              <w:t xml:space="preserve">B  U  S  I  N  E  S  S     P  R  O  F  E  S  S  I  O  N  A  L     R  E  S  E  A  R  C  H</w:t>
            </w:r>
          </w:p>
          <w:p>
            <w:pPr>
              <w:spacing w:after="100" w:line="690" w:lineRule="atLeast"/>
              <w:ind w:left="1200"/>
            </w:pPr>
            <w:r>
              <w:rPr>
                <w:rFonts w:ascii="Arial" w:eastAsia="SimHei"/>
                <w:b/>
                <w:bCs/>
                <w:color w:val="FFFFFF"/>
                <w:sz w:val="60"/>
                <w:szCs w:val="60"/>
              </w:rPr>
              <w:t xml:space="preserve">Prompting AI Builder Agents</w:t>
            </w:r>
          </w:p>
          <w:p>
            <w:pPr>
              <w:spacing w:after="100" w:line="690" w:lineRule="atLeast"/>
              <w:ind w:left="1200"/>
            </w:pPr>
            <w:r>
              <w:rPr>
                <w:rFonts w:ascii="Arial" w:eastAsia="SimHei"/>
                <w:b/>
                <w:bCs/>
                <w:color w:val="FFFFFF"/>
                <w:sz w:val="60"/>
                <w:szCs w:val="60"/>
              </w:rPr>
              <w:t xml:space="preserve">for Production-Grade Full-</w:t>
            </w:r>
          </w:p>
          <w:p>
            <w:pPr>
              <w:spacing w:after="300" w:line="690" w:lineRule="atLeast"/>
              <w:ind w:left="1200"/>
            </w:pPr>
            <w:r>
              <w:rPr>
                <w:rFonts w:ascii="Arial" w:eastAsia="SimHei"/>
                <w:b/>
                <w:bCs/>
                <w:color w:val="FFFFFF"/>
                <w:sz w:val="60"/>
                <w:szCs w:val="60"/>
              </w:rPr>
              <w:t xml:space="preserve">Stack Systems</w:t>
            </w:r>
          </w:p>
          <w:p>
            <w:pPr>
              <w:spacing w:after="800"/>
              <w:ind w:left="1200"/>
            </w:pPr>
            <w:r>
              <w:rPr>
                <w:rFonts w:ascii="Arial" w:eastAsia="Microsoft YaHei"/>
                <w:color w:val="B0B8C0"/>
                <w:sz w:val="22"/>
                <w:szCs w:val="22"/>
              </w:rPr>
              <w:t xml:space="preserve">A Prompt Engineering and Workflow Guide for Solo and Multi-Agent Builds Using the Production-Ready Full-Stack Systems Foundation</w:t>
            </w:r>
          </w:p>
          <w:p>
            <w:pPr>
              <w:pBdr>
                <w:left w:val="single" w:color="37DCF2" w:sz="8" w:space="12"/>
              </w:pBdr>
              <w:spacing w:after="80"/>
              <w:ind w:left="1400"/>
            </w:pPr>
            <w:r>
              <w:rPr>
                <w:rFonts w:ascii="Arial" w:eastAsia="Microsoft YaHei"/>
                <w:color w:val="90989F"/>
                <w:sz w:val="22"/>
                <w:szCs w:val="22"/>
              </w:rPr>
              <w:t xml:space="preserve">Document Type: In-Depth Research Report</w:t>
            </w:r>
          </w:p>
          <w:p>
            <w:pPr>
              <w:pBdr>
                <w:left w:val="single" w:color="37DCF2" w:sz="8" w:space="12"/>
              </w:pBdr>
              <w:spacing w:after="80"/>
              <w:ind w:left="1400"/>
            </w:pPr>
            <w:r>
              <w:rPr>
                <w:rFonts w:ascii="Arial" w:eastAsia="Microsoft YaHei"/>
                <w:color w:val="90989F"/>
                <w:sz w:val="22"/>
                <w:szCs w:val="22"/>
              </w:rPr>
              <w:t xml:space="preserve">Style: Business Professional</w:t>
            </w:r>
          </w:p>
          <w:p>
            <w:pPr>
              <w:pBdr>
                <w:left w:val="single" w:color="37DCF2" w:sz="8" w:space="12"/>
              </w:pBdr>
              <w:spacing w:after="80"/>
              <w:ind w:left="1400"/>
            </w:pPr>
            <w:r>
              <w:rPr>
                <w:rFonts w:ascii="Arial" w:eastAsia="Microsoft YaHei"/>
                <w:color w:val="90989F"/>
                <w:sz w:val="22"/>
                <w:szCs w:val="22"/>
              </w:rPr>
              <w:t xml:space="preserve">Scope: AI Builder Prompting, Use Cases, UI/UX Standards</w:t>
            </w:r>
          </w:p>
          <w:p>
            <w:pPr>
              <w:pBdr>
                <w:left w:val="single" w:color="37DCF2" w:sz="8" w:space="12"/>
              </w:pBdr>
              <w:spacing w:after="80"/>
              <w:ind w:left="1400"/>
            </w:pPr>
            <w:r>
              <w:rPr>
                <w:rFonts w:ascii="Arial" w:eastAsia="Microsoft YaHei"/>
                <w:color w:val="90989F"/>
                <w:sz w:val="22"/>
                <w:szCs w:val="22"/>
              </w:rPr>
              <w:t xml:space="preserve">Prepared by: Super Z Research</w:t>
            </w:r>
          </w:p>
          <w:p>
            <w:pPr>
              <w:pBdr>
                <w:left w:val="single" w:color="37DCF2" w:sz="8" w:space="12"/>
              </w:pBdr>
              <w:spacing w:after="80"/>
              <w:ind w:left="1400"/>
            </w:pPr>
            <w:r>
              <w:rPr>
                <w:rFonts w:ascii="Arial" w:eastAsia="Microsoft YaHei"/>
                <w:color w:val="90989F"/>
                <w:sz w:val="22"/>
                <w:szCs w:val="22"/>
              </w:rPr>
              <w:t xml:space="preserve">Date: August 27, 2026</w:t>
            </w:r>
          </w:p>
          <w:p>
            <w:pPr>
              <w:spacing w:before="3750"/>
            </w:pPr>
          </w:p>
          <w:p>
            <w:pPr>
              <w:pBdr>
                <w:top w:val="single" w:color="37DCF2" w:sz="2" w:space="8"/>
              </w:pBdr>
              <w:spacing w:before="200"/>
              <w:ind w:left="1200" w:right="800"/>
            </w:pPr>
            <w:r>
              <w:rPr>
                <w:rFonts w:ascii="Arial"/>
                <w:color w:val="687078"/>
                <w:sz w:val="16"/>
                <w:szCs w:val="16"/>
              </w:rPr>
              <w:t xml:space="preserve">Confidential — For Strategic Planning</w:t>
            </w:r>
            <w:r>
              <w:t xml:space="preserve">                                        </w:t>
            </w:r>
            <w:r>
              <w:rPr>
                <w:rFonts w:ascii="Arial"/>
                <w:color w:val="687078"/>
                <w:sz w:val="16"/>
                <w:szCs w:val="16"/>
              </w:rPr>
              <w:t xml:space="preserve">2026 Edition</w:t>
            </w:r>
          </w:p>
        </w:tc>
      </w:tr>
    </w:tbl>
    <w:p>
      <w:pPr>
        <w:sectPr>
          <w:pgSz w:w="11906" w:h="16838" w:orient="portrait"/>
          <w:pgMar w:top="0" w:right="0" w:bottom="0" w:left="0" w:header="708" w:footer="708" w:gutter="0"/>
          <w:docGrid w:linePitch="360"/>
        </w:sectPr>
      </w:pPr>
    </w:p>
    <w:p>
      <w:pPr>
        <w:spacing w:after="360" w:before="480"/>
        <w:jc w:val="center"/>
      </w:pPr>
      <w:r>
        <w:rPr>
          <w:rFonts w:ascii="Arial" w:eastAsia="SimHei"/>
          <w:b/>
          <w:bCs/>
          <w:color w:val="162235"/>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Opening Hook and Thesis Statement</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Background and Context</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3.1 The AI Coding Agent Landscape in 2026</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3.2 The Foundation Document as a Knowledge Base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3.3 Prompt Engineering and Context Engineering</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3.4 Historical Context: From Autocomplete to Autonomous Agents</w:t>
            </w:r>
            <w:r>
              <w:tab/>
            </w:r>
            <w:r>
              <w:fldChar w:fldCharType="begin"/>
            </w:r>
            <w:r>
              <w:instrText xml:space="preserve"> PAGEREF _Toc100006 \h </w:instrText>
            </w:r>
            <w:r>
              <w:fldChar w:fldCharType="separate"/>
            </w:r>
            <w:r>
              <w:t>3</w:t>
            </w:r>
            <w:r>
              <w:fldChar w:fldCharType="end"/>
            </w:r>
          </w:hyperlink>
        </w:p>
        <w:p>
          <w:pPr>
            <w:pStyle w:val="9"/>
            <w:tabs>
              <w:tab w:val="right" w:leader="dot" w:pos="9026"/>
            </w:tabs>
            <w:spacing w:before="120" w:after="60"/>
          </w:pPr>
          <w:hyperlink w:anchor="_Toc100007" w:history="1">
            <w:r>
              <w:rPr>
                <w:rStyle w:val="Hyperlink"/>
              </w:rPr>
              <w:t>4. The Prompt Architecture: A Three-Phase Model</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4.1 Phase 1: Context Loading</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4.2 Phase 2: Analysis and Decomposition</w:t>
            </w:r>
            <w:r>
              <w:tab/>
            </w:r>
            <w:r>
              <w:fldChar w:fldCharType="begin"/>
            </w:r>
            <w:r>
              <w:instrText xml:space="preserve"> PAGEREF _Toc100009 \h </w:instrText>
            </w:r>
            <w:r>
              <w:fldChar w:fldCharType="separate"/>
            </w:r>
            <w:r>
              <w:t>4</w:t>
            </w:r>
            <w:r>
              <w:fldChar w:fldCharType="end"/>
            </w:r>
          </w:hyperlink>
        </w:p>
        <w:p>
          <w:pPr>
            <w:pStyle w:val="11"/>
            <w:ind w:left="360"/>
            <w:tabs>
              <w:tab w:val="right" w:leader="dot" w:pos="9026"/>
            </w:tabs>
            <w:spacing w:before="120" w:after="60"/>
          </w:pPr>
          <w:hyperlink w:anchor="_Toc100010" w:history="1">
            <w:r>
              <w:rPr>
                <w:rStyle w:val="Hyperlink"/>
              </w:rPr>
              <w:t>4.3 Phase 3: Implementation and Verification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4.4 The Master Prompt Template</w:t>
            </w:r>
            <w:r>
              <w:tab/>
            </w:r>
            <w:r>
              <w:fldChar w:fldCharType="begin"/>
            </w:r>
            <w:r>
              <w:instrText xml:space="preserve"> PAGEREF _Toc100011 \h </w:instrText>
            </w:r>
            <w:r>
              <w:fldChar w:fldCharType="separate"/>
            </w:r>
            <w:r>
              <w:t>5</w:t>
            </w:r>
            <w:r>
              <w:fldChar w:fldCharType="end"/>
            </w:r>
          </w:hyperlink>
        </w:p>
        <w:p>
          <w:pPr>
            <w:pStyle w:val="9"/>
            <w:tabs>
              <w:tab w:val="right" w:leader="dot" w:pos="9026"/>
            </w:tabs>
            <w:spacing w:before="120" w:after="60"/>
          </w:pPr>
          <w:hyperlink w:anchor="_Toc100012" w:history="1">
            <w:r>
              <w:rPr>
                <w:rStyle w:val="Hyperlink"/>
              </w:rPr>
              <w:t>5. Use Case 1: A Complete Private School Management System</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5.1 Overview and Scope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5.2 Functional Scope</w:t>
            </w:r>
            <w:r>
              <w:tab/>
            </w:r>
            <w:r>
              <w:fldChar w:fldCharType="begin"/>
            </w:r>
            <w:r>
              <w:instrText xml:space="preserve"> PAGEREF _Toc100014 \h </w:instrText>
            </w:r>
            <w:r>
              <w:fldChar w:fldCharType="separate"/>
            </w:r>
            <w:r>
              <w:t>6</w:t>
            </w:r>
            <w:r>
              <w:fldChar w:fldCharType="end"/>
            </w:r>
          </w:hyperlink>
        </w:p>
        <w:p>
          <w:pPr>
            <w:pStyle w:val="11"/>
            <w:ind w:left="360"/>
            <w:tabs>
              <w:tab w:val="right" w:leader="dot" w:pos="9026"/>
            </w:tabs>
            <w:spacing w:before="120" w:after="60"/>
          </w:pPr>
          <w:hyperlink w:anchor="_Toc100015" w:history="1">
            <w:r>
              <w:rPr>
                <w:rStyle w:val="Hyperlink"/>
              </w:rPr>
              <w:t>5.3 The Prompt Sequence</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5.3.1 Prompt 1: Context Loading</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5.3.2 Prompt 2: Data Model and Schema</w:t>
            </w:r>
            <w:r>
              <w:tab/>
            </w:r>
            <w:r>
              <w:fldChar w:fldCharType="begin"/>
            </w:r>
            <w:r>
              <w:instrText xml:space="preserve"> PAGEREF _Toc100017 \h </w:instrText>
            </w:r>
            <w:r>
              <w:fldChar w:fldCharType="separate"/>
            </w:r>
            <w:r>
              <w:t>7</w:t>
            </w:r>
            <w:r>
              <w:fldChar w:fldCharType="end"/>
            </w:r>
          </w:hyperlink>
        </w:p>
        <w:p>
          <w:pPr>
            <w:pStyle w:val="12"/>
            <w:ind w:left="720"/>
            <w:tabs>
              <w:tab w:val="right" w:leader="dot" w:pos="9026"/>
            </w:tabs>
            <w:spacing w:before="120" w:after="60"/>
          </w:pPr>
          <w:hyperlink w:anchor="_Toc100018" w:history="1">
            <w:r>
              <w:rPr>
                <w:rStyle w:val="Hyperlink"/>
              </w:rPr>
              <w:t>5.3.3 Prompt 3 Through N: Module Implementation</w:t>
            </w:r>
            <w:r>
              <w:tab/>
            </w:r>
            <w:r>
              <w:fldChar w:fldCharType="begin"/>
            </w:r>
            <w:r>
              <w:instrText xml:space="preserve"> PAGEREF _Toc100018 \h </w:instrText>
            </w:r>
            <w:r>
              <w:fldChar w:fldCharType="separate"/>
            </w:r>
            <w:r>
              <w:t>7</w:t>
            </w:r>
            <w:r>
              <w:fldChar w:fldCharType="end"/>
            </w:r>
          </w:hyperlink>
        </w:p>
        <w:p>
          <w:pPr>
            <w:pStyle w:val="11"/>
            <w:ind w:left="360"/>
            <w:tabs>
              <w:tab w:val="right" w:leader="dot" w:pos="9026"/>
            </w:tabs>
            <w:spacing w:before="120" w:after="60"/>
          </w:pPr>
          <w:hyperlink w:anchor="_Toc100019" w:history="1">
            <w:r>
              <w:rPr>
                <w:rStyle w:val="Hyperlink"/>
              </w:rPr>
              <w:t>5.4 The Manual Processes the System Replaces</w:t>
            </w:r>
            <w:r>
              <w:tab/>
            </w:r>
            <w:r>
              <w:fldChar w:fldCharType="begin"/>
            </w:r>
            <w:r>
              <w:instrText xml:space="preserve"> PAGEREF _Toc100019 \h </w:instrText>
            </w:r>
            <w:r>
              <w:fldChar w:fldCharType="separate"/>
            </w:r>
            <w:r>
              <w:t>7</w:t>
            </w:r>
            <w:r>
              <w:fldChar w:fldCharType="end"/>
            </w:r>
          </w:hyperlink>
        </w:p>
        <w:p>
          <w:pPr>
            <w:pStyle w:val="9"/>
            <w:tabs>
              <w:tab w:val="right" w:leader="dot" w:pos="9026"/>
            </w:tabs>
            <w:spacing w:before="120" w:after="60"/>
          </w:pPr>
          <w:hyperlink w:anchor="_Toc100020" w:history="1">
            <w:r>
              <w:rPr>
                <w:rStyle w:val="Hyperlink"/>
              </w:rPr>
              <w:t>6. Use Case 2: A Business-to-Business SaaS System</w:t>
            </w:r>
            <w:r>
              <w:tab/>
            </w:r>
            <w:r>
              <w:fldChar w:fldCharType="begin"/>
            </w:r>
            <w:r>
              <w:instrText xml:space="preserve"> PAGEREF _Toc100020 \h </w:instrText>
            </w:r>
            <w:r>
              <w:fldChar w:fldCharType="separate"/>
            </w:r>
            <w:r>
              <w:t>8</w:t>
            </w:r>
            <w:r>
              <w:fldChar w:fldCharType="end"/>
            </w:r>
          </w:hyperlink>
        </w:p>
        <w:p>
          <w:pPr>
            <w:pStyle w:val="11"/>
            <w:ind w:left="360"/>
            <w:tabs>
              <w:tab w:val="right" w:leader="dot" w:pos="9026"/>
            </w:tabs>
            <w:spacing w:before="120" w:after="60"/>
          </w:pPr>
          <w:hyperlink w:anchor="_Toc100021" w:history="1">
            <w:r>
              <w:rPr>
                <w:rStyle w:val="Hyperlink"/>
              </w:rPr>
              <w:t>6.1 Overview and Scope</w:t>
            </w:r>
            <w:r>
              <w:tab/>
            </w:r>
            <w:r>
              <w:fldChar w:fldCharType="begin"/>
            </w:r>
            <w:r>
              <w:instrText xml:space="preserve"> PAGEREF _Toc100021 \h </w:instrText>
            </w:r>
            <w:r>
              <w:fldChar w:fldCharType="separate"/>
            </w:r>
            <w:r>
              <w:t>8</w:t>
            </w:r>
            <w:r>
              <w:fldChar w:fldCharType="end"/>
            </w:r>
          </w:hyperlink>
        </w:p>
        <w:p>
          <w:pPr>
            <w:pStyle w:val="11"/>
            <w:ind w:left="360"/>
            <w:tabs>
              <w:tab w:val="right" w:leader="dot" w:pos="9026"/>
            </w:tabs>
            <w:spacing w:before="120" w:after="60"/>
          </w:pPr>
          <w:hyperlink w:anchor="_Toc100022" w:history="1">
            <w:r>
              <w:rPr>
                <w:rStyle w:val="Hyperlink"/>
              </w:rPr>
              <w:t>6.2 Selecting the Vertical</w:t>
            </w:r>
            <w:r>
              <w:tab/>
            </w:r>
            <w:r>
              <w:fldChar w:fldCharType="begin"/>
            </w:r>
            <w:r>
              <w:instrText xml:space="preserve"> PAGEREF _Toc100022 \h </w:instrText>
            </w:r>
            <w:r>
              <w:fldChar w:fldCharType="separate"/>
            </w:r>
            <w:r>
              <w:t>8</w:t>
            </w:r>
            <w:r>
              <w:fldChar w:fldCharType="end"/>
            </w:r>
          </w:hyperlink>
        </w:p>
        <w:p>
          <w:pPr>
            <w:pStyle w:val="11"/>
            <w:ind w:left="360"/>
            <w:tabs>
              <w:tab w:val="right" w:leader="dot" w:pos="9026"/>
            </w:tabs>
            <w:spacing w:before="120" w:after="60"/>
          </w:pPr>
          <w:hyperlink w:anchor="_Toc100023" w:history="1">
            <w:r>
              <w:rPr>
                <w:rStyle w:val="Hyperlink"/>
              </w:rPr>
              <w:t>6.3 The Prompt Sequence</w:t>
            </w:r>
            <w:r>
              <w:tab/>
            </w:r>
            <w:r>
              <w:fldChar w:fldCharType="begin"/>
            </w:r>
            <w:r>
              <w:instrText xml:space="preserve"> PAGEREF _Toc100023 \h </w:instrText>
            </w:r>
            <w:r>
              <w:fldChar w:fldCharType="separate"/>
            </w:r>
            <w:r>
              <w:t>9</w:t>
            </w:r>
            <w:r>
              <w:fldChar w:fldCharType="end"/>
            </w:r>
          </w:hyperlink>
        </w:p>
        <w:p>
          <w:pPr>
            <w:pStyle w:val="11"/>
            <w:ind w:left="360"/>
            <w:tabs>
              <w:tab w:val="right" w:leader="dot" w:pos="9026"/>
            </w:tabs>
            <w:spacing w:before="120" w:after="60"/>
          </w:pPr>
          <w:hyperlink w:anchor="_Toc100024" w:history="1">
            <w:r>
              <w:rPr>
                <w:rStyle w:val="Hyperlink"/>
              </w:rPr>
              <w:t>6.4 The Commercial Layer</w:t>
            </w:r>
            <w:r>
              <w:tab/>
            </w:r>
            <w:r>
              <w:fldChar w:fldCharType="begin"/>
            </w:r>
            <w:r>
              <w:instrText xml:space="preserve"> PAGEREF _Toc100024 \h </w:instrText>
            </w:r>
            <w:r>
              <w:fldChar w:fldCharType="separate"/>
            </w:r>
            <w:r>
              <w:t>9</w:t>
            </w:r>
            <w:r>
              <w:fldChar w:fldCharType="end"/>
            </w:r>
          </w:hyperlink>
        </w:p>
        <w:p>
          <w:pPr>
            <w:pStyle w:val="9"/>
            <w:tabs>
              <w:tab w:val="right" w:leader="dot" w:pos="9026"/>
            </w:tabs>
            <w:spacing w:before="120" w:after="60"/>
          </w:pPr>
          <w:hyperlink w:anchor="_Toc100025" w:history="1">
            <w:r>
              <w:rPr>
                <w:rStyle w:val="Hyperlink"/>
              </w:rPr>
              <w:t>7. Use Case 3: Sellable Basic Systems for Revenue</w:t>
            </w:r>
            <w:r>
              <w:tab/>
            </w:r>
            <w:r>
              <w:fldChar w:fldCharType="begin"/>
            </w:r>
            <w:r>
              <w:instrText xml:space="preserve"> PAGEREF _Toc100025 \h </w:instrText>
            </w:r>
            <w:r>
              <w:fldChar w:fldCharType="separate"/>
            </w:r>
            <w:r>
              <w:t>9</w:t>
            </w:r>
            <w:r>
              <w:fldChar w:fldCharType="end"/>
            </w:r>
          </w:hyperlink>
        </w:p>
        <w:p>
          <w:pPr>
            <w:pStyle w:val="11"/>
            <w:ind w:left="360"/>
            <w:tabs>
              <w:tab w:val="right" w:leader="dot" w:pos="9026"/>
            </w:tabs>
            <w:spacing w:before="120" w:after="60"/>
          </w:pPr>
          <w:hyperlink w:anchor="_Toc100026" w:history="1">
            <w:r>
              <w:rPr>
                <w:rStyle w:val="Hyperlink"/>
              </w:rPr>
              <w:t>7.1 Overview and Scope</w:t>
            </w:r>
            <w:r>
              <w:tab/>
            </w:r>
            <w:r>
              <w:fldChar w:fldCharType="begin"/>
            </w:r>
            <w:r>
              <w:instrText xml:space="preserve"> PAGEREF _Toc100026 \h </w:instrText>
            </w:r>
            <w:r>
              <w:fldChar w:fldCharType="separate"/>
            </w:r>
            <w:r>
              <w:t>9</w:t>
            </w:r>
            <w:r>
              <w:fldChar w:fldCharType="end"/>
            </w:r>
          </w:hyperlink>
        </w:p>
        <w:p>
          <w:pPr>
            <w:pStyle w:val="11"/>
            <w:ind w:left="360"/>
            <w:tabs>
              <w:tab w:val="right" w:leader="dot" w:pos="9026"/>
            </w:tabs>
            <w:spacing w:before="120" w:after="60"/>
          </w:pPr>
          <w:hyperlink w:anchor="_Toc100027" w:history="1">
            <w:r>
              <w:rPr>
                <w:rStyle w:val="Hyperlink"/>
              </w:rPr>
              <w:t>7.2 Candidate Systems and Their Economics</w:t>
            </w:r>
            <w:r>
              <w:tab/>
            </w:r>
            <w:r>
              <w:fldChar w:fldCharType="begin"/>
            </w:r>
            <w:r>
              <w:instrText xml:space="preserve"> PAGEREF _Toc100027 \h </w:instrText>
            </w:r>
            <w:r>
              <w:fldChar w:fldCharType="separate"/>
            </w:r>
            <w:r>
              <w:t>9</w:t>
            </w:r>
            <w:r>
              <w:fldChar w:fldCharType="end"/>
            </w:r>
          </w:hyperlink>
        </w:p>
        <w:p>
          <w:pPr>
            <w:pStyle w:val="11"/>
            <w:ind w:left="360"/>
            <w:tabs>
              <w:tab w:val="right" w:leader="dot" w:pos="9026"/>
            </w:tabs>
            <w:spacing w:before="120" w:after="60"/>
          </w:pPr>
          <w:hyperlink w:anchor="_Toc100028" w:history="1">
            <w:r>
              <w:rPr>
                <w:rStyle w:val="Hyperlink"/>
              </w:rPr>
              <w:t>7.3 The Solo-Builder Prompt Sequence</w:t>
            </w:r>
            <w:r>
              <w:tab/>
            </w:r>
            <w:r>
              <w:fldChar w:fldCharType="begin"/>
            </w:r>
            <w:r>
              <w:instrText xml:space="preserve"> PAGEREF _Toc100028 \h </w:instrText>
            </w:r>
            <w:r>
              <w:fldChar w:fldCharType="separate"/>
            </w:r>
            <w:r>
              <w:t>10</w:t>
            </w:r>
            <w:r>
              <w:fldChar w:fldCharType="end"/>
            </w:r>
          </w:hyperlink>
        </w:p>
        <w:p>
          <w:pPr>
            <w:pStyle w:val="9"/>
            <w:tabs>
              <w:tab w:val="right" w:leader="dot" w:pos="9026"/>
            </w:tabs>
            <w:spacing w:before="120" w:after="60"/>
          </w:pPr>
          <w:hyperlink w:anchor="_Toc100029" w:history="1">
            <w:r>
              <w:rPr>
                <w:rStyle w:val="Hyperlink"/>
              </w:rPr>
              <w:t>8. Professional UI/UX Standards: Eliminating AI-Flag Work</w:t>
            </w:r>
            <w:r>
              <w:tab/>
            </w:r>
            <w:r>
              <w:fldChar w:fldCharType="begin"/>
            </w:r>
            <w:r>
              <w:instrText xml:space="preserve"> PAGEREF _Toc100029 \h </w:instrText>
            </w:r>
            <w:r>
              <w:fldChar w:fldCharType="separate"/>
            </w:r>
            <w:r>
              <w:t>10</w:t>
            </w:r>
            <w:r>
              <w:fldChar w:fldCharType="end"/>
            </w:r>
          </w:hyperlink>
        </w:p>
        <w:p>
          <w:pPr>
            <w:pStyle w:val="11"/>
            <w:ind w:left="360"/>
            <w:tabs>
              <w:tab w:val="right" w:leader="dot" w:pos="9026"/>
            </w:tabs>
            <w:spacing w:before="120" w:after="60"/>
          </w:pPr>
          <w:hyperlink w:anchor="_Toc100030" w:history="1">
            <w:r>
              <w:rPr>
                <w:rStyle w:val="Hyperlink"/>
              </w:rPr>
              <w:t>8.1 Typography Systems</w:t>
            </w:r>
            <w:r>
              <w:tab/>
            </w:r>
            <w:r>
              <w:fldChar w:fldCharType="begin"/>
            </w:r>
            <w:r>
              <w:instrText xml:space="preserve"> PAGEREF _Toc100030 \h </w:instrText>
            </w:r>
            <w:r>
              <w:fldChar w:fldCharType="separate"/>
            </w:r>
            <w:r>
              <w:t>10</w:t>
            </w:r>
            <w:r>
              <w:fldChar w:fldCharType="end"/>
            </w:r>
          </w:hyperlink>
        </w:p>
        <w:p>
          <w:pPr>
            <w:pStyle w:val="11"/>
            <w:ind w:left="360"/>
            <w:tabs>
              <w:tab w:val="right" w:leader="dot" w:pos="9026"/>
            </w:tabs>
            <w:spacing w:before="120" w:after="60"/>
          </w:pPr>
          <w:hyperlink w:anchor="_Toc100031" w:history="1">
            <w:r>
              <w:rPr>
                <w:rStyle w:val="Hyperlink"/>
              </w:rPr>
              <w:t>8.2 Motion Design Principles</w:t>
            </w:r>
            <w:r>
              <w:tab/>
            </w:r>
            <w:r>
              <w:fldChar w:fldCharType="begin"/>
            </w:r>
            <w:r>
              <w:instrText xml:space="preserve"> PAGEREF _Toc100031 \h </w:instrText>
            </w:r>
            <w:r>
              <w:fldChar w:fldCharType="separate"/>
            </w:r>
            <w:r>
              <w:t>11</w:t>
            </w:r>
            <w:r>
              <w:fldChar w:fldCharType="end"/>
            </w:r>
          </w:hyperlink>
        </w:p>
        <w:p>
          <w:pPr>
            <w:pStyle w:val="11"/>
            <w:ind w:left="360"/>
            <w:tabs>
              <w:tab w:val="right" w:leader="dot" w:pos="9026"/>
            </w:tabs>
            <w:spacing w:before="120" w:after="60"/>
          </w:pPr>
          <w:hyperlink w:anchor="_Toc100032" w:history="1">
            <w:r>
              <w:rPr>
                <w:rStyle w:val="Hyperlink"/>
              </w:rPr>
              <w:t>8.3 Transparency, Layering, and Depth</w:t>
            </w:r>
            <w:r>
              <w:tab/>
            </w:r>
            <w:r>
              <w:fldChar w:fldCharType="begin"/>
            </w:r>
            <w:r>
              <w:instrText xml:space="preserve"> PAGEREF _Toc100032 \h </w:instrText>
            </w:r>
            <w:r>
              <w:fldChar w:fldCharType="separate"/>
            </w:r>
            <w:r>
              <w:t>12</w:t>
            </w:r>
            <w:r>
              <w:fldChar w:fldCharType="end"/>
            </w:r>
          </w:hyperlink>
        </w:p>
        <w:p>
          <w:pPr>
            <w:pStyle w:val="11"/>
            <w:ind w:left="360"/>
            <w:tabs>
              <w:tab w:val="right" w:leader="dot" w:pos="9026"/>
            </w:tabs>
            <w:spacing w:before="120" w:after="60"/>
          </w:pPr>
          <w:hyperlink w:anchor="_Toc100033" w:history="1">
            <w:r>
              <w:rPr>
                <w:rStyle w:val="Hyperlink"/>
              </w:rPr>
              <w:t>8.4 Color Systems</w:t>
            </w:r>
            <w:r>
              <w:tab/>
            </w:r>
            <w:r>
              <w:fldChar w:fldCharType="begin"/>
            </w:r>
            <w:r>
              <w:instrText xml:space="preserve"> PAGEREF _Toc100033 \h </w:instrText>
            </w:r>
            <w:r>
              <w:fldChar w:fldCharType="separate"/>
            </w:r>
            <w:r>
              <w:t>12</w:t>
            </w:r>
            <w:r>
              <w:fldChar w:fldCharType="end"/>
            </w:r>
          </w:hyperlink>
        </w:p>
        <w:p>
          <w:pPr>
            <w:pStyle w:val="11"/>
            <w:ind w:left="360"/>
            <w:tabs>
              <w:tab w:val="right" w:leader="dot" w:pos="9026"/>
            </w:tabs>
            <w:spacing w:before="120" w:after="60"/>
          </w:pPr>
          <w:hyperlink w:anchor="_Toc100034" w:history="1">
            <w:r>
              <w:rPr>
                <w:rStyle w:val="Hyperlink"/>
              </w:rPr>
              <w:t>8.5 The Landing Page Anatomy</w:t>
            </w:r>
            <w:r>
              <w:tab/>
            </w:r>
            <w:r>
              <w:fldChar w:fldCharType="begin"/>
            </w:r>
            <w:r>
              <w:instrText xml:space="preserve"> PAGEREF _Toc100034 \h </w:instrText>
            </w:r>
            <w:r>
              <w:fldChar w:fldCharType="separate"/>
            </w:r>
            <w:r>
              <w:t>12</w:t>
            </w:r>
            <w:r>
              <w:fldChar w:fldCharType="end"/>
            </w:r>
          </w:hyperlink>
        </w:p>
        <w:p>
          <w:pPr>
            <w:pStyle w:val="9"/>
            <w:tabs>
              <w:tab w:val="right" w:leader="dot" w:pos="9026"/>
            </w:tabs>
            <w:spacing w:before="120" w:after="60"/>
          </w:pPr>
          <w:hyperlink w:anchor="_Toc100035" w:history="1">
            <w:r>
              <w:rPr>
                <w:rStyle w:val="Hyperlink"/>
              </w:rPr>
              <w:t>9. Multi-Agent Orchestration Patterns</w:t>
            </w:r>
            <w:r>
              <w:tab/>
            </w:r>
            <w:r>
              <w:fldChar w:fldCharType="begin"/>
            </w:r>
            <w:r>
              <w:instrText xml:space="preserve"> PAGEREF _Toc100035 \h </w:instrText>
            </w:r>
            <w:r>
              <w:fldChar w:fldCharType="separate"/>
            </w:r>
            <w:r>
              <w:t>13</w:t>
            </w:r>
            <w:r>
              <w:fldChar w:fldCharType="end"/>
            </w:r>
          </w:hyperlink>
        </w:p>
        <w:p>
          <w:pPr>
            <w:pStyle w:val="11"/>
            <w:ind w:left="360"/>
            <w:tabs>
              <w:tab w:val="right" w:leader="dot" w:pos="9026"/>
            </w:tabs>
            <w:spacing w:before="120" w:after="60"/>
          </w:pPr>
          <w:hyperlink w:anchor="_Toc100036" w:history="1">
            <w:r>
              <w:rPr>
                <w:rStyle w:val="Hyperlink"/>
              </w:rPr>
              <w:t>9.1 The Planning Agent</w:t>
            </w:r>
            <w:r>
              <w:tab/>
            </w:r>
            <w:r>
              <w:fldChar w:fldCharType="begin"/>
            </w:r>
            <w:r>
              <w:instrText xml:space="preserve"> PAGEREF _Toc100036 \h </w:instrText>
            </w:r>
            <w:r>
              <w:fldChar w:fldCharType="separate"/>
            </w:r>
            <w:r>
              <w:t>13</w:t>
            </w:r>
            <w:r>
              <w:fldChar w:fldCharType="end"/>
            </w:r>
          </w:hyperlink>
        </w:p>
        <w:p>
          <w:pPr>
            <w:pStyle w:val="11"/>
            <w:ind w:left="360"/>
            <w:tabs>
              <w:tab w:val="right" w:leader="dot" w:pos="9026"/>
            </w:tabs>
            <w:spacing w:before="120" w:after="60"/>
          </w:pPr>
          <w:hyperlink w:anchor="_Toc100037" w:history="1">
            <w:r>
              <w:rPr>
                <w:rStyle w:val="Hyperlink"/>
              </w:rPr>
              <w:t>9.2 The Execution Agents</w:t>
            </w:r>
            <w:r>
              <w:tab/>
            </w:r>
            <w:r>
              <w:fldChar w:fldCharType="begin"/>
            </w:r>
            <w:r>
              <w:instrText xml:space="preserve"> PAGEREF _Toc100037 \h </w:instrText>
            </w:r>
            <w:r>
              <w:fldChar w:fldCharType="separate"/>
            </w:r>
            <w:r>
              <w:t>14</w:t>
            </w:r>
            <w:r>
              <w:fldChar w:fldCharType="end"/>
            </w:r>
          </w:hyperlink>
        </w:p>
        <w:p>
          <w:pPr>
            <w:pStyle w:val="11"/>
            <w:ind w:left="360"/>
            <w:tabs>
              <w:tab w:val="right" w:leader="dot" w:pos="9026"/>
            </w:tabs>
            <w:spacing w:before="120" w:after="60"/>
          </w:pPr>
          <w:hyperlink w:anchor="_Toc100038" w:history="1">
            <w:r>
              <w:rPr>
                <w:rStyle w:val="Hyperlink"/>
              </w:rPr>
              <w:t>9.3 The Integration and Verification Agent</w:t>
            </w:r>
            <w:r>
              <w:tab/>
            </w:r>
            <w:r>
              <w:fldChar w:fldCharType="begin"/>
            </w:r>
            <w:r>
              <w:instrText xml:space="preserve"> PAGEREF _Toc100038 \h </w:instrText>
            </w:r>
            <w:r>
              <w:fldChar w:fldCharType="separate"/>
            </w:r>
            <w:r>
              <w:t>14</w:t>
            </w:r>
            <w:r>
              <w:fldChar w:fldCharType="end"/>
            </w:r>
          </w:hyperlink>
        </w:p>
        <w:p>
          <w:pPr>
            <w:pStyle w:val="11"/>
            <w:ind w:left="360"/>
            <w:tabs>
              <w:tab w:val="right" w:leader="dot" w:pos="9026"/>
            </w:tabs>
            <w:spacing w:before="120" w:after="60"/>
          </w:pPr>
          <w:hyperlink w:anchor="_Toc100039" w:history="1">
            <w:r>
              <w:rPr>
                <w:rStyle w:val="Hyperlink"/>
              </w:rPr>
              <w:t>9.4 Solo Builder Versus Multi-Agent: When to Use Each</w:t>
            </w:r>
            <w:r>
              <w:tab/>
            </w:r>
            <w:r>
              <w:fldChar w:fldCharType="begin"/>
            </w:r>
            <w:r>
              <w:instrText xml:space="preserve"> PAGEREF _Toc100039 \h </w:instrText>
            </w:r>
            <w:r>
              <w:fldChar w:fldCharType="separate"/>
            </w:r>
            <w:r>
              <w:t>14</w:t>
            </w:r>
            <w:r>
              <w:fldChar w:fldCharType="end"/>
            </w:r>
          </w:hyperlink>
        </w:p>
        <w:p>
          <w:pPr>
            <w:pStyle w:val="9"/>
            <w:tabs>
              <w:tab w:val="right" w:leader="dot" w:pos="9026"/>
            </w:tabs>
            <w:spacing w:before="120" w:after="60"/>
          </w:pPr>
          <w:hyperlink w:anchor="_Toc100040" w:history="1">
            <w:r>
              <w:rPr>
                <w:rStyle w:val="Hyperlink"/>
              </w:rPr>
              <w:t>10. Quality Gates and Verification</w:t>
            </w:r>
            <w:r>
              <w:tab/>
            </w:r>
            <w:r>
              <w:fldChar w:fldCharType="begin"/>
            </w:r>
            <w:r>
              <w:instrText xml:space="preserve"> PAGEREF _Toc100040 \h </w:instrText>
            </w:r>
            <w:r>
              <w:fldChar w:fldCharType="separate"/>
            </w:r>
            <w:r>
              <w:t>15</w:t>
            </w:r>
            <w:r>
              <w:fldChar w:fldCharType="end"/>
            </w:r>
          </w:hyperlink>
        </w:p>
        <w:p>
          <w:pPr>
            <w:pStyle w:val="9"/>
            <w:tabs>
              <w:tab w:val="right" w:leader="dot" w:pos="9026"/>
            </w:tabs>
            <w:spacing w:before="120" w:after="60"/>
          </w:pPr>
          <w:hyperlink w:anchor="_Toc100041" w:history="1">
            <w:r>
              <w:rPr>
                <w:rStyle w:val="Hyperlink"/>
              </w:rPr>
              <w:t>11. Risk Register and Action Items</w:t>
            </w:r>
            <w:r>
              <w:tab/>
            </w:r>
            <w:r>
              <w:fldChar w:fldCharType="begin"/>
            </w:r>
            <w:r>
              <w:instrText xml:space="preserve"> PAGEREF _Toc100041 \h </w:instrText>
            </w:r>
            <w:r>
              <w:fldChar w:fldCharType="separate"/>
            </w:r>
            <w:r>
              <w:t>15</w:t>
            </w:r>
            <w:r>
              <w:fldChar w:fldCharType="end"/>
            </w:r>
          </w:hyperlink>
        </w:p>
        <w:p>
          <w:pPr>
            <w:pStyle w:val="11"/>
            <w:ind w:left="360"/>
            <w:tabs>
              <w:tab w:val="right" w:leader="dot" w:pos="9026"/>
            </w:tabs>
            <w:spacing w:before="120" w:after="60"/>
          </w:pPr>
          <w:hyperlink w:anchor="_Toc100042" w:history="1">
            <w:r>
              <w:rPr>
                <w:rStyle w:val="Hyperlink"/>
              </w:rPr>
              <w:t>11.1 Risk Register</w:t>
            </w:r>
            <w:r>
              <w:tab/>
            </w:r>
            <w:r>
              <w:fldChar w:fldCharType="begin"/>
            </w:r>
            <w:r>
              <w:instrText xml:space="preserve"> PAGEREF _Toc100042 \h </w:instrText>
            </w:r>
            <w:r>
              <w:fldChar w:fldCharType="separate"/>
            </w:r>
            <w:r>
              <w:t>15</w:t>
            </w:r>
            <w:r>
              <w:fldChar w:fldCharType="end"/>
            </w:r>
          </w:hyperlink>
        </w:p>
        <w:p>
          <w:pPr>
            <w:pStyle w:val="11"/>
            <w:ind w:left="360"/>
            <w:tabs>
              <w:tab w:val="right" w:leader="dot" w:pos="9026"/>
            </w:tabs>
            <w:spacing w:before="120" w:after="60"/>
          </w:pPr>
          <w:hyperlink w:anchor="_Toc100043" w:history="1">
            <w:r>
              <w:rPr>
                <w:rStyle w:val="Hyperlink"/>
              </w:rPr>
              <w:t>11.2 Action Items with Ownership and Timeline</w:t>
            </w:r>
            <w:r>
              <w:tab/>
            </w:r>
            <w:r>
              <w:fldChar w:fldCharType="begin"/>
            </w:r>
            <w:r>
              <w:instrText xml:space="preserve"> PAGEREF _Toc100043 \h </w:instrText>
            </w:r>
            <w:r>
              <w:fldChar w:fldCharType="separate"/>
            </w:r>
            <w:r>
              <w:t>16</w:t>
            </w:r>
            <w:r>
              <w:fldChar w:fldCharType="end"/>
            </w:r>
          </w:hyperlink>
        </w:p>
        <w:p>
          <w:pPr>
            <w:pStyle w:val="9"/>
            <w:tabs>
              <w:tab w:val="right" w:leader="dot" w:pos="9026"/>
            </w:tabs>
            <w:spacing w:before="120" w:after="60"/>
          </w:pPr>
          <w:hyperlink w:anchor="_Toc100044" w:history="1">
            <w:r>
              <w:rPr>
                <w:rStyle w:val="Hyperlink"/>
              </w:rPr>
              <w:t>12. Counterarguments and Limitations</w:t>
            </w:r>
            <w:r>
              <w:tab/>
            </w:r>
            <w:r>
              <w:fldChar w:fldCharType="begin"/>
            </w:r>
            <w:r>
              <w:instrText xml:space="preserve"> PAGEREF _Toc100044 \h </w:instrText>
            </w:r>
            <w:r>
              <w:fldChar w:fldCharType="separate"/>
            </w:r>
            <w:r>
              <w:t>16</w:t>
            </w:r>
            <w:r>
              <w:fldChar w:fldCharType="end"/>
            </w:r>
          </w:hyperlink>
        </w:p>
        <w:p>
          <w:pPr>
            <w:pStyle w:val="9"/>
            <w:tabs>
              <w:tab w:val="right" w:leader="dot" w:pos="9026"/>
            </w:tabs>
            <w:spacing w:before="120" w:after="60"/>
          </w:pPr>
          <w:hyperlink w:anchor="_Toc100045" w:history="1">
            <w:r>
              <w:rPr>
                <w:rStyle w:val="Hyperlink"/>
              </w:rPr>
              <w:t>13. Conclusion and Strategic Implications</w:t>
            </w:r>
            <w:r>
              <w:tab/>
            </w:r>
            <w:r>
              <w:fldChar w:fldCharType="begin"/>
            </w:r>
            <w:r>
              <w:instrText xml:space="preserve"> PAGEREF _Toc100045 \h </w:instrText>
            </w:r>
            <w:r>
              <w:fldChar w:fldCharType="separate"/>
            </w:r>
            <w:r>
              <w:t>17</w:t>
            </w:r>
            <w:r>
              <w:fldChar w:fldCharType="end"/>
            </w:r>
          </w:hyperlink>
        </w:p>
        <w:p>
          <w:pPr>
            <w:pStyle w:val="9"/>
            <w:tabs>
              <w:tab w:val="right" w:leader="dot" w:pos="9026"/>
            </w:tabs>
            <w:spacing w:before="120" w:after="60"/>
          </w:pPr>
          <w:hyperlink w:anchor="_Toc100046" w:history="1">
            <w:r>
              <w:rPr>
                <w:rStyle w:val="Hyperlink"/>
              </w:rPr>
              <w:t>14. References</w:t>
            </w:r>
            <w:r>
              <w:tab/>
            </w:r>
            <w:r>
              <w:fldChar w:fldCharType="begin"/>
            </w:r>
            <w:r>
              <w:instrText xml:space="preserve"> PAGEREF _Toc100046 \h </w:instrText>
            </w:r>
            <w:r>
              <w:fldChar w:fldCharType="separate"/>
            </w:r>
            <w:r>
              <w:t>17</w:t>
            </w:r>
            <w:r>
              <w:fldChar w:fldCharType="end"/>
            </w:r>
          </w:hyperlink>
        </w:p>
        <w:p>
          <w:r>
            <w:fldChar w:fldCharType="end"/>
          </w:r>
        </w:p>
      </w:sdtContent>
    </w:sdt>
    <w:p>
      <w:pPr>
        <w:spacing w:before="200"/>
      </w:pPr>
      <w:r>
        <w:rPr>
          <w:rFonts w:ascii="Times New Roman" w:eastAsia="SimSun"/>
          <w:i/>
          <w:iCs/>
          <w:color w:val="888888"/>
          <w:sz w:val="18"/>
          <w:szCs w:val="18"/>
        </w:rPr>
        <w:t xml:space="preserve">Note: This Table of Contents is generated via field codes. To ensure page number accuracy after editing, please right-click the TOC and select "Update Field."</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160" w:before="360" w:line="312"/>
      </w:pPr>
      <w:bookmarkStart w:id="100000" w:name="_Toc100000"/>
      <w:r>
        <w:rPr>
          <w:rFonts w:ascii="Arial" w:eastAsia="SimHei"/>
          <w:b/>
          <w:bCs/>
          <w:color w:val="162235"/>
          <w:sz w:val="32"/>
          <w:szCs w:val="32"/>
        </w:rPr>
        <w:t xml:space="preserve">1. Executive Summary</w:t>
      </w:r>
      <w:bookmarkEnd w:id="100000"/>
    </w:p>
    <w:p>
      <w:pPr>
        <w:spacing w:after="120" w:line="312"/>
        <w:ind w:firstLine="360"/>
        <w:jc w:val="both"/>
      </w:pPr>
      <w:r>
        <w:rPr>
          <w:rFonts w:ascii="Times New Roman" w:eastAsia="SimSun"/>
          <w:color w:val="000000"/>
          <w:sz w:val="24"/>
          <w:szCs w:val="24"/>
        </w:rPr>
        <w:t xml:space="preserve">This report is a prompt engineering and workflow guide for directing AI builder agents, whether a single autonomous agent or a coordinated multi-agent team, to construct production-grade full-stack software systems using a pre-existing foundation document. The foundation document, titled Production-Ready Full-Stack Systems for Business, is a complete research blueprint covering the planning, Software Development Life Cycle (SDLC), reference architecture, data models, process flows, security controls, user-experience standards, and operational practices for eight commercially validated system categories. The question this report answers is how a builder takes that foundation and converts it into a sequence of prompts that an AI agent can execute to produce a real, deployable system rather than a generic prototype that betrays its AI origin.</w:t>
      </w:r>
    </w:p>
    <w:p>
      <w:pPr>
        <w:spacing w:after="120" w:line="312"/>
        <w:ind w:firstLine="360"/>
        <w:jc w:val="both"/>
      </w:pPr>
      <w:r>
        <w:rPr>
          <w:rFonts w:ascii="Times New Roman" w:eastAsia="SimSun"/>
          <w:color w:val="000000"/>
          <w:sz w:val="24"/>
          <w:szCs w:val="24"/>
        </w:rPr>
        <w:t xml:space="preserve">The analysis is organized around four parts. Part I establishes the foundations: the landscape of AI coding agents in 2026, including Claude Code, OpenAI Codex, Cursor, and the multi-agent orchestration patterns that have emerged; the role of the foundation document as a curated knowledge base that the agent loads as context; and the prompt architecture, drawn from Anthropic's context engineering guidance and practitioner prompt-engineering literature, that governs how tasks are decomposed, how context is loaded, and how outputs are verified. Part II presents three concrete use cases with full prompt templates: a complete private school management system built as a vertical Enterprise Resource Planning (ERP) application; a business-to-business SaaS system built for a defined vertical; and a portfolio of sellable basic systems that a solo builder can launch to generate revenue. Part III addresses the professional user-interface standards that distinguish a real product from AI-flag work: typography systems, motion design principles, transparency and layering, and the structural anatomy of a high-converting landing page. Part IV covers multi-agent orchestration, quality gates, the risk register, and the action items that assign ownership and timeline to the recommendations.</w:t>
      </w:r>
    </w:p>
    <w:p>
      <w:pPr>
        <w:spacing w:after="120" w:line="312"/>
        <w:ind w:firstLine="360"/>
        <w:jc w:val="both"/>
      </w:pPr>
      <w:r>
        <w:rPr>
          <w:rFonts w:ascii="Times New Roman" w:eastAsia="SimSun"/>
          <w:color w:val="000000"/>
          <w:sz w:val="24"/>
          <w:szCs w:val="24"/>
        </w:rPr>
        <w:t xml:space="preserve">The central finding is that the quality of an AI-built system is determined less by the capability of the model than by the discipline of the prompt architecture that directs it. The most capable models available in 2026, when given a vague prompt, produce generic output that experienced designers and engineers can identify as AI-generated within seconds; the same models, given a context-loaded, decomposed, and verified prompt sequence drawn from a documented foundation, produce output that meets professional standards. The discipline that converts capability into quality is the discipline this report documents.</w:t>
      </w:r>
    </w:p>
    <w:p>
      <w:pPr>
        <w:pStyle w:val="Heading1"/>
        <w:spacing w:after="160" w:before="360" w:line="312"/>
      </w:pPr>
      <w:bookmarkStart w:id="100001" w:name="_Toc100001"/>
      <w:r>
        <w:rPr>
          <w:rFonts w:ascii="Arial" w:eastAsia="SimHei"/>
          <w:b/>
          <w:bCs/>
          <w:color w:val="162235"/>
          <w:sz w:val="32"/>
          <w:szCs w:val="32"/>
        </w:rPr>
        <w:t xml:space="preserve">2. Opening Hook and Thesis Statement</w:t>
      </w:r>
      <w:bookmarkEnd w:id="100001"/>
    </w:p>
    <w:p>
      <w:pPr>
        <w:spacing w:after="120" w:line="312"/>
        <w:ind w:firstLine="360"/>
        <w:jc w:val="both"/>
      </w:pPr>
      <w:r>
        <w:rPr>
          <w:rFonts w:ascii="Times New Roman" w:eastAsia="SimSun"/>
          <w:color w:val="000000"/>
          <w:sz w:val="24"/>
          <w:szCs w:val="24"/>
        </w:rPr>
        <w:t xml:space="preserve">In 2026, the AI coding agent landscape has consolidated around a small number of tools whose capabilities have converged. Claude Code, OpenAI Codex, Cursor, and the open-source alternatives share the same foundational ideas: they read repositories, they plan tasks, they edit code across files, they run tests, and they submit changes. The differentiator between a system built well and a system built poorly is no longer the choice of agent; it is the prompt architecture that the human builder uses to direct the agent. Practitioner sources describe a structural shift in 2026: the best teams have stopped picking one model and have started assigning models per task, using an expensive model to plan and cheaper models to execute in parallel. The agent is now a commodity; the prompt architecture is the asset.</w:t>
      </w:r>
    </w:p>
    <w:p>
      <w:pPr>
        <w:spacing w:after="120" w:line="312"/>
        <w:ind w:firstLine="360"/>
        <w:jc w:val="both"/>
      </w:pPr>
      <w:r>
        <w:rPr>
          <w:rFonts w:ascii="Times New Roman" w:eastAsia="SimSun"/>
          <w:color w:val="000000"/>
          <w:sz w:val="24"/>
          <w:szCs w:val="24"/>
        </w:rPr>
        <w:t xml:space="preserve">The paradox facing the builder is the same paradox that the broader software market faces. The tools have never been more accessible, yet the bar for commercial quality has never been higher. A builder can prompt an AI agent to produce a deployed application in an afternoon, but that application will betray its AI origin through generic typography, default color palettes, predictable layout patterns, and the absence of the motion and micro-interaction details that distinguish a product designed by a human from one generated by a machine. The community of practitioners who work with these tools daily has developed a vocabulary for this failure mode: the output is called AI-flag work, meaning work that is visibly, instantly recognizable as AI-generated, and that fails the credibility test with any audience that has seen more than a handful of AI-built sites. The distance between AI-flag work and professional work is the distance between a prompt that says build me a landing page and a prompt that says implement the landing page according to the typography scale, the motion principles, and the conversion structure specified in the foundation document, sections five through seven.</w:t>
      </w:r>
    </w:p>
    <w:p>
      <w:pPr>
        <w:spacing w:after="120" w:line="312"/>
        <w:ind w:firstLine="360"/>
        <w:jc w:val="both"/>
      </w:pPr>
      <w:r>
        <w:rPr>
          <w:rFonts w:ascii="Times New Roman" w:eastAsia="SimSun"/>
          <w:color w:val="000000"/>
          <w:sz w:val="24"/>
          <w:szCs w:val="24"/>
        </w:rPr>
        <w:t xml:space="preserve">The thesis of this report is therefore the following. An AI builder agent, whether solo or multi-agent, produces production-grade output only when it is directed by a prompt architecture that loads a curated knowledge base as context, decomposes the build into atomic tasks with defined inputs and outputs, specifies the technical stack and the design system explicitly, and verifies each output against documented acceptance criteria before the next task begins. The foundation document is the curated knowledge base; this report is the prompt architecture that converts it into a build sequence. The remainder of the document provides the prompt templates, the use cases, the design standards, and the verification gates that a builder needs to direct an AI agent to produce systems that meet real-world standards and that a business will pay for.</w:t>
      </w:r>
    </w:p>
    <w:p>
      <w:pPr>
        <w:pStyle w:val="Heading1"/>
        <w:spacing w:after="160" w:before="360" w:line="312"/>
      </w:pPr>
      <w:bookmarkStart w:id="100002" w:name="_Toc100002"/>
      <w:r>
        <w:rPr>
          <w:rFonts w:ascii="Arial" w:eastAsia="SimHei"/>
          <w:b/>
          <w:bCs/>
          <w:color w:val="162235"/>
          <w:sz w:val="32"/>
          <w:szCs w:val="32"/>
        </w:rPr>
        <w:t xml:space="preserve">3. Background and Context</w:t>
      </w:r>
      <w:bookmarkEnd w:id="100002"/>
    </w:p>
    <w:p>
      <w:pPr>
        <w:pStyle w:val="Heading2"/>
        <w:spacing w:after="120" w:before="280" w:line="312"/>
      </w:pPr>
      <w:bookmarkStart w:id="100003" w:name="_Toc100003"/>
      <w:r>
        <w:rPr>
          <w:rFonts w:ascii="Arial" w:eastAsia="SimHei"/>
          <w:b/>
          <w:bCs/>
          <w:color w:val="162235"/>
          <w:sz w:val="28"/>
          <w:szCs w:val="28"/>
        </w:rPr>
        <w:t xml:space="preserve">3.1 The AI Coding Agent Landscape in 2026</w:t>
      </w:r>
      <w:bookmarkEnd w:id="100003"/>
    </w:p>
    <w:p>
      <w:pPr>
        <w:spacing w:after="120" w:line="312"/>
        <w:ind w:firstLine="360"/>
        <w:jc w:val="both"/>
      </w:pPr>
      <w:r>
        <w:rPr>
          <w:rFonts w:ascii="Times New Roman" w:eastAsia="SimSun"/>
          <w:color w:val="000000"/>
          <w:sz w:val="24"/>
          <w:szCs w:val="24"/>
        </w:rPr>
        <w:t xml:space="preserve">The AI coding agent market in 2026 is served by a small number of dominant tools whose capabilities have largely converged. Claude Code, built on Anthropic's Claude Opus model, is ranked by practitioner sources as the strongest single agent for hard refactors and deep debugging, with the deepest harness and per-subagent model control. OpenAI Codex, built on the GPT-5 generation, is the lowest-friction path for teams already working in the ChatGPT ecosystem and offers cross-surface autonomy through Codex Cloud. Cursor is the dominant AI-native integrated development environment, with the Composer feature that coordinates multi-file edits. Open-source alternatives such as OpenCode and Kimi K3 provide model-agnostic options for teams that want to swap models freely. The structural shift that practitioner sources identify is that the choice of agent matters less than the workspace above the agent, meaning the orchestration layer that decides which agent does which task and how the outputs are combined.</w:t>
      </w:r>
    </w:p>
    <w:p>
      <w:pPr>
        <w:spacing w:after="120" w:line="312"/>
        <w:ind w:firstLine="360"/>
        <w:jc w:val="both"/>
      </w:pPr>
      <w:r>
        <w:rPr>
          <w:rFonts w:ascii="Times New Roman" w:eastAsia="SimSun"/>
          <w:color w:val="000000"/>
          <w:sz w:val="24"/>
          <w:szCs w:val="24"/>
        </w:rPr>
        <w:t xml:space="preserve">The multi-agent pattern has emerged as the dominant approach for complex builds. In a multi-agent build, a planning agent, typically the most capable and most expensive model, decomposes the work into atomic tasks and assigns each task to an execution agent, typically a cheaper and faster model. The execution agents work in parallel, each producing a defined output that the planning agent integrates. This pattern, which practitioner sources describe as the structural shift of 2026, mirrors the team topology of a human engineering organization: a tech lead decomposes the work, senior engineers implement, and a reviewer integrates. The AI builder who adopts the multi-agent pattern gains the throughput of parallel execution and the quality of a planning layer that holds the whole system in context. The solo-builder pattern, in which a single agent handles planning and execution sequentially, is viable for smaller builds and remains the dominant pattern for prototypes and for builds where the orchestration overhead is not justified.</w:t>
      </w:r>
    </w:p>
    <w:p>
      <w:pPr>
        <w:pStyle w:val="Heading2"/>
        <w:spacing w:after="120" w:before="280" w:line="312"/>
      </w:pPr>
      <w:bookmarkStart w:id="100004" w:name="_Toc100004"/>
      <w:r>
        <w:rPr>
          <w:rFonts w:ascii="Arial" w:eastAsia="SimHei"/>
          <w:b/>
          <w:bCs/>
          <w:color w:val="162235"/>
          <w:sz w:val="28"/>
          <w:szCs w:val="28"/>
        </w:rPr>
        <w:t xml:space="preserve">3.2 The Foundation Document as a Knowledge Base</w:t>
      </w:r>
      <w:bookmarkEnd w:id="100004"/>
    </w:p>
    <w:p>
      <w:pPr>
        <w:spacing w:after="120" w:line="312"/>
        <w:ind w:firstLine="360"/>
        <w:jc w:val="both"/>
      </w:pPr>
      <w:r>
        <w:rPr>
          <w:rFonts w:ascii="Times New Roman" w:eastAsia="SimSun"/>
          <w:color w:val="000000"/>
          <w:sz w:val="24"/>
          <w:szCs w:val="24"/>
        </w:rPr>
        <w:t xml:space="preserve">The foundation document, Production-Ready Full-Stack Systems for Business, is the curated knowledge base that this report teaches a builder to load into the AI agent's context. The document is approximately thirty thousand words and covers the planning, architecture, data models, process flows, security controls, user-experience standards, and operational practices for eight commercially validated system categories: the multi-tenant SaaS platform, the e-commerce and marketplace system, the Customer Relationship Management platform, the Enterprise Resource Planning system, the real-time analytics dashboard, the AI-powered application, the booking and scheduling platform, and the Learning Management System. For each system, the document specifies the ideal customer profile, the functional and non-functional requirements, the reference architecture, the core data entities with their attributes and relationships, the end-to-end process flows, the security controls aligned to the OWASP Top Ten, the accessibility commitments under WCAG 2.2, the implementation roadmap, and the business viability. The document additionally covers the SDLC phases with their artifacts and gates, the common engineering standards, the team composition and cost estimation, the risk register, and the action items with owner assignments.</w:t>
      </w:r>
    </w:p>
    <w:p>
      <w:pPr>
        <w:spacing w:after="120" w:line="312"/>
        <w:ind w:firstLine="360"/>
        <w:jc w:val="both"/>
      </w:pPr>
      <w:r>
        <w:rPr>
          <w:rFonts w:ascii="Times New Roman" w:eastAsia="SimSun"/>
          <w:color w:val="000000"/>
          <w:sz w:val="24"/>
          <w:szCs w:val="24"/>
        </w:rPr>
        <w:t xml:space="preserve">The foundation document is not a tutorial; it is a specification. An AI agent that loads the relevant sections of the document as context gains the architectural constraints, the data model, the security controls, and the operational targets that would otherwise be absent from its output. The discipline of loading the right sections at the right time is the core of the prompt architecture that this report documents, and it is the practice that distinguishes a directed build from a generic generation. A builder who prompts an AI agent to build a school management system without loading the ERP data model, the multi-tenancy pattern, and the accessibility standards will receive an output that lacks tenant isolation, that has an ad-hoc data model, and that fails the WCAG conformance that procurement requires. A builder who loads those sections as context and then prompts the agent to implement against them will receive an output that meets the documented standard. The foundation document is the difference between an output that is plausible and an output that is correct.</w:t>
      </w:r>
    </w:p>
    <w:p>
      <w:pPr>
        <w:pStyle w:val="Heading2"/>
        <w:spacing w:after="120" w:before="280" w:line="312"/>
      </w:pPr>
      <w:bookmarkStart w:id="100005" w:name="_Toc100005"/>
      <w:r>
        <w:rPr>
          <w:rFonts w:ascii="Arial" w:eastAsia="SimHei"/>
          <w:b/>
          <w:bCs/>
          <w:color w:val="162235"/>
          <w:sz w:val="28"/>
          <w:szCs w:val="28"/>
        </w:rPr>
        <w:t xml:space="preserve">3.3 Prompt Engineering and Context Engineering</w:t>
      </w:r>
      <w:bookmarkEnd w:id="100005"/>
    </w:p>
    <w:p>
      <w:pPr>
        <w:spacing w:after="120" w:line="312"/>
        <w:ind w:firstLine="360"/>
        <w:jc w:val="both"/>
      </w:pPr>
      <w:r>
        <w:rPr>
          <w:rFonts w:ascii="Times New Roman" w:eastAsia="SimSun"/>
          <w:color w:val="000000"/>
          <w:sz w:val="24"/>
          <w:szCs w:val="24"/>
        </w:rPr>
        <w:t xml:space="preserve">Anthropic, in its engineering guidance on context engineering for AI agents, draws a distinction between prompt engineering and context engineering that is foundational to the practice this report documents. Prompt engineering refers to the methods for writing and organizing the instructions that govern the model's output; context engineering refers to the broader set of strategies for curating and maintaining the optimal set of tokens, including information that may land in the context outside the explicit prompts. As agents have become more capable and have begun to operate over multiple steps, the focus of engineering work has shifted from writing better prompts to maintaining better context, because the model's behavior at any given step is determined by the totality of the context available to it at that step, not by the prompt alone.</w:t>
      </w:r>
    </w:p>
    <w:p>
      <w:pPr>
        <w:spacing w:after="120" w:line="312"/>
        <w:ind w:firstLine="360"/>
        <w:jc w:val="both"/>
      </w:pPr>
      <w:r>
        <w:rPr>
          <w:rFonts w:ascii="Times New Roman" w:eastAsia="SimSun"/>
          <w:color w:val="000000"/>
          <w:sz w:val="24"/>
          <w:szCs w:val="24"/>
        </w:rPr>
        <w:t xml:space="preserve">The practical implication for the builder is that the prompt is only one component of the context. The other components include the foundation document sections loaded as reference, the existing code in the repository, the conversation history, and any tool outputs such as test results or search results. A builder who focuses only on the prompt and neglects the other components will produce inconsistent output, because the model's behavior will be determined by whatever context happens to be present. A builder who engineers the full context, loading the right foundation sections, curating the conversation history to remove irrelevant turns, and providing the right tool outputs at the right time, will produce consistent output that meets the documented standard. The prompt templates in this report are designed to be used within this context-engineering discipline: each prompt specifies which foundation sections to load, which existing files to reference, and which verification step to run before the next prompt is issued.</w:t>
      </w:r>
    </w:p>
    <w:p>
      <w:pPr>
        <w:pStyle w:val="Heading2"/>
        <w:spacing w:after="120" w:before="280" w:line="312"/>
      </w:pPr>
      <w:bookmarkStart w:id="100006" w:name="_Toc100006"/>
      <w:r>
        <w:rPr>
          <w:rFonts w:ascii="Arial" w:eastAsia="SimHei"/>
          <w:b/>
          <w:bCs/>
          <w:color w:val="162235"/>
          <w:sz w:val="28"/>
          <w:szCs w:val="28"/>
        </w:rPr>
        <w:t xml:space="preserve">3.4 Historical Context: From Autocomplete to Autonomous Agents</w:t>
      </w:r>
      <w:bookmarkEnd w:id="100006"/>
    </w:p>
    <w:p>
      <w:pPr>
        <w:spacing w:after="120" w:line="312"/>
        <w:ind w:firstLine="360"/>
        <w:jc w:val="both"/>
      </w:pPr>
      <w:r>
        <w:rPr>
          <w:rFonts w:ascii="Times New Roman" w:eastAsia="SimSun"/>
          <w:color w:val="000000"/>
          <w:sz w:val="24"/>
          <w:szCs w:val="24"/>
        </w:rPr>
        <w:t xml:space="preserve">The trajectory from the first code-completion tools to the autonomous agents of 2026 is a useful framing for the discipline this report documents. The first generation, exemplified by GitHub Copilot at its 2021 launch, operated as autocomplete: it suggested the next few lines of code based on the surrounding context, and the human developer accepted or rejected the suggestion. The second generation, exemplified by Cursor and the early versions of Claude Code, operated as a pair programmer: it could make multi-file edits in response to a natural-language instruction, but the human developer drove the decomposition and the verification. The third generation, which is the present state in 2026, operates as an autonomous agent: it can plan a task, decompose it into subtasks, execute the subtasks, run the tests, and submit a pull request with limited human intervention. Each generation increased the leverage available to the builder and, correspondingly, increased the consequence of a poorly directed prompt. A bad prompt in the autocomplete era produced a bad line of code; a bad prompt in the autonomous era produces a bad system, because the agent executes the prompt at scale and across files.</w:t>
      </w:r>
    </w:p>
    <w:p>
      <w:pPr>
        <w:spacing w:after="120" w:line="312"/>
        <w:ind w:firstLine="360"/>
        <w:jc w:val="both"/>
      </w:pPr>
      <w:r>
        <w:rPr>
          <w:rFonts w:ascii="Times New Roman" w:eastAsia="SimSun"/>
          <w:color w:val="000000"/>
          <w:sz w:val="24"/>
          <w:szCs w:val="24"/>
        </w:rPr>
        <w:t xml:space="preserve">The discipline of prompt architecture is the response to this increased leverage. The builder's job is no longer to write the code; it is to specify the system that the agent will write, with sufficient precision and sufficient context that the agent's output meets the standard. This is a different skill from programming, and it draws more on the disciplines of systems design, technical writing, and verification than on the discipline of coding itself. The builder who masters this discipline gains the leverage of the autonomous agent without the quality regression that undirected generation produces; the builder who does not master it will produce AI-flag work that fails the credibility test with any sophisticated audience.</w:t>
      </w:r>
    </w:p>
    <w:p>
      <w:pPr>
        <w:pStyle w:val="Heading1"/>
        <w:spacing w:after="160" w:before="360" w:line="312"/>
      </w:pPr>
      <w:bookmarkStart w:id="100007" w:name="_Toc100007"/>
      <w:r>
        <w:rPr>
          <w:rFonts w:ascii="Arial" w:eastAsia="SimHei"/>
          <w:b/>
          <w:bCs/>
          <w:color w:val="162235"/>
          <w:sz w:val="32"/>
          <w:szCs w:val="32"/>
        </w:rPr>
        <w:t xml:space="preserve">4. The Prompt Architecture: A Three-Phase Model</w:t>
      </w:r>
      <w:bookmarkEnd w:id="100007"/>
    </w:p>
    <w:p>
      <w:pPr>
        <w:spacing w:after="120" w:line="312"/>
        <w:ind w:firstLine="360"/>
        <w:jc w:val="both"/>
      </w:pPr>
      <w:r>
        <w:rPr>
          <w:rFonts w:ascii="Times New Roman" w:eastAsia="SimSun"/>
          <w:color w:val="000000"/>
          <w:sz w:val="24"/>
          <w:szCs w:val="24"/>
        </w:rPr>
        <w:t xml:space="preserve">This section defines the prompt architecture that governs every build in this report. The architecture is a three-phase model drawn from practitioner prompt-engineering literature: a context loading phase, an analysis phase, and an implementation phase, with a verification gate between each phase. The model is applied uniformly to every use case in Part II, and the prompt templates in Part II are instances of this model. The discipline of the three-phase model is what prevents the most common failure mode of AI code generation, which is the hallucination of non-existent components or interfaces when the model is asked to implement without first analyzing the existing context.</w:t>
      </w:r>
    </w:p>
    <w:p>
      <w:pPr>
        <w:pStyle w:val="Heading2"/>
        <w:spacing w:after="120" w:before="280" w:line="312"/>
      </w:pPr>
      <w:bookmarkStart w:id="100008" w:name="_Toc100008"/>
      <w:r>
        <w:rPr>
          <w:rFonts w:ascii="Arial" w:eastAsia="SimHei"/>
          <w:b/>
          <w:bCs/>
          <w:color w:val="162235"/>
          <w:sz w:val="28"/>
          <w:szCs w:val="28"/>
        </w:rPr>
        <w:t xml:space="preserve">4.1 Phase 1: Context Loading</w:t>
      </w:r>
      <w:bookmarkEnd w:id="100008"/>
    </w:p>
    <w:p>
      <w:pPr>
        <w:spacing w:after="120" w:line="312"/>
        <w:ind w:firstLine="360"/>
        <w:jc w:val="both"/>
      </w:pPr>
      <w:r>
        <w:rPr>
          <w:rFonts w:ascii="Times New Roman" w:eastAsia="SimSun"/>
          <w:color w:val="000000"/>
          <w:sz w:val="24"/>
          <w:szCs w:val="24"/>
        </w:rPr>
        <w:t xml:space="preserve">The context loading phase establishes the knowledge base that the agent will operate against. The prompt in this phase instructs the agent to read the relevant sections of the foundation document, the existing code in the repository, and any external references that the build requires. The agent is not asked to produce any code in this phase; it is asked to produce a context summary that confirms it has understood the loaded material. The context summary is the artifact that gates the transition to the analysis phase, and it serves as the reference point for the rest of the build. A builder who skips the context loading phase, or who merges it with the implementation phase, will produce output that is inconsistent with the foundation and that requires rework.</w:t>
      </w:r>
    </w:p>
    <w:p>
      <w:pPr>
        <w:spacing w:after="120" w:line="312"/>
        <w:ind w:firstLine="360"/>
        <w:jc w:val="both"/>
      </w:pPr>
      <w:r>
        <w:rPr>
          <w:rFonts w:ascii="Times New Roman" w:eastAsia="SimSun"/>
          <w:color w:val="000000"/>
          <w:sz w:val="24"/>
          <w:szCs w:val="24"/>
        </w:rPr>
        <w:t xml:space="preserve">The specific content loaded in this phase depends on the system being built. For a school management system, which is a vertical ERP, the context loading includes the ERP data model section of the foundation document, the multi-tenancy pattern, the security controls, the accessibility standards, and any existing code in the repository. The prompt instructs the agent to read each source and to produce a summary that lists the entities, the relationships, the constraints, and the standards that the build must satisfy. The summary is reviewed by the builder before the next phase begins, and any misunderstanding is corrected by re-prompting before the analysis phase starts.</w:t>
      </w:r>
    </w:p>
    <w:p>
      <w:pPr>
        <w:pStyle w:val="Heading2"/>
        <w:spacing w:after="120" w:before="280" w:line="312"/>
      </w:pPr>
      <w:bookmarkStart w:id="100009" w:name="_Toc100009"/>
      <w:r>
        <w:rPr>
          <w:rFonts w:ascii="Arial" w:eastAsia="SimHei"/>
          <w:b/>
          <w:bCs/>
          <w:color w:val="162235"/>
          <w:sz w:val="28"/>
          <w:szCs w:val="28"/>
        </w:rPr>
        <w:t xml:space="preserve">4.2 Phase 2: Analysis and Decomposition</w:t>
      </w:r>
      <w:bookmarkEnd w:id="100009"/>
    </w:p>
    <w:p>
      <w:pPr>
        <w:spacing w:after="120" w:line="312"/>
        <w:ind w:firstLine="360"/>
        <w:jc w:val="both"/>
      </w:pPr>
      <w:r>
        <w:rPr>
          <w:rFonts w:ascii="Times New Roman" w:eastAsia="SimSun"/>
          <w:color w:val="000000"/>
          <w:sz w:val="24"/>
          <w:szCs w:val="24"/>
        </w:rPr>
        <w:t xml:space="preserve">The analysis phase takes the context summary from phase one and produces an implementation plan. The prompt in this phase instructs the agent to decompose the build into atomic tasks, each with a defined input, a defined output, and a defined acceptance criterion. The agent is asked to identify the specific files that will be created or modified, the specific functions or modules that will be implemented, and the specific tests that will verify each task. The output of this phase is a task list that the builder reviews and approves before the implementation phase begins. The analysis phase is the phase that prevents the hallucination failure mode, because it forces the agent to commit to a specific plan before it writes any code, and the builder can verify that the plan is consistent with the foundation before the code is generated.</w:t>
      </w:r>
    </w:p>
    <w:p>
      <w:pPr>
        <w:spacing w:after="120" w:line="312"/>
        <w:ind w:firstLine="360"/>
        <w:jc w:val="both"/>
      </w:pPr>
      <w:r>
        <w:rPr>
          <w:rFonts w:ascii="Times New Roman" w:eastAsia="SimSun"/>
          <w:color w:val="000000"/>
          <w:sz w:val="24"/>
          <w:szCs w:val="24"/>
        </w:rPr>
        <w:t xml:space="preserve">The decomposition should produce tasks that are small enough to be implemented and verified in isolation, but large enough to be meaningful. A task that says implement the authentication module is too large, because it encompasses multiple files, multiple functions, and multiple tests; a task that says implement the password hashing function in the auth utility module is appropriately scoped. The task list produced in this phase becomes the input to the implementation phase, and each task is executed in sequence, with the verification gate run after each task before the next begins.</w:t>
      </w:r>
    </w:p>
    <w:p>
      <w:pPr>
        <w:pStyle w:val="Heading2"/>
        <w:spacing w:after="120" w:before="280" w:line="312"/>
      </w:pPr>
      <w:bookmarkStart w:id="100010" w:name="_Toc100010"/>
      <w:r>
        <w:rPr>
          <w:rFonts w:ascii="Arial" w:eastAsia="SimHei"/>
          <w:b/>
          <w:bCs/>
          <w:color w:val="162235"/>
          <w:sz w:val="28"/>
          <w:szCs w:val="28"/>
        </w:rPr>
        <w:t xml:space="preserve">4.3 Phase 3: Implementation and Verification</w:t>
      </w:r>
      <w:bookmarkEnd w:id="100010"/>
    </w:p>
    <w:p>
      <w:pPr>
        <w:spacing w:after="120" w:line="312"/>
        <w:ind w:firstLine="360"/>
        <w:jc w:val="both"/>
      </w:pPr>
      <w:r>
        <w:rPr>
          <w:rFonts w:ascii="Times New Roman" w:eastAsia="SimSun"/>
          <w:color w:val="000000"/>
          <w:sz w:val="24"/>
          <w:szCs w:val="24"/>
        </w:rPr>
        <w:t xml:space="preserve">The implementation phase executes the task list from phase two. The prompt in this phase instructs the agent to implement a single task, to run the verification step specified for that task, and to report the result. The verification step is typically a test, a lint check, or a type check, and it must pass before the next task is started. If the verification fails, the agent is instructed to fix the failure and to re-run the verification, with a maximum number of retries before the agent escalates to the builder. This phase is the most iterative of the three, and it is the phase where the discipline of the verification gate is most consequential. An agent that is allowed to proceed past a failed verification will produce a system that appears to work but that has accumulated defects that are expensive to diagnose later.</w:t>
      </w:r>
    </w:p>
    <w:p>
      <w:pPr>
        <w:spacing w:after="120" w:line="312"/>
        <w:ind w:firstLine="360"/>
        <w:jc w:val="both"/>
      </w:pPr>
      <w:r>
        <w:rPr>
          <w:rFonts w:ascii="Times New Roman" w:eastAsia="SimSun"/>
          <w:color w:val="000000"/>
          <w:sz w:val="24"/>
          <w:szCs w:val="24"/>
        </w:rPr>
        <w:t xml:space="preserve">The verification gate is the mechanism that converts the agent's capability into quality. The gate must be automated, must be fast, and must be specific. A gate that says run the tests is too vague, because the test suite may be large and the failure may be in an unrelated area; a gate that says run the authentication module tests and verify that all tests pass is appropriately specific. The gate must also be run after every task, not just at the end of the build, because the cost of fixing a defect grows with the time between its introduction and its detection. The discipline of running the verification gate after every task is the single practice that most distinguishes a directed build from an undirected generation, and it is the practice that most determines whether the final system meets the real-world standard.</w:t>
      </w:r>
    </w:p>
    <w:p>
      <w:pPr>
        <w:pStyle w:val="Heading2"/>
        <w:spacing w:after="120" w:before="280" w:line="312"/>
      </w:pPr>
      <w:bookmarkStart w:id="100011" w:name="_Toc100011"/>
      <w:r>
        <w:rPr>
          <w:rFonts w:ascii="Arial" w:eastAsia="SimHei"/>
          <w:b/>
          <w:bCs/>
          <w:color w:val="162235"/>
          <w:sz w:val="28"/>
          <w:szCs w:val="28"/>
        </w:rPr>
        <w:t xml:space="preserve">4.4 The Master Prompt Template</w:t>
      </w:r>
      <w:bookmarkEnd w:id="100011"/>
    </w:p>
    <w:p>
      <w:pPr>
        <w:spacing w:after="120" w:line="312"/>
        <w:ind w:firstLine="360"/>
        <w:jc w:val="both"/>
      </w:pPr>
      <w:r>
        <w:rPr>
          <w:rFonts w:ascii="Times New Roman" w:eastAsia="SimSun"/>
          <w:color w:val="000000"/>
          <w:sz w:val="24"/>
          <w:szCs w:val="24"/>
        </w:rPr>
        <w:t xml:space="preserve">The following master prompt template is the structure that every prompt in this report follows. The template is designed to be used with any of the dominant AI coding agents and to be adapted to the specific system being built. The builder fills in the bracketed sections with the content drawn from the foundation document and from the specific use case.</w:t>
      </w:r>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 system</w:t>
            </w:r>
          </w:p>
          <w:p>
            <w:pPr>
              <w:spacing w:after="0" w:line="280"/>
            </w:pPr>
            <w:r>
              <w:rPr>
                <w:rFonts w:ascii="Consolas" w:eastAsia="Consolas"/>
                <w:color w:val="1F2937"/>
                <w:sz w:val="19"/>
                <w:szCs w:val="19"/>
              </w:rPr>
              <w:t xml:space="preserve">according to a documented specification. You do not improvise; you implement</w:t>
            </w:r>
          </w:p>
          <w:p>
            <w:pPr>
              <w:spacing w:after="0" w:line="280"/>
            </w:pPr>
            <w:r>
              <w:rPr>
                <w:rFonts w:ascii="Consolas" w:eastAsia="Consolas"/>
                <w:color w:val="1F2937"/>
                <w:sz w:val="19"/>
                <w:szCs w:val="19"/>
              </w:rPr>
              <w:t xml:space="preserve">against the specification. You do not skip verification; you run the gate after</w:t>
            </w:r>
          </w:p>
          <w:p>
            <w:pPr>
              <w:spacing w:after="0" w:line="280"/>
            </w:pPr>
            <w:r>
              <w:rPr>
                <w:rFonts w:ascii="Consolas" w:eastAsia="Consolas"/>
                <w:color w:val="1F2937"/>
                <w:sz w:val="19"/>
                <w:szCs w:val="19"/>
              </w:rPr>
              <w:t xml:space="preserve">every task.</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TO LOAD:</w:t>
            </w:r>
          </w:p>
          <w:p>
            <w:pPr>
              <w:spacing w:after="0" w:line="280"/>
            </w:pPr>
            <w:r>
              <w:rPr>
                <w:rFonts w:ascii="Consolas" w:eastAsia="Consolas"/>
                <w:color w:val="1F2937"/>
                <w:sz w:val="19"/>
                <w:szCs w:val="19"/>
              </w:rPr>
              <w:t xml:space="preserve">- Foundation document: Production-Ready Full-Stack Systems for Business</w:t>
            </w:r>
          </w:p>
          <w:p>
            <w:pPr>
              <w:spacing w:after="0" w:line="280"/>
            </w:pPr>
            <w:r>
              <w:rPr>
                <w:rFonts w:ascii="Consolas" w:eastAsia="Consolas"/>
                <w:color w:val="1F2937"/>
                <w:sz w:val="19"/>
                <w:szCs w:val="19"/>
              </w:rPr>
              <w:t xml:space="preserve">- Sections: [list specific sections, e.g., §7 Multi-Tenant SaaS, §5.2 Security,</w:t>
            </w:r>
          </w:p>
          <w:p>
            <w:pPr>
              <w:spacing w:after="0" w:line="280"/>
            </w:pPr>
            <w:r>
              <w:rPr>
                <w:rFonts w:ascii="Consolas" w:eastAsia="Consolas"/>
                <w:color w:val="1F2937"/>
                <w:sz w:val="19"/>
                <w:szCs w:val="19"/>
              </w:rPr>
              <w:t xml:space="preserve">  §5.3 UI/UX and Accessibility]</w:t>
            </w:r>
          </w:p>
          <w:p>
            <w:pPr>
              <w:spacing w:after="0" w:line="280"/>
            </w:pPr>
            <w:r>
              <w:rPr>
                <w:rFonts w:ascii="Consolas" w:eastAsia="Consolas"/>
                <w:color w:val="1F2937"/>
                <w:sz w:val="19"/>
                <w:szCs w:val="19"/>
              </w:rPr>
              <w:t xml:space="preserve">- Existing repository: [path or description]</w:t>
            </w:r>
          </w:p>
          <w:p>
            <w:pPr>
              <w:spacing w:after="0" w:line="280"/>
            </w:pPr>
            <w:r>
              <w:rPr>
                <w:rFonts w:ascii="Consolas" w:eastAsia="Consolas"/>
                <w:color w:val="1F2937"/>
                <w:sz w:val="19"/>
                <w:szCs w:val="19"/>
              </w:rPr>
              <w:t xml:space="preserve">- Target stack: [e.g., Next.js 16, PostgreSQL with RLS, Redis, Tailwind CSS,</w:t>
            </w:r>
          </w:p>
          <w:p>
            <w:pPr>
              <w:spacing w:after="0" w:line="280"/>
            </w:pPr>
            <w:r>
              <w:rPr>
                <w:rFonts w:ascii="Consolas" w:eastAsia="Consolas"/>
                <w:color w:val="1F2937"/>
                <w:sz w:val="19"/>
                <w:szCs w:val="19"/>
              </w:rPr>
              <w:t xml:space="preserve">  Radix UI primitives]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[single, atomic task, e.g., "Implement the tenant provisioning flow:</w:t>
            </w:r>
          </w:p>
          <w:p>
            <w:pPr>
              <w:spacing w:after="0" w:line="280"/>
            </w:pPr>
            <w:r>
              <w:rPr>
                <w:rFonts w:ascii="Consolas" w:eastAsia="Consolas"/>
                <w:color w:val="1F2937"/>
                <w:sz w:val="19"/>
                <w:szCs w:val="19"/>
              </w:rPr>
              <w:t xml:space="preserve">create the Tenant, User, Role, and Subscription entities; implement the</w:t>
            </w:r>
          </w:p>
          <w:p>
            <w:pPr>
              <w:spacing w:after="0" w:line="280"/>
            </w:pPr>
            <w:r>
              <w:rPr>
                <w:rFonts w:ascii="Consolas" w:eastAsia="Consolas"/>
                <w:color w:val="1F2937"/>
                <w:sz w:val="19"/>
                <w:szCs w:val="19"/>
              </w:rPr>
              <w:t xml:space="preserve">POST /api/tenants endpoint; write the integration test that verifies a</w:t>
            </w:r>
          </w:p>
          <w:p>
            <w:pPr>
              <w:spacing w:after="0" w:line="280"/>
            </w:pPr>
            <w:r>
              <w:rPr>
                <w:rFonts w:ascii="Consolas" w:eastAsia="Consolas"/>
                <w:color w:val="1F2937"/>
                <w:sz w:val="19"/>
                <w:szCs w:val="19"/>
              </w:rPr>
              <w:t xml:space="preserve">new tenant is created with the default plan and an initial admin user."]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[criterion 1, e.g., "The endpoint returns 201 with the tenant id"]</w:t>
            </w:r>
          </w:p>
          <w:p>
            <w:pPr>
              <w:spacing w:after="0" w:line="280"/>
            </w:pPr>
            <w:r>
              <w:rPr>
                <w:rFonts w:ascii="Consolas" w:eastAsia="Consolas"/>
                <w:color w:val="1F2937"/>
                <w:sz w:val="19"/>
                <w:szCs w:val="19"/>
              </w:rPr>
              <w:t xml:space="preserve">- [criterion 2, e.g., "The tenant_id column is present on all tenant-scoped</w:t>
            </w:r>
          </w:p>
          <w:p>
            <w:pPr>
              <w:spacing w:after="0" w:line="280"/>
            </w:pPr>
            <w:r>
              <w:rPr>
                <w:rFonts w:ascii="Consolas" w:eastAsia="Consolas"/>
                <w:color w:val="1F2937"/>
                <w:sz w:val="19"/>
                <w:szCs w:val="19"/>
              </w:rPr>
              <w:t xml:space="preserve">  tables and the RLS policy is in place"]</w:t>
            </w:r>
          </w:p>
          <w:p>
            <w:pPr>
              <w:spacing w:after="0" w:line="280"/>
            </w:pPr>
            <w:r>
              <w:rPr>
                <w:rFonts w:ascii="Consolas" w:eastAsia="Consolas"/>
                <w:color w:val="1F2937"/>
                <w:sz w:val="19"/>
                <w:szCs w:val="19"/>
              </w:rPr>
              <w:t xml:space="preserve">- [criterion 3, e.g., "The integration test passes"]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Run: [e.g., "npm test -- --grep tenant-provisioning"]</w:t>
            </w:r>
          </w:p>
          <w:p>
            <w:pPr>
              <w:spacing w:after="0" w:line="280"/>
            </w:pPr>
            <w:r>
              <w:rPr>
                <w:rFonts w:ascii="Consolas" w:eastAsia="Consolas"/>
                <w:color w:val="1F2937"/>
                <w:sz w:val="19"/>
                <w:szCs w:val="19"/>
              </w:rPr>
              <w:t xml:space="preserve">- Pass condition: [e.g., "All tests in the tenant-provisioning suite pass"]</w:t>
            </w:r>
          </w:p>
          <w:p>
            <w:pPr>
              <w:spacing w:after="0" w:line="280"/>
            </w:pPr>
            <w:r>
              <w:rPr>
                <w:rFonts w:ascii="Consolas" w:eastAsia="Consolas"/>
                <w:color w:val="1F2937"/>
                <w:sz w:val="19"/>
                <w:szCs w:val="19"/>
              </w:rPr>
              <w:t xml:space="preserve">- On failure: fix and re-run, up to 3 retries, then escalate to the builder.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OUTPUT:</w:t>
            </w:r>
          </w:p>
          <w:p>
            <w:pPr>
              <w:spacing w:after="0" w:line="280"/>
            </w:pPr>
            <w:r>
              <w:rPr>
                <w:rFonts w:ascii="Consolas" w:eastAsia="Consolas"/>
                <w:color w:val="1F2937"/>
                <w:sz w:val="19"/>
                <w:szCs w:val="19"/>
              </w:rPr>
              <w:t xml:space="preserve">- Produce the code changes, the test, and a one-paragraph summary of what</w:t>
            </w:r>
          </w:p>
          <w:p>
            <w:pPr>
              <w:spacing w:after="0" w:line="280"/>
            </w:pPr>
            <w:r>
              <w:rPr>
                <w:rFonts w:ascii="Consolas" w:eastAsia="Consolas"/>
                <w:color w:val="1F2937"/>
                <w:sz w:val="19"/>
                <w:szCs w:val="19"/>
              </w:rPr>
              <w:t xml:space="preserve">  was implemented and what was verified. Do not proceed to the next task</w:t>
            </w:r>
          </w:p>
          <w:p>
            <w:pPr>
              <w:spacing w:after="0" w:line="280"/>
            </w:pPr>
            <w:r>
              <w:rPr>
                <w:rFonts w:ascii="Consolas" w:eastAsia="Consolas"/>
                <w:color w:val="1F2937"/>
                <w:sz w:val="19"/>
                <w:szCs w:val="19"/>
              </w:rPr>
              <w:t xml:space="preserve">  until the builder confirms.</w:t>
            </w:r>
          </w:p>
        </w:tc>
      </w:tr>
    </w:tbl>
    <w:p>
      <w:pPr>
        <w:spacing w:after="120" w:line="312"/>
        <w:ind w:firstLine="360"/>
        <w:jc w:val="both"/>
      </w:pPr>
      <w:r>
        <w:rPr>
          <w:rFonts w:ascii="Times New Roman" w:eastAsia="SimSun"/>
          <w:color w:val="000000"/>
          <w:sz w:val="24"/>
          <w:szCs w:val="24"/>
        </w:rPr>
        <w:t xml:space="preserve">The template is deliberately explicit about the role, the context, the task, the acceptance criteria, and the verification gate, because each of these elements addresses a specific failure mode of AI code generation. The role instruction addresses the tendency of the model to improvise when it lacks a clear specification. The context loading addresses the tendency to hallucinate components that do not exist. The atomic task addresses the tendency to produce large, unreviewable changes. The acceptance criteria address the tendency to produce output that is plausible but incorrect. The verification gate addresses the tendency to proceed past failures. A builder who uses this template for every prompt, and who fills in the bracketed sections from the foundation document, will produce output that meets the documented standard.</w:t>
      </w:r>
    </w:p>
    <w:p>
      <w:pPr>
        <w:pStyle w:val="Heading1"/>
        <w:spacing w:after="160" w:before="360" w:line="312"/>
      </w:pPr>
      <w:bookmarkStart w:id="100012" w:name="_Toc100012"/>
      <w:r>
        <w:rPr>
          <w:rFonts w:ascii="Arial" w:eastAsia="SimHei"/>
          <w:b/>
          <w:bCs/>
          <w:color w:val="162235"/>
          <w:sz w:val="32"/>
          <w:szCs w:val="32"/>
        </w:rPr>
        <w:t xml:space="preserve">5. Use Case 1: A Complete Private School Management System</w:t>
      </w:r>
      <w:bookmarkEnd w:id="100012"/>
    </w:p>
    <w:p>
      <w:pPr>
        <w:pStyle w:val="Heading2"/>
        <w:spacing w:after="120" w:before="280" w:line="312"/>
      </w:pPr>
      <w:bookmarkStart w:id="100013" w:name="_Toc100013"/>
      <w:r>
        <w:rPr>
          <w:rFonts w:ascii="Arial" w:eastAsia="SimHei"/>
          <w:b/>
          <w:bCs/>
          <w:color w:val="162235"/>
          <w:sz w:val="28"/>
          <w:szCs w:val="28"/>
        </w:rPr>
        <w:t xml:space="preserve">5.1 Overview and Scope</w:t>
      </w:r>
      <w:bookmarkEnd w:id="100013"/>
    </w:p>
    <w:p>
      <w:pPr>
        <w:spacing w:after="120" w:line="312"/>
        <w:ind w:firstLine="360"/>
        <w:jc w:val="both"/>
      </w:pPr>
      <w:r>
        <w:rPr>
          <w:rFonts w:ascii="Times New Roman" w:eastAsia="SimSun"/>
          <w:color w:val="000000"/>
          <w:sz w:val="24"/>
          <w:szCs w:val="24"/>
        </w:rPr>
        <w:t xml:space="preserve">The first use case is a complete private school management system, built as a vertical Enterprise Resource Planning application for a single private school or a small group of schools. The system addresses the manual processes that dominate school administration, including admissions, enrollment, attendance, grading, scheduling, fee management, parent communication, and reporting. The goal is to make the school smarter, faster, and more innovative than a traditional school by centralizing all data in a single system of record, by automating the repetitive administrative work, and by providing real-time visibility to administrators, teachers, parents, and students. This use case is the most demanding of the three because the scope is broad, the data model is complex, and the regulatory obligations, particularly around student data and accessibility, are significant.</w:t>
      </w:r>
    </w:p>
    <w:p>
      <w:pPr>
        <w:spacing w:after="120" w:line="312"/>
        <w:ind w:firstLine="360"/>
        <w:jc w:val="both"/>
      </w:pPr>
      <w:r>
        <w:rPr>
          <w:rFonts w:ascii="Times New Roman" w:eastAsia="SimSun"/>
          <w:color w:val="000000"/>
          <w:sz w:val="24"/>
          <w:szCs w:val="24"/>
        </w:rPr>
        <w:t xml:space="preserve">A school management system is, in the terminology of the foundation document, a vertical ERP with elements of a Learning Management System and a Customer Relationship Management platform. The foundation document's ERP section, with its general ledger, item, employee, and order entities, provides the structural pattern for the financial and operational modules; the LMS section, with its course, lesson, enrollment, and attempt entities, provides the pattern for the academic modules; and the multi-tenant SaaS section provides the pattern if the system is to be sold to multiple schools. The builder who loads these three sections as context gains the architectural constraints and the data models that the build requires, and avoids the ad-hoc design that produces an unmaintainable system.</w:t>
      </w:r>
    </w:p>
    <w:p>
      <w:pPr>
        <w:pStyle w:val="Heading2"/>
        <w:spacing w:after="120" w:before="280" w:line="312"/>
      </w:pPr>
      <w:bookmarkStart w:id="100014" w:name="_Toc100014"/>
      <w:r>
        <w:rPr>
          <w:rFonts w:ascii="Arial" w:eastAsia="SimHei"/>
          <w:b/>
          <w:bCs/>
          <w:color w:val="162235"/>
          <w:sz w:val="28"/>
          <w:szCs w:val="28"/>
        </w:rPr>
        <w:t xml:space="preserve">5.2 Functional Scope</w:t>
      </w:r>
      <w:bookmarkEnd w:id="100014"/>
    </w:p>
    <w:p>
      <w:pPr>
        <w:spacing w:after="120" w:line="312"/>
        <w:ind w:firstLine="360"/>
        <w:jc w:val="both"/>
      </w:pPr>
      <w:r>
        <w:rPr>
          <w:rFonts w:ascii="Times New Roman" w:eastAsia="SimSun"/>
          <w:color w:val="000000"/>
          <w:sz w:val="24"/>
          <w:szCs w:val="24"/>
        </w:rPr>
        <w:t xml:space="preserve">The functional scope of a complete private school management system spans seven modules. The admissions module manages prospective students from inquiry through enrollment, including application forms, document upload, interview scheduling, and admission decisions. The student information module is the system of record for enrolled students, holding demographics, guardians, medical information, and academic history. The academic module manages courses, sections, enrollment, scheduling, attendance, and grading. The financial module manages fee structures, invoicing, payments, scholarships, and financial aid. The communication module manages announcements, messaging between teachers and parents, and notifications. The reporting module produces transcripts, report cards, attendance reports, and financial reports. The administration module manages users, roles, permissions, and system configuration. Each module plugs into the shared data backbone, so that a change in one module, such as a student's enrollment status, is immediately visible to all the modules that depend on it.</w:t>
      </w:r>
    </w:p>
    <w:p>
      <w:pPr>
        <w:keepNext/>
        <w:spacing w:after="100" w:before="200" w:line="312"/>
        <w:jc w:val="left"/>
      </w:pPr>
      <w:r>
        <w:rPr>
          <w:rFonts w:ascii="Arial" w:eastAsia="SimHei"/>
          <w:b/>
          <w:bCs/>
          <w:color w:val="162235"/>
          <w:sz w:val="22"/>
          <w:szCs w:val="22"/>
        </w:rPr>
        <w:t xml:space="preserve">Table 1: School Management System Modules and Core Entities</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tblGrid>
      <w:tr>
        <w:trPr>
          <w:cantSplit/>
          <w:tblHeader/>
        </w:trPr>
        <w:tc>
          <w:tcPr>
            <w:tcW w:type="pct" w:w="2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Module</w:t>
            </w:r>
          </w:p>
        </w:tc>
        <w:tc>
          <w:tcPr>
            <w:tcW w:type="pct" w:w="5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Core Entities</w:t>
            </w:r>
          </w:p>
        </w:tc>
        <w:tc>
          <w:tcPr>
            <w:tcW w:type="pct" w:w="2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Primary Users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Admissions</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Applicant, Application, Document, Interview, Decision</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Admissions staff, applicants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Student Information</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Student, Guardian, MedicalRecord, EmergencyContact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Administrators, parents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Academic</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Course, Section, Enrollment, Attendance, Grade, Transcript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Teachers, students, administrators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Financial</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FeeStructure, Invoice, Payment, Scholarship, FinancialAid</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Finance staff, parents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Communication</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Announcement, Message, Notification, Template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All users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Reporting</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Report, ReportCard, Transcript, AttendanceReport</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Administrators, teachers</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Administration</w:t>
            </w:r>
          </w:p>
        </w:tc>
        <w:tc>
          <w:tcPr>
            <w:tcW w:type="pct" w:w="50%"/>
            <w:tcMar>
              <w:top w:type="dxa" w:w="70"/>
              <w:left w:type="dxa" w:w="120"/>
              <w:bottom w:type="dxa" w:w="70"/>
              <w:right w:type="dxa" w:w="120"/>
            </w:tcMar>
          </w:tcPr>
          <w:p>
            <w:pPr>
              <w:spacing w:line="276"/>
              <w:jc w:val="left"/>
            </w:pPr>
            <w:r>
              <w:rPr>
                <w:rFonts w:ascii="Times New Roman" w:eastAsia="SimSun"/>
                <w:color w:val="000000"/>
                <w:sz w:val="20"/>
                <w:szCs w:val="20"/>
              </w:rPr>
              <w:t xml:space="preserve">User, Role, Permission, School, AcademicYear, Term</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System administrators</w:t>
            </w:r>
          </w:p>
        </w:tc>
      </w:tr>
    </w:tbl>
    <w:p>
      <w:pPr>
        <w:spacing w:after="200" w:before="80" w:line="312"/>
        <w:jc w:val="center"/>
      </w:pPr>
      <w:r>
        <w:rPr>
          <w:rFonts w:ascii="Times New Roman" w:eastAsia="SimSun"/>
          <w:i/>
          <w:iCs/>
          <w:color w:val="606060"/>
          <w:sz w:val="20"/>
          <w:szCs w:val="20"/>
        </w:rPr>
        <w:t xml:space="preserve">Table 1: The seven modules of a complete private school management system, with their core entities and primary users. Each module plugs into the shared data backbone, so that a change in one module is immediately visible to all dependent modules.</w:t>
      </w:r>
    </w:p>
    <w:p>
      <w:pPr>
        <w:pStyle w:val="Heading2"/>
        <w:spacing w:after="120" w:before="280" w:line="312"/>
      </w:pPr>
      <w:bookmarkStart w:id="100015" w:name="_Toc100015"/>
      <w:r>
        <w:rPr>
          <w:rFonts w:ascii="Arial" w:eastAsia="SimHei"/>
          <w:b/>
          <w:bCs/>
          <w:color w:val="162235"/>
          <w:sz w:val="28"/>
          <w:szCs w:val="28"/>
        </w:rPr>
        <w:t xml:space="preserve">5.3 The Prompt Sequence</w:t>
      </w:r>
      <w:bookmarkEnd w:id="100015"/>
    </w:p>
    <w:p>
      <w:pPr>
        <w:spacing w:after="120" w:line="312"/>
        <w:ind w:firstLine="360"/>
        <w:jc w:val="both"/>
      </w:pPr>
      <w:r>
        <w:rPr>
          <w:rFonts w:ascii="Times New Roman" w:eastAsia="SimSun"/>
          <w:color w:val="000000"/>
          <w:sz w:val="24"/>
          <w:szCs w:val="24"/>
        </w:rPr>
        <w:t xml:space="preserve">The build of a school management system is decomposed into a prompt sequence that follows the three-phase model defined in Section 4. The sequence is presented here as a series of prompts that the builder issues to the AI agent in order, with each prompt producing a defined artifact that gates the next. The prompts are written in the master template format and are filled in with the specific content drawn from the foundation document and from the school system's functional scope.</w:t>
      </w:r>
    </w:p>
    <w:p>
      <w:pPr>
        <w:pStyle w:val="Heading3"/>
        <w:spacing w:after="100" w:before="220" w:line="312"/>
      </w:pPr>
      <w:bookmarkStart w:id="100016" w:name="_Toc100016"/>
      <w:r>
        <w:rPr>
          <w:rFonts w:ascii="Arial" w:eastAsia="SimHei"/>
          <w:b/>
          <w:bCs/>
          <w:color w:val="162235"/>
          <w:sz w:val="24"/>
          <w:szCs w:val="24"/>
        </w:rPr>
        <w:t xml:space="preserve">5.3.1 Prompt 1: Context Loading</w:t>
      </w:r>
      <w:bookmarkEnd w:id="100016"/>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 private</w:t>
            </w:r>
          </w:p>
          <w:p>
            <w:pPr>
              <w:spacing w:after="0" w:line="280"/>
            </w:pPr>
            <w:r>
              <w:rPr>
                <w:rFonts w:ascii="Consolas" w:eastAsia="Consolas"/>
                <w:color w:val="1F2937"/>
                <w:sz w:val="19"/>
                <w:szCs w:val="19"/>
              </w:rPr>
              <w:t xml:space="preserve">school management system as a vertical ERP.</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TO LOAD:</w:t>
            </w:r>
          </w:p>
          <w:p>
            <w:pPr>
              <w:spacing w:after="0" w:line="280"/>
            </w:pPr>
            <w:r>
              <w:rPr>
                <w:rFonts w:ascii="Consolas" w:eastAsia="Consolas"/>
                <w:color w:val="1F2937"/>
                <w:sz w:val="19"/>
                <w:szCs w:val="19"/>
              </w:rPr>
              <w:t xml:space="preserve">- Foundation document sections:</w:t>
            </w:r>
          </w:p>
          <w:p>
            <w:pPr>
              <w:spacing w:after="0" w:line="280"/>
            </w:pPr>
            <w:r>
              <w:rPr>
                <w:rFonts w:ascii="Consolas" w:eastAsia="Consolas"/>
                <w:color w:val="1F2937"/>
                <w:sz w:val="19"/>
                <w:szCs w:val="19"/>
              </w:rPr>
              <w:t xml:space="preserve">  - §7 Multi-Tenant SaaS Platform (for the multi-tenancy pattern if serving</w:t>
            </w:r>
          </w:p>
          <w:p>
            <w:pPr>
              <w:spacing w:after="0" w:line="280"/>
            </w:pPr>
            <w:r>
              <w:rPr>
                <w:rFonts w:ascii="Consolas" w:eastAsia="Consolas"/>
                <w:color w:val="1F2937"/>
                <w:sz w:val="19"/>
                <w:szCs w:val="19"/>
              </w:rPr>
              <w:t xml:space="preserve">    multiple schools; for a single school, load only the authentication and</w:t>
            </w:r>
          </w:p>
          <w:p>
            <w:pPr>
              <w:spacing w:after="0" w:line="280"/>
            </w:pPr>
            <w:r>
              <w:rPr>
                <w:rFonts w:ascii="Consolas" w:eastAsia="Consolas"/>
                <w:color w:val="1F2937"/>
                <w:sz w:val="19"/>
                <w:szCs w:val="19"/>
              </w:rPr>
              <w:t xml:space="preserve">    authorization patterns)</w:t>
            </w:r>
          </w:p>
          <w:p>
            <w:pPr>
              <w:spacing w:after="0" w:line="280"/>
            </w:pPr>
            <w:r>
              <w:rPr>
                <w:rFonts w:ascii="Consolas" w:eastAsia="Consolas"/>
                <w:color w:val="1F2937"/>
                <w:sz w:val="19"/>
                <w:szCs w:val="19"/>
              </w:rPr>
              <w:t xml:space="preserve">  - §10 ERP and Business Operations System (for the financial module pattern</w:t>
            </w:r>
          </w:p>
          <w:p>
            <w:pPr>
              <w:spacing w:after="0" w:line="280"/>
            </w:pPr>
            <w:r>
              <w:rPr>
                <w:rFonts w:ascii="Consolas" w:eastAsia="Consolas"/>
                <w:color w:val="1F2937"/>
                <w:sz w:val="19"/>
                <w:szCs w:val="19"/>
              </w:rPr>
              <w:t xml:space="preserve">    and the shared data backbone)</w:t>
            </w:r>
          </w:p>
          <w:p>
            <w:pPr>
              <w:spacing w:after="0" w:line="280"/>
            </w:pPr>
            <w:r>
              <w:rPr>
                <w:rFonts w:ascii="Consolas" w:eastAsia="Consolas"/>
                <w:color w:val="1F2937"/>
                <w:sz w:val="19"/>
                <w:szCs w:val="19"/>
              </w:rPr>
              <w:t xml:space="preserve">  - §14 Learning Management System (for the academic module pattern)</w:t>
            </w:r>
          </w:p>
          <w:p>
            <w:pPr>
              <w:spacing w:after="0" w:line="280"/>
            </w:pPr>
            <w:r>
              <w:rPr>
                <w:rFonts w:ascii="Consolas" w:eastAsia="Consolas"/>
                <w:color w:val="1F2937"/>
                <w:sz w:val="19"/>
                <w:szCs w:val="19"/>
              </w:rPr>
              <w:t xml:space="preserve">  - §5.2 Security and Compliance (OWASP Top Ten, FERPA for student data)</w:t>
            </w:r>
          </w:p>
          <w:p>
            <w:pPr>
              <w:spacing w:after="0" w:line="280"/>
            </w:pPr>
            <w:r>
              <w:rPr>
                <w:rFonts w:ascii="Consolas" w:eastAsia="Consolas"/>
                <w:color w:val="1F2937"/>
                <w:sz w:val="19"/>
                <w:szCs w:val="19"/>
              </w:rPr>
              <w:t xml:space="preserve">  - §5.3 UI/UX and Accessibility (WCAG 2.2 AA, required for educational software)</w:t>
            </w:r>
          </w:p>
          <w:p>
            <w:pPr>
              <w:spacing w:after="0" w:line="280"/>
            </w:pPr>
            <w:r>
              <w:rPr>
                <w:rFonts w:ascii="Consolas" w:eastAsia="Consolas"/>
                <w:color w:val="1F2937"/>
                <w:sz w:val="19"/>
                <w:szCs w:val="19"/>
              </w:rPr>
              <w:t xml:space="preserve">  - §5.6 Monitoring KPIs and §5.7 Disaster Recovery (for the operational baseline)</w:t>
            </w:r>
          </w:p>
          <w:p>
            <w:pPr>
              <w:spacing w:after="0" w:line="280"/>
            </w:pPr>
            <w:r>
              <w:rPr>
                <w:rFonts w:ascii="Consolas" w:eastAsia="Consolas"/>
                <w:color w:val="1F2937"/>
                <w:sz w:val="19"/>
                <w:szCs w:val="19"/>
              </w:rPr>
              <w:t xml:space="preserve">- Target stack: Next.js 16 (App Router), PostgreSQL 16 with Row-Level Security,</w:t>
            </w:r>
          </w:p>
          <w:p>
            <w:pPr>
              <w:spacing w:after="0" w:line="280"/>
            </w:pPr>
            <w:r>
              <w:rPr>
                <w:rFonts w:ascii="Consolas" w:eastAsia="Consolas"/>
                <w:color w:val="1F2937"/>
                <w:sz w:val="19"/>
                <w:szCs w:val="19"/>
              </w:rPr>
              <w:t xml:space="preserve">  Redis 7, Tailwind CSS 4, Radix UI primitives, shadcn/ui components.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Read the listed foundation sections and the existing repository (if any).</w:t>
            </w:r>
          </w:p>
          <w:p>
            <w:pPr>
              <w:spacing w:after="0" w:line="280"/>
            </w:pPr>
            <w:r>
              <w:rPr>
                <w:rFonts w:ascii="Consolas" w:eastAsia="Consolas"/>
                <w:color w:val="1F2937"/>
                <w:sz w:val="19"/>
                <w:szCs w:val="19"/>
              </w:rPr>
              <w:t xml:space="preserve">Produce a context summary that lists:</w:t>
            </w:r>
          </w:p>
          <w:p>
            <w:pPr>
              <w:spacing w:after="0" w:line="280"/>
            </w:pPr>
            <w:r>
              <w:rPr>
                <w:rFonts w:ascii="Consolas" w:eastAsia="Consolas"/>
                <w:color w:val="1F2937"/>
                <w:sz w:val="19"/>
                <w:szCs w:val="19"/>
              </w:rPr>
              <w:t xml:space="preserve">  (a) The data entities the system must manage, grouped by module.</w:t>
            </w:r>
          </w:p>
          <w:p>
            <w:pPr>
              <w:spacing w:after="0" w:line="280"/>
            </w:pPr>
            <w:r>
              <w:rPr>
                <w:rFonts w:ascii="Consolas" w:eastAsia="Consolas"/>
                <w:color w:val="1F2937"/>
                <w:sz w:val="19"/>
                <w:szCs w:val="19"/>
              </w:rPr>
              <w:t xml:space="preserve">  (b) The relationships between entities, with cardinality.</w:t>
            </w:r>
          </w:p>
          <w:p>
            <w:pPr>
              <w:spacing w:after="0" w:line="280"/>
            </w:pPr>
            <w:r>
              <w:rPr>
                <w:rFonts w:ascii="Consolas" w:eastAsia="Consolas"/>
                <w:color w:val="1F2937"/>
                <w:sz w:val="19"/>
                <w:szCs w:val="19"/>
              </w:rPr>
              <w:t xml:space="preserve">  (c) The security controls that apply (FERPA, OWASP Top Ten).</w:t>
            </w:r>
          </w:p>
          <w:p>
            <w:pPr>
              <w:spacing w:after="0" w:line="280"/>
            </w:pPr>
            <w:r>
              <w:rPr>
                <w:rFonts w:ascii="Consolas" w:eastAsia="Consolas"/>
                <w:color w:val="1F2937"/>
                <w:sz w:val="19"/>
                <w:szCs w:val="19"/>
              </w:rPr>
              <w:t xml:space="preserve">  (d) The accessibility commitments (WCAG 2.2 AA).</w:t>
            </w:r>
          </w:p>
          <w:p>
            <w:pPr>
              <w:spacing w:after="0" w:line="280"/>
            </w:pPr>
            <w:r>
              <w:rPr>
                <w:rFonts w:ascii="Consolas" w:eastAsia="Consolas"/>
                <w:color w:val="1F2937"/>
                <w:sz w:val="19"/>
                <w:szCs w:val="19"/>
              </w:rPr>
              <w:t xml:space="preserve">  (e) The non-functional targets (concurrent users, latency, availability).</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The summary covers all seven modules listed in Table 1.</w:t>
            </w:r>
          </w:p>
          <w:p>
            <w:pPr>
              <w:spacing w:after="0" w:line="280"/>
            </w:pPr>
            <w:r>
              <w:rPr>
                <w:rFonts w:ascii="Consolas" w:eastAsia="Consolas"/>
                <w:color w:val="1F2937"/>
                <w:sz w:val="19"/>
                <w:szCs w:val="19"/>
              </w:rPr>
              <w:t xml:space="preserve">- The summary identifies FERPA as the applicable regulation for student data.</w:t>
            </w:r>
          </w:p>
          <w:p>
            <w:pPr>
              <w:spacing w:after="0" w:line="280"/>
            </w:pPr>
            <w:r>
              <w:rPr>
                <w:rFonts w:ascii="Consolas" w:eastAsia="Consolas"/>
                <w:color w:val="1F2937"/>
                <w:sz w:val="19"/>
                <w:szCs w:val="19"/>
              </w:rPr>
              <w:t xml:space="preserve">- The summary commits to WCAG 2.2 AA conformance.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Builder reviews the summary and confirms it matches the foundation.</w:t>
            </w:r>
          </w:p>
          <w:p>
            <w:pPr>
              <w:spacing w:after="0" w:line="280"/>
            </w:pPr>
            <w:r>
              <w:rPr>
                <w:rFonts w:ascii="Consolas" w:eastAsia="Consolas"/>
                <w:color w:val="1F2937"/>
                <w:sz w:val="19"/>
                <w:szCs w:val="19"/>
              </w:rPr>
              <w:t xml:space="preserve">- No code is written in this phase.</w:t>
            </w:r>
          </w:p>
        </w:tc>
      </w:tr>
    </w:tbl>
    <w:p>
      <w:pPr>
        <w:pStyle w:val="Heading3"/>
        <w:spacing w:after="100" w:before="220" w:line="312"/>
      </w:pPr>
      <w:bookmarkStart w:id="100017" w:name="_Toc100017"/>
      <w:r>
        <w:rPr>
          <w:rFonts w:ascii="Arial" w:eastAsia="SimHei"/>
          <w:b/>
          <w:bCs/>
          <w:color w:val="162235"/>
          <w:sz w:val="24"/>
          <w:szCs w:val="24"/>
        </w:rPr>
        <w:t xml:space="preserve">5.3.2 Prompt 2: Data Model and Schema</w:t>
      </w:r>
      <w:bookmarkEnd w:id="100017"/>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Senior full-stack engineer, continuing the school management system build.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The context summary from Prompt 1, approved by the builder.</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Design the PostgreSQL schema for the seven modules. Produce:</w:t>
            </w:r>
          </w:p>
          <w:p>
            <w:pPr>
              <w:spacing w:after="0" w:line="280"/>
            </w:pPr>
            <w:r>
              <w:rPr>
                <w:rFonts w:ascii="Consolas" w:eastAsia="Consolas"/>
                <w:color w:val="1F2937"/>
                <w:sz w:val="19"/>
                <w:szCs w:val="19"/>
              </w:rPr>
              <w:t xml:space="preserve">  (a) A SQL migration file that creates all tables with their columns,</w:t>
            </w:r>
          </w:p>
          <w:p>
            <w:pPr>
              <w:spacing w:after="0" w:line="280"/>
            </w:pPr>
            <w:r>
              <w:rPr>
                <w:rFonts w:ascii="Consolas" w:eastAsia="Consolas"/>
                <w:color w:val="1F2937"/>
                <w:sz w:val="19"/>
                <w:szCs w:val="19"/>
              </w:rPr>
              <w:t xml:space="preserve">      types, constraints, and foreign keys.</w:t>
            </w:r>
          </w:p>
          <w:p>
            <w:pPr>
              <w:spacing w:after="0" w:line="280"/>
            </w:pPr>
            <w:r>
              <w:rPr>
                <w:rFonts w:ascii="Consolas" w:eastAsia="Consolas"/>
                <w:color w:val="1F2937"/>
                <w:sz w:val="19"/>
                <w:szCs w:val="19"/>
              </w:rPr>
              <w:t xml:space="preserve">  (b) A Row-Level Security policy on every student-scoped table, restricting</w:t>
            </w:r>
          </w:p>
          <w:p>
            <w:pPr>
              <w:spacing w:after="0" w:line="280"/>
            </w:pPr>
            <w:r>
              <w:rPr>
                <w:rFonts w:ascii="Consolas" w:eastAsia="Consolas"/>
                <w:color w:val="1F2937"/>
                <w:sz w:val="19"/>
                <w:szCs w:val="19"/>
              </w:rPr>
              <w:t xml:space="preserve">      access to the current school (if multi-tenant) and to the user's role.</w:t>
            </w:r>
          </w:p>
          <w:p>
            <w:pPr>
              <w:spacing w:after="0" w:line="280"/>
            </w:pPr>
            <w:r>
              <w:rPr>
                <w:rFonts w:ascii="Consolas" w:eastAsia="Consolas"/>
                <w:color w:val="1F2937"/>
                <w:sz w:val="19"/>
                <w:szCs w:val="19"/>
              </w:rPr>
              <w:t xml:space="preserve">  (c) An index strategy for the most frequent query patterns (student lookup,</w:t>
            </w:r>
          </w:p>
          <w:p>
            <w:pPr>
              <w:spacing w:after="0" w:line="280"/>
            </w:pPr>
            <w:r>
              <w:rPr>
                <w:rFonts w:ascii="Consolas" w:eastAsia="Consolas"/>
                <w:color w:val="1F2937"/>
                <w:sz w:val="19"/>
                <w:szCs w:val="19"/>
              </w:rPr>
              <w:t xml:space="preserve">      attendance by date, gradebook by section).</w:t>
            </w:r>
          </w:p>
          <w:p>
            <w:pPr>
              <w:spacing w:after="0" w:line="280"/>
            </w:pPr>
            <w:r>
              <w:rPr>
                <w:rFonts w:ascii="Consolas" w:eastAsia="Consolas"/>
                <w:color w:val="1F2937"/>
                <w:sz w:val="19"/>
                <w:szCs w:val="19"/>
              </w:rPr>
              <w:t xml:space="preserve">  (d) A seed script that creates a demo school, an admin user, a teacher,</w:t>
            </w:r>
          </w:p>
          <w:p>
            <w:pPr>
              <w:spacing w:after="0" w:line="280"/>
            </w:pPr>
            <w:r>
              <w:rPr>
                <w:rFonts w:ascii="Consolas" w:eastAsia="Consolas"/>
                <w:color w:val="1F2937"/>
                <w:sz w:val="19"/>
                <w:szCs w:val="19"/>
              </w:rPr>
              <w:t xml:space="preserve">      a student, a guardian, a course, a section, and an enrollment.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Every table has a primary key, created_at, and updated_at.</w:t>
            </w:r>
          </w:p>
          <w:p>
            <w:pPr>
              <w:spacing w:after="0" w:line="280"/>
            </w:pPr>
            <w:r>
              <w:rPr>
                <w:rFonts w:ascii="Consolas" w:eastAsia="Consolas"/>
                <w:color w:val="1F2937"/>
                <w:sz w:val="19"/>
                <w:szCs w:val="19"/>
              </w:rPr>
              <w:t xml:space="preserve">- Every student-scoped table has school_id and the RLS policy.</w:t>
            </w:r>
          </w:p>
          <w:p>
            <w:pPr>
              <w:spacing w:after="0" w:line="280"/>
            </w:pPr>
            <w:r>
              <w:rPr>
                <w:rFonts w:ascii="Consolas" w:eastAsia="Consolas"/>
                <w:color w:val="1F2937"/>
                <w:sz w:val="19"/>
                <w:szCs w:val="19"/>
              </w:rPr>
              <w:t xml:space="preserve">- Foreign keys are indexed.</w:t>
            </w:r>
          </w:p>
          <w:p>
            <w:pPr>
              <w:spacing w:after="0" w:line="280"/>
            </w:pPr>
            <w:r>
              <w:rPr>
                <w:rFonts w:ascii="Consolas" w:eastAsia="Consolas"/>
                <w:color w:val="1F2937"/>
                <w:sz w:val="19"/>
                <w:szCs w:val="19"/>
              </w:rPr>
              <w:t xml:space="preserve">- The migration runs cleanly against an empty PostgreSQL database.</w:t>
            </w:r>
          </w:p>
          <w:p>
            <w:pPr>
              <w:spacing w:after="0" w:line="280"/>
            </w:pPr>
            <w:r>
              <w:rPr>
                <w:rFonts w:ascii="Consolas" w:eastAsia="Consolas"/>
                <w:color w:val="1F2937"/>
                <w:sz w:val="19"/>
                <w:szCs w:val="19"/>
              </w:rPr>
              <w:t xml:space="preserve">- The seed script loads without errors.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Run: psql -f migrations/001_initial_schema.sql &amp;&amp; psql -f seeds/001_demo.sql</w:t>
            </w:r>
          </w:p>
          <w:p>
            <w:pPr>
              <w:spacing w:after="0" w:line="280"/>
            </w:pPr>
            <w:r>
              <w:rPr>
                <w:rFonts w:ascii="Consolas" w:eastAsia="Consolas"/>
                <w:color w:val="1F2937"/>
                <w:sz w:val="19"/>
                <w:szCs w:val="19"/>
              </w:rPr>
              <w:t xml:space="preserve">- Pass condition: both scripts complete without error.</w:t>
            </w:r>
          </w:p>
          <w:p>
            <w:pPr>
              <w:spacing w:after="0" w:line="280"/>
            </w:pPr>
            <w:r>
              <w:rPr>
                <w:rFonts w:ascii="Consolas" w:eastAsia="Consolas"/>
                <w:color w:val="1F2937"/>
                <w:sz w:val="19"/>
                <w:szCs w:val="19"/>
              </w:rPr>
              <w:t xml:space="preserve">- On failure: fix the SQL and re-run, up to 3 retries.</w:t>
            </w:r>
          </w:p>
        </w:tc>
      </w:tr>
    </w:tbl>
    <w:p>
      <w:pPr>
        <w:pStyle w:val="Heading3"/>
        <w:spacing w:after="100" w:before="220" w:line="312"/>
      </w:pPr>
      <w:bookmarkStart w:id="100018" w:name="_Toc100018"/>
      <w:r>
        <w:rPr>
          <w:rFonts w:ascii="Arial" w:eastAsia="SimHei"/>
          <w:b/>
          <w:bCs/>
          <w:color w:val="162235"/>
          <w:sz w:val="24"/>
          <w:szCs w:val="24"/>
        </w:rPr>
        <w:t xml:space="preserve">5.3.3 Prompt 3 Through N: Module Implementation</w:t>
      </w:r>
      <w:bookmarkEnd w:id="100018"/>
    </w:p>
    <w:p>
      <w:pPr>
        <w:spacing w:after="120" w:line="312"/>
        <w:ind w:firstLine="360"/>
        <w:jc w:val="both"/>
      </w:pPr>
      <w:r>
        <w:rPr>
          <w:rFonts w:ascii="Times New Roman" w:eastAsia="SimSun"/>
          <w:color w:val="000000"/>
          <w:sz w:val="24"/>
          <w:szCs w:val="24"/>
        </w:rPr>
        <w:t xml:space="preserve">Prompts three through N implement the seven modules in sequence, with each module decomposed into atomic tasks following the analysis phase. The order of implementation is admissions, student information, academic, financial, communication, reporting, and administration, because each module depends on the entities created by the preceding modules. For each module, the builder issues a prompt that follows the master template, specifying the module's entities, endpoints, tests, and acceptance criteria. The following is an example prompt for the attendance submodule of the academic module.</w:t>
      </w:r>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Senior full-stack engineer, implementing the attendance submodule of the</w:t>
            </w:r>
          </w:p>
          <w:p>
            <w:pPr>
              <w:spacing w:after="0" w:line="280"/>
            </w:pPr>
            <w:r>
              <w:rPr>
                <w:rFonts w:ascii="Consolas" w:eastAsia="Consolas"/>
                <w:color w:val="1F2937"/>
                <w:sz w:val="19"/>
                <w:szCs w:val="19"/>
              </w:rPr>
              <w:t xml:space="preserve">academic module.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The schema from Prompt 2, the existing academic module code</w:t>
            </w:r>
          </w:p>
          <w:p>
            <w:pPr>
              <w:spacing w:after="0" w:line="280"/>
            </w:pPr>
            <w:r>
              <w:rPr>
                <w:rFonts w:ascii="Consolas" w:eastAsia="Consolas"/>
                <w:color w:val="1F2937"/>
                <w:sz w:val="19"/>
                <w:szCs w:val="19"/>
              </w:rPr>
              <w:t xml:space="preserve">(sections, courses, enrollments already implemented).</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Implement attendance taking and reporting.</w:t>
            </w:r>
          </w:p>
          <w:p>
            <w:pPr>
              <w:spacing w:after="0" w:line="280"/>
            </w:pPr>
            <w:r>
              <w:rPr>
                <w:rFonts w:ascii="Consolas" w:eastAsia="Consolas"/>
                <w:color w:val="1F2937"/>
                <w:sz w:val="19"/>
                <w:szCs w:val="19"/>
              </w:rPr>
              <w:t xml:space="preserve">  (a) Backend: POST /api/sections/:id/attendance that takes a date and an</w:t>
            </w:r>
          </w:p>
          <w:p>
            <w:pPr>
              <w:spacing w:after="0" w:line="280"/>
            </w:pPr>
            <w:r>
              <w:rPr>
                <w:rFonts w:ascii="Consolas" w:eastAsia="Consolas"/>
                <w:color w:val="1F2937"/>
                <w:sz w:val="19"/>
                <w:szCs w:val="19"/>
              </w:rPr>
              <w:t xml:space="preserve">      array of {student_id, status} where status is present|absent|late|excused.</w:t>
            </w:r>
          </w:p>
          <w:p>
            <w:pPr>
              <w:spacing w:after="0" w:line="280"/>
            </w:pPr>
            <w:r>
              <w:rPr>
                <w:rFonts w:ascii="Consolas" w:eastAsia="Consolas"/>
                <w:color w:val="1F2937"/>
                <w:sz w:val="19"/>
                <w:szCs w:val="19"/>
              </w:rPr>
              <w:t xml:space="preserve">      Only the section's teacher or an admin may post. Validate that all</w:t>
            </w:r>
          </w:p>
          <w:p>
            <w:pPr>
              <w:spacing w:after="0" w:line="280"/>
            </w:pPr>
            <w:r>
              <w:rPr>
                <w:rFonts w:ascii="Consolas" w:eastAsia="Consolas"/>
                <w:color w:val="1F2937"/>
                <w:sz w:val="19"/>
                <w:szCs w:val="19"/>
              </w:rPr>
              <w:t xml:space="preserve">      students in the array are enrolled in the section.</w:t>
            </w:r>
          </w:p>
          <w:p>
            <w:pPr>
              <w:spacing w:after="0" w:line="280"/>
            </w:pPr>
            <w:r>
              <w:rPr>
                <w:rFonts w:ascii="Consolas" w:eastAsia="Consolas"/>
                <w:color w:val="1F2937"/>
                <w:sz w:val="19"/>
                <w:szCs w:val="19"/>
              </w:rPr>
              <w:t xml:space="preserve">  (b) Backend: GET /api/sections/:id/attendance?from=&amp;to= that returns the</w:t>
            </w:r>
          </w:p>
          <w:p>
            <w:pPr>
              <w:spacing w:after="0" w:line="280"/>
            </w:pPr>
            <w:r>
              <w:rPr>
                <w:rFonts w:ascii="Consolas" w:eastAsia="Consolas"/>
                <w:color w:val="1F2937"/>
                <w:sz w:val="19"/>
                <w:szCs w:val="19"/>
              </w:rPr>
              <w:t xml:space="preserve">      attendance records for the section in the date range.</w:t>
            </w:r>
          </w:p>
          <w:p>
            <w:pPr>
              <w:spacing w:after="0" w:line="280"/>
            </w:pPr>
            <w:r>
              <w:rPr>
                <w:rFonts w:ascii="Consolas" w:eastAsia="Consolas"/>
                <w:color w:val="1F2937"/>
                <w:sz w:val="19"/>
                <w:szCs w:val="19"/>
              </w:rPr>
              <w:t xml:space="preserve">  (c) Backend: GET /api/students/:id/attendance that returns the student's</w:t>
            </w:r>
          </w:p>
          <w:p>
            <w:pPr>
              <w:spacing w:after="0" w:line="280"/>
            </w:pPr>
            <w:r>
              <w:rPr>
                <w:rFonts w:ascii="Consolas" w:eastAsia="Consolas"/>
                <w:color w:val="1F2937"/>
                <w:sz w:val="19"/>
                <w:szCs w:val="19"/>
              </w:rPr>
              <w:t xml:space="preserve">      attendance history across all sections.</w:t>
            </w:r>
          </w:p>
          <w:p>
            <w:pPr>
              <w:spacing w:after="0" w:line="280"/>
            </w:pPr>
            <w:r>
              <w:rPr>
                <w:rFonts w:ascii="Consolas" w:eastAsia="Consolas"/>
                <w:color w:val="1F2937"/>
                <w:sz w:val="19"/>
                <w:szCs w:val="19"/>
              </w:rPr>
              <w:t xml:space="preserve">  (d) Frontend: a teacher's attendance page that lists the students in the</w:t>
            </w:r>
          </w:p>
          <w:p>
            <w:pPr>
              <w:spacing w:after="0" w:line="280"/>
            </w:pPr>
            <w:r>
              <w:rPr>
                <w:rFonts w:ascii="Consolas" w:eastAsia="Consolas"/>
                <w:color w:val="1F2937"/>
                <w:sz w:val="19"/>
                <w:szCs w:val="19"/>
              </w:rPr>
              <w:t xml:space="preserve">      section, allows marking each as present/absent/late/excused, and</w:t>
            </w:r>
          </w:p>
          <w:p>
            <w:pPr>
              <w:spacing w:after="0" w:line="280"/>
            </w:pPr>
            <w:r>
              <w:rPr>
                <w:rFonts w:ascii="Consolas" w:eastAsia="Consolas"/>
                <w:color w:val="1F2937"/>
                <w:sz w:val="19"/>
                <w:szCs w:val="19"/>
              </w:rPr>
              <w:t xml:space="preserve">      submits the batch. Show success or error feedback.</w:t>
            </w:r>
          </w:p>
          <w:p>
            <w:pPr>
              <w:spacing w:after="0" w:line="280"/>
            </w:pPr>
            <w:r>
              <w:rPr>
                <w:rFonts w:ascii="Consolas" w:eastAsia="Consolas"/>
                <w:color w:val="1F2937"/>
                <w:sz w:val="19"/>
                <w:szCs w:val="19"/>
              </w:rPr>
              <w:t xml:space="preserve">  (e) Frontend: the page must be WCAG 2.2 AA conformant: keyboard-operable,</w:t>
            </w:r>
          </w:p>
          <w:p>
            <w:pPr>
              <w:spacing w:after="0" w:line="280"/>
            </w:pPr>
            <w:r>
              <w:rPr>
                <w:rFonts w:ascii="Consolas" w:eastAsia="Consolas"/>
                <w:color w:val="1F2937"/>
                <w:sz w:val="19"/>
                <w:szCs w:val="19"/>
              </w:rPr>
              <w:t xml:space="preserve">      screen-reader-announced, with proper labels and roles.</w:t>
            </w:r>
          </w:p>
          <w:p>
            <w:pPr>
              <w:spacing w:after="0" w:line="280"/>
            </w:pPr>
            <w:r>
              <w:rPr>
                <w:rFonts w:ascii="Consolas" w:eastAsia="Consolas"/>
                <w:color w:val="1F2937"/>
                <w:sz w:val="19"/>
                <w:szCs w:val="19"/>
              </w:rPr>
              <w:t xml:space="preserve">  (f) Tests: integration test for each endpoint; an accessibility test using</w:t>
            </w:r>
          </w:p>
          <w:p>
            <w:pPr>
              <w:spacing w:after="0" w:line="280"/>
            </w:pPr>
            <w:r>
              <w:rPr>
                <w:rFonts w:ascii="Consolas" w:eastAsia="Consolas"/>
                <w:color w:val="1F2937"/>
                <w:sz w:val="19"/>
                <w:szCs w:val="19"/>
              </w:rPr>
              <w:t xml:space="preserve">      axe-core on the teacher's attendance page.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A teacher can mark attendance for their section in under 60 seconds for 30 students.</w:t>
            </w:r>
          </w:p>
          <w:p>
            <w:pPr>
              <w:spacing w:after="0" w:line="280"/>
            </w:pPr>
            <w:r>
              <w:rPr>
                <w:rFonts w:ascii="Consolas" w:eastAsia="Consolas"/>
                <w:color w:val="1F2937"/>
                <w:sz w:val="19"/>
                <w:szCs w:val="19"/>
              </w:rPr>
              <w:t xml:space="preserve">- The endpoint returns 403 if a non-teacher, non-admin attempts to post.</w:t>
            </w:r>
          </w:p>
          <w:p>
            <w:pPr>
              <w:spacing w:after="0" w:line="280"/>
            </w:pPr>
            <w:r>
              <w:rPr>
                <w:rFonts w:ascii="Consolas" w:eastAsia="Consolas"/>
                <w:color w:val="1F2937"/>
                <w:sz w:val="19"/>
                <w:szCs w:val="19"/>
              </w:rPr>
              <w:t xml:space="preserve">- The endpoint returns 400 if a student not enrolled in the section is in the array.</w:t>
            </w:r>
          </w:p>
          <w:p>
            <w:pPr>
              <w:spacing w:after="0" w:line="280"/>
            </w:pPr>
            <w:r>
              <w:rPr>
                <w:rFonts w:ascii="Consolas" w:eastAsia="Consolas"/>
                <w:color w:val="1F2937"/>
                <w:sz w:val="19"/>
                <w:szCs w:val="19"/>
              </w:rPr>
              <w:t xml:space="preserve">- axe-core reports zero violations on the attendance page.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Run: npm test -- --grep attendance</w:t>
            </w:r>
          </w:p>
          <w:p>
            <w:pPr>
              <w:spacing w:after="0" w:line="280"/>
            </w:pPr>
            <w:r>
              <w:rPr>
                <w:rFonts w:ascii="Consolas" w:eastAsia="Consolas"/>
                <w:color w:val="1F2937"/>
                <w:sz w:val="19"/>
                <w:szCs w:val="19"/>
              </w:rPr>
              <w:t xml:space="preserve">- Run: npm run test:a11y -- --page /teacher/sections/:id/attendance</w:t>
            </w:r>
          </w:p>
          <w:p>
            <w:pPr>
              <w:spacing w:after="0" w:line="280"/>
            </w:pPr>
            <w:r>
              <w:rPr>
                <w:rFonts w:ascii="Consolas" w:eastAsia="Consolas"/>
                <w:color w:val="1F2937"/>
                <w:sz w:val="19"/>
                <w:szCs w:val="19"/>
              </w:rPr>
              <w:t xml:space="preserve">- Pass condition: all tests pass, zero axe violations.</w:t>
            </w:r>
          </w:p>
          <w:p>
            <w:pPr>
              <w:spacing w:after="0" w:line="280"/>
            </w:pPr>
            <w:r>
              <w:rPr>
                <w:rFonts w:ascii="Consolas" w:eastAsia="Consolas"/>
                <w:color w:val="1F2937"/>
                <w:sz w:val="19"/>
                <w:szCs w:val="19"/>
              </w:rPr>
              <w:t xml:space="preserve">- On failure: fix and re-run, up to 3 retries.</w:t>
            </w:r>
          </w:p>
        </w:tc>
      </w:tr>
    </w:tbl>
    <w:p>
      <w:pPr>
        <w:pStyle w:val="Heading2"/>
        <w:spacing w:after="120" w:before="280" w:line="312"/>
      </w:pPr>
      <w:bookmarkStart w:id="100019" w:name="_Toc100019"/>
      <w:r>
        <w:rPr>
          <w:rFonts w:ascii="Arial" w:eastAsia="SimHei"/>
          <w:b/>
          <w:bCs/>
          <w:color w:val="162235"/>
          <w:sz w:val="28"/>
          <w:szCs w:val="28"/>
        </w:rPr>
        <w:t xml:space="preserve">5.4 The Manual Processes the System Replaces</w:t>
      </w:r>
      <w:bookmarkEnd w:id="100019"/>
    </w:p>
    <w:p>
      <w:pPr>
        <w:spacing w:after="120" w:line="312"/>
        <w:ind w:firstLine="360"/>
        <w:jc w:val="both"/>
      </w:pPr>
      <w:r>
        <w:rPr>
          <w:rFonts w:ascii="Times New Roman" w:eastAsia="SimSun"/>
          <w:color w:val="000000"/>
          <w:sz w:val="24"/>
          <w:szCs w:val="24"/>
        </w:rPr>
        <w:t xml:space="preserve">The value proposition of the school management system is the replacement of manual processes that are slow, error-prone, and opaque. The following table maps the manual processes that dominate a traditional school to the digital processes the system provides, and it quantifies the improvement. The improvement is the basis of the business case, whether the system is built for a single school or sold to multiple schools.</w:t>
      </w:r>
    </w:p>
    <w:p>
      <w:pPr>
        <w:keepNext/>
        <w:spacing w:after="100" w:before="200" w:line="312"/>
        <w:jc w:val="left"/>
      </w:pPr>
      <w:r>
        <w:rPr>
          <w:rFonts w:ascii="Arial" w:eastAsia="SimHei"/>
          <w:b/>
          <w:bCs/>
          <w:color w:val="162235"/>
          <w:sz w:val="22"/>
          <w:szCs w:val="22"/>
        </w:rPr>
        <w:t xml:space="preserve">Table 2: Manual Processes Replaced by the School Management System</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tblGrid>
      <w:tr>
        <w:trPr>
          <w:cantSplit/>
          <w:tblHeader/>
        </w:trPr>
        <w:tc>
          <w:tcPr>
            <w:tcW w:type="pct" w:w="3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Manual Process</w:t>
            </w:r>
          </w:p>
        </w:tc>
        <w:tc>
          <w:tcPr>
            <w:tcW w:type="pct" w:w="4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Digital Process</w:t>
            </w:r>
          </w:p>
        </w:tc>
        <w:tc>
          <w:tcPr>
            <w:tcW w:type="pct" w:w="2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Improvement</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Paper attendance registers</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Teacher marks attendance on a tablet or phone; data flows to the system in real time</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30 students marked in under 60 seconds; data available to administrators immediately</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Handwritten gradebooks</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Teacher enters grades in the gradebook; system computes averages and transcripts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Transcript generation from minutes to seconds; no transcription errors</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Paper fee notices and cash collection</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System generates invoices, parents pay online, system records payments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Collection time from weeks to days; cash handling eliminated; automatic receipts</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Phone-tree announcements</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Administrator posts an announcement; system pushes to parents via app, email, SMS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Reach from 40% to 95% of parents; time from hours to seconds</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Manual schedule conflicts</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System validates schedule against room, teacher, and section availability</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Conflicts detected before publication; rework eliminated</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Paper report cards, mailed home</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System generates digital report cards; parents access via the portal</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Distribution from weeks to seconds; printing and postage cost eliminated</w:t>
            </w:r>
          </w:p>
        </w:tc>
      </w:tr>
      <w:tr>
        <w:trPr>
          <w:cantSplit/>
        </w:trPr>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In-person parent-teacher scheduling</w:t>
            </w:r>
          </w:p>
        </w:tc>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Parents book slots online; system manages the calendar and reminders</w:t>
            </w:r>
          </w:p>
        </w:tc>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No-show rate reduced 40-60%; administrative time reduced 80%</w:t>
            </w:r>
          </w:p>
        </w:tc>
      </w:tr>
    </w:tbl>
    <w:p>
      <w:pPr>
        <w:spacing w:after="200" w:before="80" w:line="312"/>
        <w:jc w:val="center"/>
      </w:pPr>
      <w:r>
        <w:rPr>
          <w:rFonts w:ascii="Times New Roman" w:eastAsia="SimSun"/>
          <w:i/>
          <w:iCs/>
          <w:color w:val="606060"/>
          <w:sz w:val="20"/>
          <w:szCs w:val="20"/>
        </w:rPr>
        <w:t xml:space="preserve">Table 2: The manual processes of a traditional school replaced by the digital processes of the school management system, with the quantified improvement that justifies the build.</w:t>
      </w:r>
    </w:p>
    <w:p>
      <w:pPr>
        <w:pStyle w:val="Heading1"/>
        <w:spacing w:after="160" w:before="360" w:line="312"/>
      </w:pPr>
      <w:bookmarkStart w:id="100020" w:name="_Toc100020"/>
      <w:r>
        <w:rPr>
          <w:rFonts w:ascii="Arial" w:eastAsia="SimHei"/>
          <w:b/>
          <w:bCs/>
          <w:color w:val="162235"/>
          <w:sz w:val="32"/>
          <w:szCs w:val="32"/>
        </w:rPr>
        <w:t xml:space="preserve">6. Use Case 2: A Business-to-Business SaaS System</w:t>
      </w:r>
      <w:bookmarkEnd w:id="100020"/>
    </w:p>
    <w:p>
      <w:pPr>
        <w:pStyle w:val="Heading2"/>
        <w:spacing w:after="120" w:before="280" w:line="312"/>
      </w:pPr>
      <w:bookmarkStart w:id="100021" w:name="_Toc100021"/>
      <w:r>
        <w:rPr>
          <w:rFonts w:ascii="Arial" w:eastAsia="SimHei"/>
          <w:b/>
          <w:bCs/>
          <w:color w:val="162235"/>
          <w:sz w:val="28"/>
          <w:szCs w:val="28"/>
        </w:rPr>
        <w:t xml:space="preserve">6.1 Overview and Scope</w:t>
      </w:r>
      <w:bookmarkEnd w:id="100021"/>
    </w:p>
    <w:p>
      <w:pPr>
        <w:spacing w:after="120" w:line="312"/>
        <w:ind w:firstLine="360"/>
        <w:jc w:val="both"/>
      </w:pPr>
      <w:r>
        <w:rPr>
          <w:rFonts w:ascii="Times New Roman" w:eastAsia="SimSun"/>
          <w:color w:val="000000"/>
          <w:sz w:val="24"/>
          <w:szCs w:val="24"/>
        </w:rPr>
        <w:t xml:space="preserve">The second use case is a business-to-business SaaS system built for a defined vertical, intended for sale to multiple business customers on a subscription basis. This use case is the most commercially general of the three, because the SaaS pattern is the foundation of the modern software business and the vertical specialization is the defensible position that a focused builder can occupy. The foundation document's multi-tenant SaaS section is the primary reference for this build, with the security, accessibility, and operational standards providing the supporting requirements. The build follows the same three-phase prompt architecture as the school system, with the multi-tenancy pattern as the central architectural decision.</w:t>
      </w:r>
    </w:p>
    <w:p>
      <w:pPr>
        <w:pStyle w:val="Heading2"/>
        <w:spacing w:after="120" w:before="280" w:line="312"/>
      </w:pPr>
      <w:bookmarkStart w:id="100022" w:name="_Toc100022"/>
      <w:r>
        <w:rPr>
          <w:rFonts w:ascii="Arial" w:eastAsia="SimHei"/>
          <w:b/>
          <w:bCs/>
          <w:color w:val="162235"/>
          <w:sz w:val="28"/>
          <w:szCs w:val="28"/>
        </w:rPr>
        <w:t xml:space="preserve">6.2 Selecting the Vertical</w:t>
      </w:r>
      <w:bookmarkEnd w:id="100022"/>
    </w:p>
    <w:p>
      <w:pPr>
        <w:spacing w:after="120" w:line="312"/>
        <w:ind w:firstLine="360"/>
        <w:jc w:val="both"/>
      </w:pPr>
      <w:r>
        <w:rPr>
          <w:rFonts w:ascii="Times New Roman" w:eastAsia="SimSun"/>
          <w:color w:val="000000"/>
          <w:sz w:val="24"/>
          <w:szCs w:val="24"/>
        </w:rPr>
        <w:t xml:space="preserve">The selection of the vertical is the most consequential decision in a B2B SaaS build, and it is a decision that the AI agent cannot make. The builder must select a vertical where the target buyer is underserved by the existing horizontal SaaS products, where the buyer has budget to pay for a solution, and where the builder can reach the buyer through a defined sales channel. The foundation document's planning phase, specified in Section 7.2, provides the template for this decision: the problem statement, the ideal customer profile, the functional and non-functional requirements, the regulatory regime, and the scope boundaries. The builder fills in these artifacts for the chosen vertical, and the filled-in artifacts become the input to the prompt sequence.</w:t>
      </w:r>
    </w:p>
    <w:p>
      <w:pPr>
        <w:spacing w:after="120" w:line="312"/>
        <w:ind w:firstLine="360"/>
        <w:jc w:val="both"/>
      </w:pPr>
      <w:r>
        <w:rPr>
          <w:rFonts w:ascii="Times New Roman" w:eastAsia="SimSun"/>
          <w:color w:val="000000"/>
          <w:sz w:val="24"/>
          <w:szCs w:val="24"/>
        </w:rPr>
        <w:t xml:space="preserve">Examples of verticals that are underserved by horizontal SaaS and that are accessible to a focused builder include practice management for regulated professions such as physical therapy, veterinary medicine, or legal services; inventory and ordering for specific retail formats such as specialty food, musical instruments, or industrial parts; project management for specific construction trades such as electrical, plumbing, or roofing; and compliance management for specific regulated industries such as food safety, environmental, or workplace safety. The common characteristic of these verticals is that the workflow is specific enough that a generic tool does not fit, the buyer has budget because the workflow is tied to revenue, and the sales channel is identifiable because the vertical has trade publications, associations, and conferences.</w:t>
      </w:r>
    </w:p>
    <w:p>
      <w:pPr>
        <w:pStyle w:val="Heading2"/>
        <w:spacing w:after="120" w:before="280" w:line="312"/>
      </w:pPr>
      <w:bookmarkStart w:id="100023" w:name="_Toc100023"/>
      <w:r>
        <w:rPr>
          <w:rFonts w:ascii="Arial" w:eastAsia="SimHei"/>
          <w:b/>
          <w:bCs/>
          <w:color w:val="162235"/>
          <w:sz w:val="28"/>
          <w:szCs w:val="28"/>
        </w:rPr>
        <w:t xml:space="preserve">6.3 The Prompt Sequence</w:t>
      </w:r>
      <w:bookmarkEnd w:id="100023"/>
    </w:p>
    <w:p>
      <w:pPr>
        <w:spacing w:after="120" w:line="312"/>
        <w:ind w:firstLine="360"/>
        <w:jc w:val="both"/>
      </w:pPr>
      <w:r>
        <w:rPr>
          <w:rFonts w:ascii="Times New Roman" w:eastAsia="SimSun"/>
          <w:color w:val="000000"/>
          <w:sz w:val="24"/>
          <w:szCs w:val="24"/>
        </w:rPr>
        <w:t xml:space="preserve">The prompt sequence for a B2B SaaS build follows the three-phase model and produces the same artifacts as the school system, with the multi-tenancy pattern as the central architectural element. The following prompt is the central one, which implements the tenant isolation that is the most consequential piece of the architecture. The prompt is an instance of the master template, filled in with the multi-tenancy content from the foundation document.</w:t>
      </w:r>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Senior full-stack engineer, building a multi-tenant B2B SaaS platform</w:t>
            </w:r>
          </w:p>
          <w:p>
            <w:pPr>
              <w:spacing w:after="0" w:line="280"/>
            </w:pPr>
            <w:r>
              <w:rPr>
                <w:rFonts w:ascii="Consolas" w:eastAsia="Consolas"/>
                <w:color w:val="1F2937"/>
                <w:sz w:val="19"/>
                <w:szCs w:val="19"/>
              </w:rPr>
              <w:t xml:space="preserve">for [vertical, e.g., physical therapy practice management].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TO LOAD:</w:t>
            </w:r>
          </w:p>
          <w:p>
            <w:pPr>
              <w:spacing w:after="0" w:line="280"/>
            </w:pPr>
            <w:r>
              <w:rPr>
                <w:rFonts w:ascii="Consolas" w:eastAsia="Consolas"/>
                <w:color w:val="1F2937"/>
                <w:sz w:val="19"/>
                <w:szCs w:val="19"/>
              </w:rPr>
              <w:t xml:space="preserve">- Foundation document §7 Multi-Tenant SaaS Platform, especially:</w:t>
            </w:r>
          </w:p>
          <w:p>
            <w:pPr>
              <w:spacing w:after="0" w:line="280"/>
            </w:pPr>
            <w:r>
              <w:rPr>
                <w:rFonts w:ascii="Consolas" w:eastAsia="Consolas"/>
                <w:color w:val="1F2937"/>
                <w:sz w:val="19"/>
                <w:szCs w:val="19"/>
              </w:rPr>
              <w:t xml:space="preserve">  - §7.4 Foundation and Reference Architecture (the shared-schema with RLS pattern)</w:t>
            </w:r>
          </w:p>
          <w:p>
            <w:pPr>
              <w:spacing w:after="0" w:line="280"/>
            </w:pPr>
            <w:r>
              <w:rPr>
                <w:rFonts w:ascii="Consolas" w:eastAsia="Consolas"/>
                <w:color w:val="1F2937"/>
                <w:sz w:val="19"/>
                <w:szCs w:val="19"/>
              </w:rPr>
              <w:t xml:space="preserve">  - §7.5 Data Model (the Tenant, User, Role, Session, Subscription entities)</w:t>
            </w:r>
          </w:p>
          <w:p>
            <w:pPr>
              <w:spacing w:after="0" w:line="280"/>
            </w:pPr>
            <w:r>
              <w:rPr>
                <w:rFonts w:ascii="Consolas" w:eastAsia="Consolas"/>
                <w:color w:val="1F2937"/>
                <w:sz w:val="19"/>
                <w:szCs w:val="19"/>
              </w:rPr>
              <w:t xml:space="preserve">  - §7.6 How It Works (the tenant provisioning and request lifecycle flows)</w:t>
            </w:r>
          </w:p>
          <w:p>
            <w:pPr>
              <w:spacing w:after="0" w:line="280"/>
            </w:pPr>
            <w:r>
              <w:rPr>
                <w:rFonts w:ascii="Consolas" w:eastAsia="Consolas"/>
                <w:color w:val="1F2937"/>
                <w:sz w:val="19"/>
                <w:szCs w:val="19"/>
              </w:rPr>
              <w:t xml:space="preserve">  - §7.7 Security and Compliance Controls</w:t>
            </w:r>
          </w:p>
          <w:p>
            <w:pPr>
              <w:spacing w:after="0" w:line="280"/>
            </w:pPr>
            <w:r>
              <w:rPr>
                <w:rFonts w:ascii="Consolas" w:eastAsia="Consolas"/>
                <w:color w:val="1F2937"/>
                <w:sz w:val="19"/>
                <w:szCs w:val="19"/>
              </w:rPr>
              <w:t xml:space="preserve">- Target stack: Next.js 16, PostgreSQL 16 with RLS, Redis 7, Tailwind CSS 4.</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Implement tenant isolation.</w:t>
            </w:r>
          </w:p>
          <w:p>
            <w:pPr>
              <w:spacing w:after="0" w:line="280"/>
            </w:pPr>
            <w:r>
              <w:rPr>
                <w:rFonts w:ascii="Consolas" w:eastAsia="Consolas"/>
                <w:color w:val="1F2937"/>
                <w:sz w:val="19"/>
                <w:szCs w:val="19"/>
              </w:rPr>
              <w:t xml:space="preserve">  (a) Create the tenant_id column on every tenant-scoped table.</w:t>
            </w:r>
          </w:p>
          <w:p>
            <w:pPr>
              <w:spacing w:after="0" w:line="280"/>
            </w:pPr>
            <w:r>
              <w:rPr>
                <w:rFonts w:ascii="Consolas" w:eastAsia="Consolas"/>
                <w:color w:val="1F2937"/>
                <w:sz w:val="19"/>
                <w:szCs w:val="19"/>
              </w:rPr>
              <w:t xml:space="preserve">  (b) Create the Row-Level Security policy on each tenant-scoped table:</w:t>
            </w:r>
          </w:p>
          <w:p>
            <w:pPr>
              <w:spacing w:after="0" w:line="280"/>
            </w:pPr>
            <w:r>
              <w:rPr>
                <w:rFonts w:ascii="Consolas" w:eastAsia="Consolas"/>
                <w:color w:val="1F2937"/>
                <w:sz w:val="19"/>
                <w:szCs w:val="19"/>
              </w:rPr>
              <w:t xml:space="preserve">      USING (tenant_id = current_setting('app.current_tenant_id')::uuid).</w:t>
            </w:r>
          </w:p>
          <w:p>
            <w:pPr>
              <w:spacing w:after="0" w:line="280"/>
            </w:pPr>
            <w:r>
              <w:rPr>
                <w:rFonts w:ascii="Consolas" w:eastAsia="Consolas"/>
                <w:color w:val="1F2937"/>
                <w:sz w:val="19"/>
                <w:szCs w:val="19"/>
              </w:rPr>
              <w:t xml:space="preserve">  (c) Implement the tenant-context middleware: on every authenticated request,</w:t>
            </w:r>
          </w:p>
          <w:p>
            <w:pPr>
              <w:spacing w:after="0" w:line="280"/>
            </w:pPr>
            <w:r>
              <w:rPr>
                <w:rFonts w:ascii="Consolas" w:eastAsia="Consolas"/>
                <w:color w:val="1F2937"/>
                <w:sz w:val="19"/>
                <w:szCs w:val="19"/>
              </w:rPr>
              <w:t xml:space="preserve">      load the user's tenant_id, and execute SET LOCAL</w:t>
            </w:r>
          </w:p>
          <w:p>
            <w:pPr>
              <w:spacing w:after="0" w:line="280"/>
            </w:pPr>
            <w:r>
              <w:rPr>
                <w:rFonts w:ascii="Consolas" w:eastAsia="Consolas"/>
                <w:color w:val="1F2937"/>
                <w:sz w:val="19"/>
                <w:szCs w:val="19"/>
              </w:rPr>
              <w:t xml:space="preserve">      app.current_tenant_id = '[tenant_id]' at the start of the database</w:t>
            </w:r>
          </w:p>
          <w:p>
            <w:pPr>
              <w:spacing w:after="0" w:line="280"/>
            </w:pPr>
            <w:r>
              <w:rPr>
                <w:rFonts w:ascii="Consolas" w:eastAsia="Consolas"/>
                <w:color w:val="1F2937"/>
                <w:sz w:val="19"/>
                <w:szCs w:val="19"/>
              </w:rPr>
              <w:t xml:space="preserve">      transaction.</w:t>
            </w:r>
          </w:p>
          <w:p>
            <w:pPr>
              <w:spacing w:after="0" w:line="280"/>
            </w:pPr>
            <w:r>
              <w:rPr>
                <w:rFonts w:ascii="Consolas" w:eastAsia="Consolas"/>
                <w:color w:val="1F2937"/>
                <w:sz w:val="19"/>
                <w:szCs w:val="19"/>
              </w:rPr>
              <w:t xml:space="preserve">  (d) Write an automated test that attempts to read a different tenant's data</w:t>
            </w:r>
          </w:p>
          <w:p>
            <w:pPr>
              <w:spacing w:after="0" w:line="280"/>
            </w:pPr>
            <w:r>
              <w:rPr>
                <w:rFonts w:ascii="Consolas" w:eastAsia="Consolas"/>
                <w:color w:val="1F2937"/>
                <w:sz w:val="19"/>
                <w:szCs w:val="19"/>
              </w:rPr>
              <w:t xml:space="preserve">      and verifies that the query returns zero rows.</w:t>
            </w:r>
          </w:p>
          <w:p>
            <w:pPr>
              <w:spacing w:after="0" w:line="280"/>
            </w:pPr>
            <w:r>
              <w:rPr>
                <w:rFonts w:ascii="Consolas" w:eastAsia="Consolas"/>
                <w:color w:val="1F2937"/>
                <w:sz w:val="19"/>
                <w:szCs w:val="19"/>
              </w:rPr>
              <w:t xml:space="preserve">  (e) Write an automated test that verifies a query without a WHERE clause</w:t>
            </w:r>
          </w:p>
          <w:p>
            <w:pPr>
              <w:spacing w:after="0" w:line="280"/>
            </w:pPr>
            <w:r>
              <w:rPr>
                <w:rFonts w:ascii="Consolas" w:eastAsia="Consolas"/>
                <w:color w:val="1F2937"/>
                <w:sz w:val="19"/>
                <w:szCs w:val="19"/>
              </w:rPr>
              <w:t xml:space="preserve">      still returns only the current tenant's rows (the database enforces it).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Every tenant-scoped table has the tenant_id column and the RLS policy.</w:t>
            </w:r>
          </w:p>
          <w:p>
            <w:pPr>
              <w:spacing w:after="0" w:line="280"/>
            </w:pPr>
            <w:r>
              <w:rPr>
                <w:rFonts w:ascii="Consolas" w:eastAsia="Consolas"/>
                <w:color w:val="1F2937"/>
                <w:sz w:val="19"/>
                <w:szCs w:val="19"/>
              </w:rPr>
              <w:t xml:space="preserve">- The cross-tenant access test passes (returns zero rows).</w:t>
            </w:r>
          </w:p>
          <w:p>
            <w:pPr>
              <w:spacing w:after="0" w:line="280"/>
            </w:pPr>
            <w:r>
              <w:rPr>
                <w:rFonts w:ascii="Consolas" w:eastAsia="Consolas"/>
                <w:color w:val="1F2937"/>
                <w:sz w:val="19"/>
                <w:szCs w:val="19"/>
              </w:rPr>
              <w:t xml:space="preserve">- The no-WHERE-clause test passes (returns only current tenant's rows).</w:t>
            </w:r>
          </w:p>
          <w:p>
            <w:pPr>
              <w:spacing w:after="0" w:line="280"/>
            </w:pPr>
            <w:r>
              <w:rPr>
                <w:rFonts w:ascii="Consolas" w:eastAsia="Consolas"/>
                <w:color w:val="1F2937"/>
                <w:sz w:val="19"/>
                <w:szCs w:val="19"/>
              </w:rPr>
              <w:t xml:space="preserve">- The middleware sets the tenant context on every authenticated request.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Run: npm test -- --grep tenant-isolation</w:t>
            </w:r>
          </w:p>
          <w:p>
            <w:pPr>
              <w:spacing w:after="0" w:line="280"/>
            </w:pPr>
            <w:r>
              <w:rPr>
                <w:rFonts w:ascii="Consolas" w:eastAsia="Consolas"/>
                <w:color w:val="1F2937"/>
                <w:sz w:val="19"/>
                <w:szCs w:val="19"/>
              </w:rPr>
              <w:t xml:space="preserve">- Pass condition: all isolation tests pass.</w:t>
            </w:r>
          </w:p>
          <w:p>
            <w:pPr>
              <w:spacing w:after="0" w:line="280"/>
            </w:pPr>
            <w:r>
              <w:rPr>
                <w:rFonts w:ascii="Consolas" w:eastAsia="Consolas"/>
                <w:color w:val="1F2937"/>
                <w:sz w:val="19"/>
                <w:szCs w:val="19"/>
              </w:rPr>
              <w:t xml:space="preserve">- On failure: this is a critical security control; do not proceed to any</w:t>
            </w:r>
          </w:p>
          <w:p>
            <w:pPr>
              <w:spacing w:after="0" w:line="280"/>
            </w:pPr>
            <w:r>
              <w:rPr>
                <w:rFonts w:ascii="Consolas" w:eastAsia="Consolas"/>
                <w:color w:val="1F2937"/>
                <w:sz w:val="19"/>
                <w:szCs w:val="19"/>
              </w:rPr>
              <w:t xml:space="preserve">  other task until isolation is verified. Escalate to the builder after</w:t>
            </w:r>
          </w:p>
          <w:p>
            <w:pPr>
              <w:spacing w:after="0" w:line="280"/>
            </w:pPr>
            <w:r>
              <w:rPr>
                <w:rFonts w:ascii="Consolas" w:eastAsia="Consolas"/>
                <w:color w:val="1F2937"/>
                <w:sz w:val="19"/>
                <w:szCs w:val="19"/>
              </w:rPr>
              <w:t xml:space="preserve">  2 retries.</w:t>
            </w:r>
          </w:p>
        </w:tc>
      </w:tr>
    </w:tbl>
    <w:p>
      <w:pPr>
        <w:pStyle w:val="Heading2"/>
        <w:spacing w:after="120" w:before="280" w:line="312"/>
      </w:pPr>
      <w:bookmarkStart w:id="100024" w:name="_Toc100024"/>
      <w:r>
        <w:rPr>
          <w:rFonts w:ascii="Arial" w:eastAsia="SimHei"/>
          <w:b/>
          <w:bCs/>
          <w:color w:val="162235"/>
          <w:sz w:val="28"/>
          <w:szCs w:val="28"/>
        </w:rPr>
        <w:t xml:space="preserve">6.4 The Commercial Layer</w:t>
      </w:r>
      <w:bookmarkEnd w:id="100024"/>
    </w:p>
    <w:p>
      <w:pPr>
        <w:spacing w:after="120" w:line="312"/>
        <w:ind w:firstLine="360"/>
        <w:jc w:val="both"/>
      </w:pPr>
      <w:r>
        <w:rPr>
          <w:rFonts w:ascii="Times New Roman" w:eastAsia="SimSun"/>
          <w:color w:val="000000"/>
          <w:sz w:val="24"/>
          <w:szCs w:val="24"/>
        </w:rPr>
        <w:t xml:space="preserve">The commercial layer of a B2B SaaS system comprises the subscription, billing, and feature-flag capabilities that allow the platform to be sold. The foundation document specifies these in Section 7.5 and Section 7.6, and the builder implements them after the tenant isolation and the core domain features. The subscription entity tracks the tenant's plan, the billing cycle, and the renewal date; the billing integration with a payment processor such as Stripe handles the recurring charges; and the feature-flag entity allows per-tenant configuration of features without code changes. The commercial layer is what converts the system from a working application into a sellable product, and it is the layer that is most often deferred by builders who focus on the domain features. The discipline of the prompt sequence ensures that the commercial layer is implemented before the launch, not after.</w:t>
      </w:r>
    </w:p>
    <w:p>
      <w:pPr>
        <w:pStyle w:val="Heading1"/>
        <w:spacing w:after="160" w:before="360" w:line="312"/>
      </w:pPr>
      <w:bookmarkStart w:id="100025" w:name="_Toc100025"/>
      <w:r>
        <w:rPr>
          <w:rFonts w:ascii="Arial" w:eastAsia="SimHei"/>
          <w:b/>
          <w:bCs/>
          <w:color w:val="162235"/>
          <w:sz w:val="32"/>
          <w:szCs w:val="32"/>
        </w:rPr>
        <w:t xml:space="preserve">7. Use Case 3: Sellable Basic Systems for Revenue</w:t>
      </w:r>
      <w:bookmarkEnd w:id="100025"/>
    </w:p>
    <w:p>
      <w:pPr>
        <w:pStyle w:val="Heading2"/>
        <w:spacing w:after="120" w:before="280" w:line="312"/>
      </w:pPr>
      <w:bookmarkStart w:id="100026" w:name="_Toc100026"/>
      <w:r>
        <w:rPr>
          <w:rFonts w:ascii="Arial" w:eastAsia="SimHei"/>
          <w:b/>
          <w:bCs/>
          <w:color w:val="162235"/>
          <w:sz w:val="28"/>
          <w:szCs w:val="28"/>
        </w:rPr>
        <w:t xml:space="preserve">7.1 Overview and Scope</w:t>
      </w:r>
      <w:bookmarkEnd w:id="100026"/>
    </w:p>
    <w:p>
      <w:pPr>
        <w:spacing w:after="120" w:line="312"/>
        <w:ind w:firstLine="360"/>
        <w:jc w:val="both"/>
      </w:pPr>
      <w:r>
        <w:rPr>
          <w:rFonts w:ascii="Times New Roman" w:eastAsia="SimSun"/>
          <w:color w:val="000000"/>
          <w:sz w:val="24"/>
          <w:szCs w:val="24"/>
        </w:rPr>
        <w:t xml:space="preserve">The third use case is a portfolio of sellable basic systems that a solo builder can launch to generate revenue. The defining characteristic of this use case is that the systems are small, focused, and individually monetizable, and that the builder's goal is to launch multiple systems rather than to build a single large platform. The foundation document's booking and scheduling, real-time analytics dashboard, and AI-powered application sections are the primary references for this use case, because these are the systems with the shortest build timelines and the most direct path to revenue. A solo builder who launches three to five such systems over a year, each generating a modest monthly recurring revenue, can build a sustainable independent business.</w:t>
      </w:r>
    </w:p>
    <w:p>
      <w:pPr>
        <w:pStyle w:val="Heading2"/>
        <w:spacing w:after="120" w:before="280" w:line="312"/>
      </w:pPr>
      <w:bookmarkStart w:id="100027" w:name="_Toc100027"/>
      <w:r>
        <w:rPr>
          <w:rFonts w:ascii="Arial" w:eastAsia="SimHei"/>
          <w:b/>
          <w:bCs/>
          <w:color w:val="162235"/>
          <w:sz w:val="28"/>
          <w:szCs w:val="28"/>
        </w:rPr>
        <w:t xml:space="preserve">7.2 Candidate Systems and Their Economics</w:t>
      </w:r>
      <w:bookmarkEnd w:id="100027"/>
    </w:p>
    <w:p>
      <w:pPr>
        <w:keepNext/>
        <w:spacing w:after="100" w:before="200" w:line="312"/>
        <w:jc w:val="left"/>
      </w:pPr>
      <w:r>
        <w:rPr>
          <w:rFonts w:ascii="Arial" w:eastAsia="SimHei"/>
          <w:b/>
          <w:bCs/>
          <w:color w:val="162235"/>
          <w:sz w:val="22"/>
          <w:szCs w:val="22"/>
        </w:rPr>
        <w:t xml:space="preserve">Table 3: Candidate Sellable Basic Systems for a Solo Builder</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tblGrid>
      <w:tr>
        <w:trPr>
          <w:cantSplit/>
          <w:tblHeader/>
        </w:trPr>
        <w:tc>
          <w:tcPr>
            <w:tcW w:type="pct" w:w="3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System</w:t>
            </w:r>
          </w:p>
        </w:tc>
        <w:tc>
          <w:tcPr>
            <w:tcW w:type="pct" w:w="14%"/>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Build Time</w:t>
            </w:r>
          </w:p>
        </w:tc>
        <w:tc>
          <w:tcPr>
            <w:tcW w:type="pct" w:w="2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Target Monthly Revenue</w:t>
            </w:r>
          </w:p>
        </w:tc>
        <w:tc>
          <w:tcPr>
            <w:tcW w:type="pct" w:w="2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Primary Buyer</w:t>
            </w:r>
          </w:p>
        </w:tc>
      </w:tr>
      <w:tr>
        <w:trPr>
          <w:cantSplit/>
        </w:trPr>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Booking and scheduling for a specific vertical (e.g., tattoo studios, music teachers)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6-12 weeks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$500-$5,000</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Independent service provider</w:t>
            </w:r>
          </w:p>
        </w:tc>
      </w:tr>
      <w:tr>
        <w:trPr>
          <w:cantSplit/>
        </w:trPr>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Real-time analytics dashboard for a specific platform (e.g., a specific e-commerce platform's sales dashboard)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8-12 weeks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$1,000-$10,000</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Merchant on that platform</w:t>
            </w:r>
          </w:p>
        </w:tc>
      </w:tr>
      <w:tr>
        <w:trPr>
          <w:cantSplit/>
        </w:trPr>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AI-powered content tool for a specific workflow (e.g., property listing generator for real estate agents)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4-8 weeks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$500-$3,000</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Real estate agent, broker</w:t>
            </w:r>
          </w:p>
        </w:tc>
      </w:tr>
      <w:tr>
        <w:trPr>
          <w:cantSplit/>
        </w:trPr>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Niche CRM for a specific profession (e.g., CRM for wedding photographers)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8-12 weeks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$1,000-$8,000</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Independent professional</w:t>
            </w:r>
          </w:p>
        </w:tc>
      </w:tr>
      <w:tr>
        <w:trPr>
          <w:cantSplit/>
        </w:trPr>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Compliance checklist tool for a specific regulation (e.g., food safety for small restaurants)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4-8 weeks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$300-$2,000</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Small business owner</w:t>
            </w:r>
          </w:p>
        </w:tc>
      </w:tr>
    </w:tbl>
    <w:p>
      <w:pPr>
        <w:spacing w:after="200" w:before="80" w:line="312"/>
        <w:jc w:val="center"/>
      </w:pPr>
      <w:r>
        <w:rPr>
          <w:rFonts w:ascii="Times New Roman" w:eastAsia="SimSun"/>
          <w:i/>
          <w:iCs/>
          <w:color w:val="606060"/>
          <w:sz w:val="20"/>
          <w:szCs w:val="20"/>
        </w:rPr>
        <w:t xml:space="preserve">Table 3: Five candidate sellable basic systems for a solo builder, with the build time, the target monthly recurring revenue, and the primary buyer. The revenue ranges are indicative of what a focused solo builder can achieve with effective distribution.</w:t>
      </w:r>
    </w:p>
    <w:p>
      <w:pPr>
        <w:pStyle w:val="Heading2"/>
        <w:spacing w:after="120" w:before="280" w:line="312"/>
      </w:pPr>
      <w:bookmarkStart w:id="100028" w:name="_Toc100028"/>
      <w:r>
        <w:rPr>
          <w:rFonts w:ascii="Arial" w:eastAsia="SimHei"/>
          <w:b/>
          <w:bCs/>
          <w:color w:val="162235"/>
          <w:sz w:val="28"/>
          <w:szCs w:val="28"/>
        </w:rPr>
        <w:t xml:space="preserve">7.3 The Solo-Builder Prompt Sequence</w:t>
      </w:r>
      <w:bookmarkEnd w:id="100028"/>
    </w:p>
    <w:p>
      <w:pPr>
        <w:spacing w:after="120" w:line="312"/>
        <w:ind w:firstLine="360"/>
        <w:jc w:val="both"/>
      </w:pPr>
      <w:r>
        <w:rPr>
          <w:rFonts w:ascii="Times New Roman" w:eastAsia="SimSun"/>
          <w:color w:val="000000"/>
          <w:sz w:val="24"/>
          <w:szCs w:val="24"/>
        </w:rPr>
        <w:t xml:space="preserve">The solo-builder prompt sequence is a compressed version of the three-phase model, adapted for a single agent that handles planning and execution. The compression is acceptable because the systems are small and the scope is bounded, but the discipline of context loading and verification is preserved. The following prompt is the master prompt for a solo-builder launch of a booking system for a specific vertical, and it demonstrates the compression.</w:t>
      </w:r>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You are a senior full-stack engineer building a production-grade booking</w:t>
            </w:r>
          </w:p>
          <w:p>
            <w:pPr>
              <w:spacing w:after="0" w:line="280"/>
            </w:pPr>
            <w:r>
              <w:rPr>
                <w:rFonts w:ascii="Consolas" w:eastAsia="Consolas"/>
                <w:color w:val="1F2937"/>
                <w:sz w:val="19"/>
                <w:szCs w:val="19"/>
              </w:rPr>
              <w:t xml:space="preserve">and scheduling SaaS for [vertical, e.g., tattoo studios]. You are the only</w:t>
            </w:r>
          </w:p>
          <w:p>
            <w:pPr>
              <w:spacing w:after="0" w:line="280"/>
            </w:pPr>
            <w:r>
              <w:rPr>
                <w:rFonts w:ascii="Consolas" w:eastAsia="Consolas"/>
                <w:color w:val="1F2937"/>
                <w:sz w:val="19"/>
                <w:szCs w:val="19"/>
              </w:rPr>
              <w:t xml:space="preserve">engineer; you must be disciplined about scope and verification.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TO LOAD:</w:t>
            </w:r>
          </w:p>
          <w:p>
            <w:pPr>
              <w:spacing w:after="0" w:line="280"/>
            </w:pPr>
            <w:r>
              <w:rPr>
                <w:rFonts w:ascii="Consolas" w:eastAsia="Consolas"/>
                <w:color w:val="1F2937"/>
                <w:sz w:val="19"/>
                <w:szCs w:val="19"/>
              </w:rPr>
              <w:t xml:space="preserve">- Foundation document §13 Booking and Scheduling SaaS, especially:</w:t>
            </w:r>
          </w:p>
          <w:p>
            <w:pPr>
              <w:spacing w:after="0" w:line="280"/>
            </w:pPr>
            <w:r>
              <w:rPr>
                <w:rFonts w:ascii="Consolas" w:eastAsia="Consolas"/>
                <w:color w:val="1F2937"/>
                <w:sz w:val="19"/>
                <w:szCs w:val="19"/>
              </w:rPr>
              <w:t xml:space="preserve">  - §13.4 Reference Architecture (the calendar engine, the distributed lock)</w:t>
            </w:r>
          </w:p>
          <w:p>
            <w:pPr>
              <w:spacing w:after="0" w:line="280"/>
            </w:pPr>
            <w:r>
              <w:rPr>
                <w:rFonts w:ascii="Consolas" w:eastAsia="Consolas"/>
                <w:color w:val="1F2937"/>
                <w:sz w:val="19"/>
                <w:szCs w:val="19"/>
              </w:rPr>
              <w:t xml:space="preserve">  - §13.5 Data Model (Provider, Service, AvailabilityRule, Slot, Booking)</w:t>
            </w:r>
          </w:p>
          <w:p>
            <w:pPr>
              <w:spacing w:after="0" w:line="280"/>
            </w:pPr>
            <w:r>
              <w:rPr>
                <w:rFonts w:ascii="Consolas" w:eastAsia="Consolas"/>
                <w:color w:val="1F2937"/>
                <w:sz w:val="19"/>
                <w:szCs w:val="19"/>
              </w:rPr>
              <w:t xml:space="preserve">  - §13.6 How It Works (the availability computation and booking flows)</w:t>
            </w:r>
          </w:p>
          <w:p>
            <w:pPr>
              <w:spacing w:after="0" w:line="280"/>
            </w:pPr>
            <w:r>
              <w:rPr>
                <w:rFonts w:ascii="Consolas" w:eastAsia="Consolas"/>
                <w:color w:val="1F2937"/>
                <w:sz w:val="19"/>
                <w:szCs w:val="19"/>
              </w:rPr>
              <w:t xml:space="preserve">  - §13.7 Security (PCI-DSS for payments, HIPAA if the vertical is healthcare)</w:t>
            </w:r>
          </w:p>
          <w:p>
            <w:pPr>
              <w:spacing w:after="0" w:line="280"/>
            </w:pPr>
            <w:r>
              <w:rPr>
                <w:rFonts w:ascii="Consolas" w:eastAsia="Consolas"/>
                <w:color w:val="1F2937"/>
                <w:sz w:val="19"/>
                <w:szCs w:val="19"/>
              </w:rPr>
              <w:t xml:space="preserve">  - §13.8 UI/UX (the booking flow accessibility)</w:t>
            </w:r>
          </w:p>
          <w:p>
            <w:pPr>
              <w:spacing w:after="0" w:line="280"/>
            </w:pPr>
            <w:r>
              <w:rPr>
                <w:rFonts w:ascii="Consolas" w:eastAsia="Consolas"/>
                <w:color w:val="1F2937"/>
                <w:sz w:val="19"/>
                <w:szCs w:val="19"/>
              </w:rPr>
              <w:t xml:space="preserve">- Target stack: Next.js 16, PostgreSQL 16, Redis 7 (for the distributed lock</w:t>
            </w:r>
          </w:p>
          <w:p>
            <w:pPr>
              <w:spacing w:after="0" w:line="280"/>
            </w:pPr>
            <w:r>
              <w:rPr>
                <w:rFonts w:ascii="Consolas" w:eastAsia="Consolas"/>
                <w:color w:val="1F2937"/>
                <w:sz w:val="19"/>
                <w:szCs w:val="19"/>
              </w:rPr>
              <w:t xml:space="preserve">  and the slot cache), Tailwind CSS 4, Radix UI.</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1 - CONTEXT AND PLAN (do not write code yet):</w:t>
            </w:r>
          </w:p>
          <w:p>
            <w:pPr>
              <w:spacing w:after="0" w:line="280"/>
            </w:pPr>
            <w:r>
              <w:rPr>
                <w:rFonts w:ascii="Consolas" w:eastAsia="Consolas"/>
                <w:color w:val="1F2937"/>
                <w:sz w:val="19"/>
                <w:szCs w:val="19"/>
              </w:rPr>
              <w:t xml:space="preserve">- Summarize the data model, the calendar engine, the booking flow, and the</w:t>
            </w:r>
          </w:p>
          <w:p>
            <w:pPr>
              <w:spacing w:after="0" w:line="280"/>
            </w:pPr>
            <w:r>
              <w:rPr>
                <w:rFonts w:ascii="Consolas" w:eastAsia="Consolas"/>
                <w:color w:val="1F2937"/>
                <w:sz w:val="19"/>
                <w:szCs w:val="19"/>
              </w:rPr>
              <w:t xml:space="preserve">  payment integration. Confirm the vertical's specific requirements</w:t>
            </w:r>
          </w:p>
          <w:p>
            <w:pPr>
              <w:spacing w:after="0" w:line="280"/>
            </w:pPr>
            <w:r>
              <w:rPr>
                <w:rFonts w:ascii="Consolas" w:eastAsia="Consolas"/>
                <w:color w:val="1F2937"/>
                <w:sz w:val="19"/>
                <w:szCs w:val="19"/>
              </w:rPr>
              <w:t xml:space="preserve">  (e.g., tattoo studios need deposit handling, aftercare instructions,</w:t>
            </w:r>
          </w:p>
          <w:p>
            <w:pPr>
              <w:spacing w:after="0" w:line="280"/>
            </w:pPr>
            <w:r>
              <w:rPr>
                <w:rFonts w:ascii="Consolas" w:eastAsia="Consolas"/>
                <w:color w:val="1F2937"/>
                <w:sz w:val="19"/>
                <w:szCs w:val="19"/>
              </w:rPr>
              <w:t xml:space="preserve">  artist-specific availability).</w:t>
            </w:r>
          </w:p>
          <w:p>
            <w:pPr>
              <w:spacing w:after="0" w:line="280"/>
            </w:pPr>
            <w:r>
              <w:rPr>
                <w:rFonts w:ascii="Consolas" w:eastAsia="Consolas"/>
                <w:color w:val="1F2937"/>
                <w:sz w:val="19"/>
                <w:szCs w:val="19"/>
              </w:rPr>
              <w:t xml:space="preserve">- Produce a task list of 15-20 atomic tasks, each with an acceptance criterion.</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2 - IMPLEMENTATION (one task at a time, with verification):</w:t>
            </w:r>
          </w:p>
          <w:p>
            <w:pPr>
              <w:spacing w:after="0" w:line="280"/>
            </w:pPr>
            <w:r>
              <w:rPr>
                <w:rFonts w:ascii="Consolas" w:eastAsia="Consolas"/>
                <w:color w:val="1F2937"/>
                <w:sz w:val="19"/>
                <w:szCs w:val="19"/>
              </w:rPr>
              <w:t xml:space="preserve">- For each task: implement, run the test, fix if needed, confirm pass,</w:t>
            </w:r>
          </w:p>
          <w:p>
            <w:pPr>
              <w:spacing w:after="0" w:line="280"/>
            </w:pPr>
            <w:r>
              <w:rPr>
                <w:rFonts w:ascii="Consolas" w:eastAsia="Consolas"/>
                <w:color w:val="1F2937"/>
                <w:sz w:val="19"/>
                <w:szCs w:val="19"/>
              </w:rPr>
              <w:t xml:space="preserve">  then proceed to the next.</w:t>
            </w:r>
          </w:p>
          <w:p>
            <w:pPr>
              <w:spacing w:after="0" w:line="280"/>
            </w:pPr>
            <w:r>
              <w:rPr>
                <w:rFonts w:ascii="Consolas" w:eastAsia="Consolas"/>
                <w:color w:val="1F2937"/>
                <w:sz w:val="19"/>
                <w:szCs w:val="19"/>
              </w:rPr>
              <w:t xml:space="preserve">- After every 5 tasks, run the full test suite and the lint, and fix</w:t>
            </w:r>
          </w:p>
          <w:p>
            <w:pPr>
              <w:spacing w:after="0" w:line="280"/>
            </w:pPr>
            <w:r>
              <w:rPr>
                <w:rFonts w:ascii="Consolas" w:eastAsia="Consolas"/>
                <w:color w:val="1F2937"/>
                <w:sz w:val="19"/>
                <w:szCs w:val="19"/>
              </w:rPr>
              <w:t xml:space="preserve">  any regressions before continuing.</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PHASE 3 - LAUNCH READINESS:</w:t>
            </w:r>
          </w:p>
          <w:p>
            <w:pPr>
              <w:spacing w:after="0" w:line="280"/>
            </w:pPr>
            <w:r>
              <w:rPr>
                <w:rFonts w:ascii="Consolas" w:eastAsia="Consolas"/>
                <w:color w:val="1F2937"/>
                <w:sz w:val="19"/>
                <w:szCs w:val="19"/>
              </w:rPr>
              <w:t xml:space="preserve">- Run the accessibility audit (axe-core) on the booking flow.</w:t>
            </w:r>
          </w:p>
          <w:p>
            <w:pPr>
              <w:spacing w:after="0" w:line="280"/>
            </w:pPr>
            <w:r>
              <w:rPr>
                <w:rFonts w:ascii="Consolas" w:eastAsia="Consolas"/>
                <w:color w:val="1F2937"/>
                <w:sz w:val="19"/>
                <w:szCs w:val="19"/>
              </w:rPr>
              <w:t xml:space="preserve">- Run the load test on the booking endpoint at 10x expected peak.</w:t>
            </w:r>
          </w:p>
          <w:p>
            <w:pPr>
              <w:spacing w:after="0" w:line="280"/>
            </w:pPr>
            <w:r>
              <w:rPr>
                <w:rFonts w:ascii="Consolas" w:eastAsia="Consolas"/>
                <w:color w:val="1F2937"/>
                <w:sz w:val="19"/>
                <w:szCs w:val="19"/>
              </w:rPr>
              <w:t xml:space="preserve">- Produce a deployment runbook and a rollback procedure.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CONSTRAINTS:</w:t>
            </w:r>
          </w:p>
          <w:p>
            <w:pPr>
              <w:spacing w:after="0" w:line="280"/>
            </w:pPr>
            <w:r>
              <w:rPr>
                <w:rFonts w:ascii="Consolas" w:eastAsia="Consolas"/>
                <w:color w:val="1F2937"/>
                <w:sz w:val="19"/>
                <w:szCs w:val="19"/>
              </w:rPr>
              <w:t xml:space="preserve">- Do not add features beyond the vertical's specific requirements.</w:t>
            </w:r>
          </w:p>
          <w:p>
            <w:pPr>
              <w:spacing w:after="0" w:line="280"/>
            </w:pPr>
            <w:r>
              <w:rPr>
                <w:rFonts w:ascii="Consolas" w:eastAsia="Consolas"/>
                <w:color w:val="1F2937"/>
                <w:sz w:val="19"/>
                <w:szCs w:val="19"/>
              </w:rPr>
              <w:t xml:space="preserve">- Do not skip the verification gate, ever.</w:t>
            </w:r>
          </w:p>
          <w:p>
            <w:pPr>
              <w:spacing w:after="0" w:line="280"/>
            </w:pPr>
            <w:r>
              <w:rPr>
                <w:rFonts w:ascii="Consolas" w:eastAsia="Consolas"/>
                <w:color w:val="1F2937"/>
                <w:sz w:val="19"/>
                <w:szCs w:val="19"/>
              </w:rPr>
              <w:t xml:space="preserve">- If a task fails verification 3 times, stop and escalate to the builder.</w:t>
            </w:r>
          </w:p>
        </w:tc>
      </w:tr>
    </w:tbl>
    <w:p>
      <w:pPr>
        <w:spacing w:after="120" w:line="312"/>
        <w:ind w:firstLine="360"/>
        <w:jc w:val="both"/>
      </w:pPr>
      <w:r>
        <w:rPr>
          <w:rFonts w:ascii="Times New Roman" w:eastAsia="SimSun"/>
          <w:color w:val="000000"/>
          <w:sz w:val="24"/>
          <w:szCs w:val="24"/>
        </w:rPr>
        <w:t xml:space="preserve">The compressed sequence preserves the discipline of the three-phase model while reducing the orchestration overhead. The solo builder who follows this sequence for each of the candidate systems in Table 3 will produce a portfolio of small, focused, monetizable systems, each built to the real-world standard that the foundation document specifies. The revenue from the portfolio compounds as each system reaches its target monthly recurring revenue, and the discipline of the prompt architecture ensures that the systems are maintainable, secure, and accessible, which are the properties that allow the revenue to persist rather than to evaporate at the first incident.</w:t>
      </w:r>
    </w:p>
    <w:p>
      <w:pPr>
        <w:pStyle w:val="Heading1"/>
        <w:spacing w:after="160" w:before="360" w:line="312"/>
      </w:pPr>
      <w:bookmarkStart w:id="100029" w:name="_Toc100029"/>
      <w:r>
        <w:rPr>
          <w:rFonts w:ascii="Arial" w:eastAsia="SimHei"/>
          <w:b/>
          <w:bCs/>
          <w:color w:val="162235"/>
          <w:sz w:val="32"/>
          <w:szCs w:val="32"/>
        </w:rPr>
        <w:t xml:space="preserve">8. Professional UI/UX Standards: Eliminating AI-Flag Work</w:t>
      </w:r>
      <w:bookmarkEnd w:id="100029"/>
    </w:p>
    <w:p>
      <w:pPr>
        <w:spacing w:after="120" w:line="312"/>
        <w:ind w:firstLine="360"/>
        <w:jc w:val="both"/>
      </w:pPr>
      <w:r>
        <w:rPr>
          <w:rFonts w:ascii="Times New Roman" w:eastAsia="SimSun"/>
          <w:color w:val="000000"/>
          <w:sz w:val="24"/>
          <w:szCs w:val="24"/>
        </w:rPr>
        <w:t xml:space="preserve">This section addresses the user-interface and user-experience standards that distinguish a professional product from AI-flag work. AI-flag work is the term that the practitioner community uses to describe output that is visibly, instantly recognizable as AI-generated, and that fails the credibility test with any sophisticated audience. The characteristics of AI-flag work are generic typography, default color palettes, predictable layout patterns, the absence of motion and micro-interaction, and a uniformity of aesthetic that signals the absence of a human designer. The elimination of AI-flag work is not a matter of taste; it is a commercial necessity, because the audience that pays for software, particularly business buyers, has developed a strong negative association with AI-flag work and will discount or reject products that exhibit it. This section provides the standards that, when loaded as context and specified in the prompt, direct the AI agent to produce output that meets professional design standards.</w:t>
      </w:r>
    </w:p>
    <w:p>
      <w:pPr>
        <w:pStyle w:val="Heading2"/>
        <w:spacing w:after="120" w:before="280" w:line="312"/>
      </w:pPr>
      <w:bookmarkStart w:id="100030" w:name="_Toc100030"/>
      <w:r>
        <w:rPr>
          <w:rFonts w:ascii="Arial" w:eastAsia="SimHei"/>
          <w:b/>
          <w:bCs/>
          <w:color w:val="162235"/>
          <w:sz w:val="28"/>
          <w:szCs w:val="28"/>
        </w:rPr>
        <w:t xml:space="preserve">8.1 Typography Systems</w:t>
      </w:r>
      <w:bookmarkEnd w:id="100030"/>
    </w:p>
    <w:p>
      <w:pPr>
        <w:spacing w:after="120" w:line="312"/>
        <w:ind w:firstLine="360"/>
        <w:jc w:val="both"/>
      </w:pPr>
      <w:r>
        <w:rPr>
          <w:rFonts w:ascii="Times New Roman" w:eastAsia="SimSun"/>
          <w:color w:val="000000"/>
          <w:sz w:val="24"/>
          <w:szCs w:val="24"/>
        </w:rPr>
        <w:t xml:space="preserve">Typography is the most consequential element of a professional interface, and it is the element that AI-flag work most consistently gets wrong. The default behavior of an AI agent asked to build a website is to use a single sans-serif font, typically the system font or Inter, at a small set of sizes, with default line heights and default letter spacing. The result is legible but generic, and it is the single most reliable signal that the interface was AI-generated. A professional typography system, by contrast, uses a type scale with a mathematical ratio, a deliberate font pairing, and explicit control of line height, letter spacing, and weight.</w:t>
      </w:r>
    </w:p>
    <w:p>
      <w:pPr>
        <w:spacing w:after="120" w:line="312"/>
        <w:ind w:firstLine="360"/>
        <w:jc w:val="both"/>
      </w:pPr>
      <w:r>
        <w:rPr>
          <w:rFonts w:ascii="Times New Roman" w:eastAsia="SimSun"/>
          <w:color w:val="000000"/>
          <w:sz w:val="24"/>
          <w:szCs w:val="24"/>
        </w:rPr>
        <w:t xml:space="preserve">The type scale is the foundation. Practitioner sources recommend a ratio of 1.25, known as the Major Third, which produces a scale of sizes that has visual rhythm without being noisy. The scale defines the body text at 16 pixels, the small text at 12.8 pixels, the heading levels at 20, 25, 31.25, and 39 pixels, and the display text at 39 pixels or above. The line height is set at 1.4 to 1.6 times the font size for body text and tighter, at 1.1 to 1.2, for large headings. The letter spacing is set slightly negative for large headings and slightly positive for small caps and labels. The font pairing combines a rational sans-serif for the body and UI text, with a more characterful face for the display headings; the practitioner recommendation for Inter, the most common UI font, is to pair it with a more distinctive face such as a contemporary serif or a geometric sans, because Inter alone in headings looks generic.</w:t>
      </w:r>
    </w:p>
    <w:p>
      <w:pPr>
        <w:keepNext/>
        <w:spacing w:after="100" w:before="200" w:line="312"/>
        <w:jc w:val="left"/>
      </w:pPr>
      <w:r>
        <w:rPr>
          <w:rFonts w:ascii="Arial" w:eastAsia="SimHei"/>
          <w:b/>
          <w:bCs/>
          <w:color w:val="162235"/>
          <w:sz w:val="22"/>
          <w:szCs w:val="22"/>
        </w:rPr>
        <w:t xml:space="preserve">Table 4: A Professional Type Scale (Major Third, 1.25 Ratio)</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gridCol w:w="100"/>
      </w:tblGrid>
      <w:tr>
        <w:trPr>
          <w:cantSplit/>
          <w:tblHeader/>
        </w:trPr>
        <w:tc>
          <w:tcPr>
            <w:tcW w:type="pct" w:w="1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Step</w:t>
            </w:r>
          </w:p>
        </w:tc>
        <w:tc>
          <w:tcPr>
            <w:tcW w:type="pct" w:w="1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Size</w:t>
            </w:r>
          </w:p>
        </w:tc>
        <w:tc>
          <w:tcPr>
            <w:tcW w:type="pct" w:w="1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Line Height</w:t>
            </w:r>
          </w:p>
        </w:tc>
        <w:tc>
          <w:tcPr>
            <w:tcW w:type="pct" w:w="2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Letter Spacing</w:t>
            </w:r>
          </w:p>
        </w:tc>
        <w:tc>
          <w:tcPr>
            <w:tcW w:type="pct" w:w="34%"/>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Use</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-2</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10.24px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1.6</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+0.04em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Captions, labels, overlines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-1</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12.8px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1.6</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+0.02em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Secondary text, footnotes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0</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16px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1.5</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Body text, form inputs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1</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20px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1.4</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-0.01em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H4, large body, card titles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2</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25px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1.3</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-0.02em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H3, section headings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3</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31.25px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1.2</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-0.02em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H2, page headings</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4</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39px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1.1</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-0.03em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H1, display</w:t>
            </w:r>
          </w:p>
        </w:tc>
      </w:tr>
      <w:tr>
        <w:trPr>
          <w:cantSplit/>
        </w:trPr>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5</w:t>
            </w:r>
          </w:p>
        </w:tc>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48.8px</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1.05</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-0.03em</w:t>
            </w:r>
          </w:p>
        </w:tc>
        <w:tc>
          <w:tcPr>
            <w:tcW w:type="pct" w:w="34%"/>
            <w:tcMar>
              <w:top w:type="dxa" w:w="70"/>
              <w:left w:type="dxa" w:w="120"/>
              <w:bottom w:type="dxa" w:w="70"/>
              <w:right w:type="dxa" w:w="120"/>
            </w:tcMar>
          </w:tcPr>
          <w:p>
            <w:pPr>
              <w:spacing w:line="276"/>
              <w:jc w:val="left"/>
            </w:pPr>
            <w:r>
              <w:rPr>
                <w:rFonts w:ascii="Times New Roman" w:eastAsia="SimSun"/>
                <w:color w:val="000000"/>
                <w:sz w:val="20"/>
                <w:szCs w:val="20"/>
              </w:rPr>
              <w:t xml:space="preserve">Hero display</w:t>
            </w:r>
          </w:p>
        </w:tc>
      </w:tr>
    </w:tbl>
    <w:p>
      <w:pPr>
        <w:spacing w:after="200" w:before="80" w:line="312"/>
        <w:jc w:val="center"/>
      </w:pPr>
      <w:r>
        <w:rPr>
          <w:rFonts w:ascii="Times New Roman" w:eastAsia="SimSun"/>
          <w:i/>
          <w:iCs/>
          <w:color w:val="606060"/>
          <w:sz w:val="20"/>
          <w:szCs w:val="20"/>
        </w:rPr>
        <w:t xml:space="preserve">Table 4: A professional type scale based on the Major Third ratio of 1.25. The scale defines eight steps from caption to hero display, each with an explicit size, line height, and letter spacing. Loading this scale as context and specifying it in the prompt eliminates the generic typography that is the primary signal of AI-flag work.</w:t>
      </w:r>
    </w:p>
    <w:p>
      <w:pPr>
        <w:pStyle w:val="Heading2"/>
        <w:spacing w:after="120" w:before="280" w:line="312"/>
      </w:pPr>
      <w:bookmarkStart w:id="100031" w:name="_Toc100031"/>
      <w:r>
        <w:rPr>
          <w:rFonts w:ascii="Arial" w:eastAsia="SimHei"/>
          <w:b/>
          <w:bCs/>
          <w:color w:val="162235"/>
          <w:sz w:val="28"/>
          <w:szCs w:val="28"/>
        </w:rPr>
        <w:t xml:space="preserve">8.2 Motion Design Principles</w:t>
      </w:r>
      <w:bookmarkEnd w:id="100031"/>
    </w:p>
    <w:p>
      <w:pPr>
        <w:spacing w:after="120" w:line="312"/>
        <w:ind w:firstLine="360"/>
        <w:jc w:val="both"/>
      </w:pPr>
      <w:r>
        <w:rPr>
          <w:rFonts w:ascii="Times New Roman" w:eastAsia="SimSun"/>
          <w:color w:val="000000"/>
          <w:sz w:val="24"/>
          <w:szCs w:val="24"/>
        </w:rPr>
        <w:t xml:space="preserve">Motion is the element that most distinguishes a professional interface from a static one, and it is the element that AI-flag work most consistently omits. The UX in Motion Manifesto, a widely cited practitioner reference, identifies twelve principles of motion design that support usability: easing, offset and delay, parenting, transformation, value change, masking, overlay, cloning, obscuration, parallax, dimensionality, and dolly and zoom. These principles are not decorative; they are the rules that govern how elements enter, exit, and respond to interaction, and they give users the spatial and temporal cues needed to understand what just happened and what to do next. An interface without motion is intelligible but feels broken; an interface with purposeful motion feels intuitive and trustworthy.</w:t>
      </w:r>
    </w:p>
    <w:p>
      <w:pPr>
        <w:spacing w:after="120" w:line="312"/>
        <w:ind w:firstLine="360"/>
        <w:jc w:val="both"/>
      </w:pPr>
      <w:r>
        <w:rPr>
          <w:rFonts w:ascii="Times New Roman" w:eastAsia="SimSun"/>
          <w:color w:val="000000"/>
          <w:sz w:val="24"/>
          <w:szCs w:val="24"/>
        </w:rPr>
        <w:t xml:space="preserve">The implementation of motion in a modern web application uses the CSS transition and animation properties for simple effects and a JavaScript animation library such as Framer Motion for more complex, orchestrated effects. The key parameters are the duration, the easing curve, and the trigger. The duration for micro-interactions is 150 to 300 milliseconds; shorter feels abrupt, longer feels sluggish. The easing curve should mimic natural motion, with a fast start and a slow finish, typically implemented as a cubic-bezier with values such as 0.16, 1, 0.3, 1, known as easeOutExpo. The trigger is the user action or the state change that initiates the motion, and it must be perceptible: a motion that the user cannot connect to a trigger feels random rather than responsive.</w:t>
      </w:r>
    </w:p>
    <w:p>
      <w:pPr>
        <w:spacing w:after="120" w:line="312"/>
        <w:ind w:firstLine="360"/>
        <w:jc w:val="both"/>
      </w:pPr>
      <w:r>
        <w:rPr>
          <w:rFonts w:ascii="Times New Roman" w:eastAsia="SimSun"/>
          <w:color w:val="000000"/>
          <w:sz w:val="24"/>
          <w:szCs w:val="24"/>
        </w:rPr>
        <w:t xml:space="preserve">Micro-interactions are the smallest unit of motion, and they are the unit that most defines the feel of a product. A micro-interaction is a small, functional animation that performs a single task: a button that depresses on click, a toggle that slides on activation, a notification that slides in and fades out, a form field that highlights on focus. The discipline of micro-interaction design is to use motion to provide feedback, to show the result of an action, and to guide the user's attention, without using motion that delays the user or that draws attention to itself. A product with well-designed micro-interactions feels responsive and considered; a product without them feels flat and unfinished, and it is a reliable signal of AI-flag work.</w:t>
      </w:r>
    </w:p>
    <w:p>
      <w:pPr>
        <w:pStyle w:val="Heading2"/>
        <w:spacing w:after="120" w:before="280" w:line="312"/>
      </w:pPr>
      <w:bookmarkStart w:id="100032" w:name="_Toc100032"/>
      <w:r>
        <w:rPr>
          <w:rFonts w:ascii="Arial" w:eastAsia="SimHei"/>
          <w:b/>
          <w:bCs/>
          <w:color w:val="162235"/>
          <w:sz w:val="28"/>
          <w:szCs w:val="28"/>
        </w:rPr>
        <w:t xml:space="preserve">8.3 Transparency, Layering, and Depth</w:t>
      </w:r>
      <w:bookmarkEnd w:id="100032"/>
    </w:p>
    <w:p>
      <w:pPr>
        <w:spacing w:after="120" w:line="312"/>
        <w:ind w:firstLine="360"/>
        <w:jc w:val="both"/>
      </w:pPr>
      <w:r>
        <w:rPr>
          <w:rFonts w:ascii="Times New Roman" w:eastAsia="SimSun"/>
          <w:color w:val="000000"/>
          <w:sz w:val="24"/>
          <w:szCs w:val="24"/>
        </w:rPr>
        <w:t xml:space="preserve">Transparency and layering are the techniques that create a sense of depth in a flat interface, and they are techniques that AI-flag work typically applies poorly or not at all. The default behavior of an AI agent is to use solid colors and flat surfaces, which produces an interface that is legible but that lacks the visual hierarchy that guides the user's attention. A professional interface uses a small number of elevation levels, each defined by a combination of background color, border, and shadow, to communicate the relative importance and the relative interactivity of the elements. A card that sits on the page has a subtle shadow; a card that the user can pick up and move has a stronger shadow; a modal that overlays the page has the strongest shadow and a translucent backdrop that dims the underlying content.</w:t>
      </w:r>
    </w:p>
    <w:p>
      <w:pPr>
        <w:spacing w:after="120" w:line="312"/>
        <w:ind w:firstLine="360"/>
        <w:jc w:val="both"/>
      </w:pPr>
      <w:r>
        <w:rPr>
          <w:rFonts w:ascii="Times New Roman" w:eastAsia="SimSun"/>
          <w:color w:val="000000"/>
          <w:sz w:val="24"/>
          <w:szCs w:val="24"/>
        </w:rPr>
        <w:t xml:space="preserve">The implementation of elevation uses the box-shadow property, with multiple shadows layered to create a realistic effect. A typical elevation system defines four or five levels, from level zero, which is the page background with no shadow, to level four, which is the modal or popover with a strong shadow and a translucent backdrop. The shadow values are defined in the design system and are applied consistently, so that the user's visual model of the interface's depth is stable. Translucency is used sparingly, for the backdrop of modals and for the blurring of content that sits behind a floating element, and it is implemented with the backdrop-filter property, which is now widely supported. The discipline is to use elevation and translucency to communicate hierarchy, not to decorate; an interface with too many elevation levels or excessive translucency feels noisy and unprofessional, and an interface with none feels flat and AI-generated.</w:t>
      </w:r>
    </w:p>
    <w:p>
      <w:pPr>
        <w:pStyle w:val="Heading2"/>
        <w:spacing w:after="120" w:before="280" w:line="312"/>
      </w:pPr>
      <w:bookmarkStart w:id="100033" w:name="_Toc100033"/>
      <w:r>
        <w:rPr>
          <w:rFonts w:ascii="Arial" w:eastAsia="SimHei"/>
          <w:b/>
          <w:bCs/>
          <w:color w:val="162235"/>
          <w:sz w:val="28"/>
          <w:szCs w:val="28"/>
        </w:rPr>
        <w:t xml:space="preserve">8.4 Color Systems</w:t>
      </w:r>
      <w:bookmarkEnd w:id="100033"/>
    </w:p>
    <w:p>
      <w:pPr>
        <w:spacing w:after="120" w:line="312"/>
        <w:ind w:firstLine="360"/>
        <w:jc w:val="both"/>
      </w:pPr>
      <w:r>
        <w:rPr>
          <w:rFonts w:ascii="Times New Roman" w:eastAsia="SimSun"/>
          <w:color w:val="000000"/>
          <w:sz w:val="24"/>
          <w:szCs w:val="24"/>
        </w:rPr>
        <w:t xml:space="preserve">The color system of a professional interface is defined by a small number of roles, each with a defined value, and the values are chosen to provide sufficient contrast for accessibility and sufficient variation for hierarchy. The roles are the primary brand color, the neutral palette for text and backgrounds, the semantic colors for success, warning, error, and information, and the accent colors for highlights and interactions. The neutral palette typically has ten steps, from near-white to near-black, and the steps are used for backgrounds, borders, and text. The primary color is used for the brand and for the primary calls to action. The semantic colors are used consistently: green for success, amber for warning, red for error, blue for information.</w:t>
      </w:r>
    </w:p>
    <w:p>
      <w:pPr>
        <w:spacing w:after="120" w:line="312"/>
        <w:ind w:firstLine="360"/>
        <w:jc w:val="both"/>
      </w:pPr>
      <w:r>
        <w:rPr>
          <w:rFonts w:ascii="Times New Roman" w:eastAsia="SimSun"/>
          <w:color w:val="000000"/>
          <w:sz w:val="24"/>
          <w:szCs w:val="24"/>
        </w:rPr>
        <w:t xml:space="preserve">The accessibility requirement is that text on its background meets the contrast ratio specified by WCAG 2.2: 4.5 to 1 for normal text and 3 to 1 for large text. The color system must be designed so that the combinations used for text meet these ratios, and the combinations must be verified with an automated tool. The AI-flag failure mode is to choose colors for their aesthetic appeal without verifying the contrast, which produces an interface that looks good but that fails the accessibility audit and that is unusable for users with low vision. The prompt that directs the AI agent to implement the color system must specify the roles, the values, and the contrast verification, and the verification gate must include an automated contrast check.</w:t>
      </w:r>
    </w:p>
    <w:p>
      <w:pPr>
        <w:pStyle w:val="Heading2"/>
        <w:spacing w:after="120" w:before="280" w:line="312"/>
      </w:pPr>
      <w:bookmarkStart w:id="100034" w:name="_Toc100034"/>
      <w:r>
        <w:rPr>
          <w:rFonts w:ascii="Arial" w:eastAsia="SimHei"/>
          <w:b/>
          <w:bCs/>
          <w:color w:val="162235"/>
          <w:sz w:val="28"/>
          <w:szCs w:val="28"/>
        </w:rPr>
        <w:t xml:space="preserve">8.5 The Landing Page Anatomy</w:t>
      </w:r>
      <w:bookmarkEnd w:id="100034"/>
    </w:p>
    <w:p>
      <w:pPr>
        <w:spacing w:after="120" w:line="312"/>
        <w:ind w:firstLine="360"/>
        <w:jc w:val="both"/>
      </w:pPr>
      <w:r>
        <w:rPr>
          <w:rFonts w:ascii="Times New Roman" w:eastAsia="SimSun"/>
          <w:color w:val="000000"/>
          <w:sz w:val="24"/>
          <w:szCs w:val="24"/>
        </w:rPr>
        <w:t xml:space="preserve">The landing page is the highest-stakes surface of a commercial product, because it is where the conversion decision is made, and its design is governed by a structural anatomy that practitioner sources have validated through conversion-rate analysis. The industry median landing-page conversion rate is 6.6 percent, but the top 25 percent of pages convert at over 10 percent and the bottom 25 percent convert below 3 percent, a three-times performance gap driven almost entirely by design and structure decisions rather than by traffic quality. The anatomy that the top-performing pages share is consistent, and it is the anatomy that the prompt must specify.</w:t>
      </w:r>
    </w:p>
    <w:p>
      <w:pPr>
        <w:keepNext/>
        <w:spacing w:after="100" w:before="200" w:line="312"/>
        <w:jc w:val="left"/>
      </w:pPr>
      <w:r>
        <w:rPr>
          <w:rFonts w:ascii="Arial" w:eastAsia="SimHei"/>
          <w:b/>
          <w:bCs/>
          <w:color w:val="162235"/>
          <w:sz w:val="22"/>
          <w:szCs w:val="22"/>
        </w:rPr>
        <w:t xml:space="preserve">Table 5: The Anatomy of a High-Converting Landing Page</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tblGrid>
      <w:tr>
        <w:trPr>
          <w:cantSplit/>
          <w:tblHeader/>
        </w:trPr>
        <w:tc>
          <w:tcPr>
            <w:tcW w:type="pct" w:w="1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Section</w:t>
            </w:r>
          </w:p>
        </w:tc>
        <w:tc>
          <w:tcPr>
            <w:tcW w:type="pct" w:w="3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Purpose</w:t>
            </w:r>
          </w:p>
        </w:tc>
        <w:tc>
          <w:tcPr>
            <w:tcW w:type="pct" w:w="54%"/>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Content</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Navigation</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Orient the visitor; provide the primary CTA</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Logo, 3-5 nav links, primary CTA button</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Hero</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Communicate the value proposition in 5 seconds</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Headline (outcome, not feature), subheadline, primary CTA, hero visual showing the product in use</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Social Proof</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Establish credibility immediately</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Logos of recognizable customers, a compelling metric (e.g., '7,000+ teams'), a testimonial quote</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Problem and Solution</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Show the visitor that their problem is understood and solved</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The problem stated in the visitor's language; the solution with 3-5 features, each with a benefit</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How It Works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Reduce perceived complexity of adoption</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3-4 steps, each with a visual and a one-sentence description; the first step should be 'sign up in 30 seconds'</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Feature Deep-Dives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Provide the detail that the evaluator needs</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Alternating image-text sections, each covering one feature with a specific benefit and a screenshot</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Pricing</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Remove uncertainty about cost</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3 tiers (most popular highlighted), clear feature comparison, annual vs monthly toggle</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FAQ</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Address the remaining objections</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6-10 questions that the sales team hears most often, each with a concise answer</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Final CTA</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Capture the visitor who scrolled to the bottom</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Restate the value proposition, primary CTA, a risk-reversal element (e.g., 'no credit card required')</w:t>
            </w:r>
          </w:p>
        </w:tc>
      </w:tr>
      <w:tr>
        <w:trPr>
          <w:cantSplit/>
        </w:trPr>
        <w:tc>
          <w:tcPr>
            <w:tcW w:type="pct" w:w="16%"/>
            <w:tcMar>
              <w:top w:type="dxa" w:w="70"/>
              <w:left w:type="dxa" w:w="120"/>
              <w:bottom w:type="dxa" w:w="70"/>
              <w:right w:type="dxa" w:w="120"/>
            </w:tcMar>
          </w:tcPr>
          <w:p>
            <w:pPr>
              <w:spacing w:line="276"/>
              <w:jc w:val="left"/>
            </w:pPr>
            <w:r>
              <w:rPr>
                <w:rFonts w:ascii="Times New Roman" w:eastAsia="SimSun"/>
                <w:color w:val="000000"/>
                <w:sz w:val="20"/>
                <w:szCs w:val="20"/>
              </w:rPr>
              <w:t xml:space="preserve">Footer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Provide secondary navigation and legal links</w:t>
            </w:r>
          </w:p>
        </w:tc>
        <w:tc>
          <w:tcPr>
            <w:tcW w:type="pct" w:w="54%"/>
            <w:tcMar>
              <w:top w:type="dxa" w:w="70"/>
              <w:left w:type="dxa" w:w="120"/>
              <w:bottom w:type="dxa" w:w="70"/>
              <w:right w:type="dxa" w:w="120"/>
            </w:tcMar>
          </w:tcPr>
          <w:p>
            <w:pPr>
              <w:spacing w:line="276"/>
              <w:jc w:val="left"/>
            </w:pPr>
            <w:r>
              <w:rPr>
                <w:rFonts w:ascii="Times New Roman" w:eastAsia="SimSun"/>
                <w:color w:val="000000"/>
                <w:sz w:val="20"/>
                <w:szCs w:val="20"/>
              </w:rPr>
              <w:t xml:space="preserve">Product links, company links, legal links, social links</w:t>
            </w:r>
          </w:p>
        </w:tc>
      </w:tr>
    </w:tbl>
    <w:p>
      <w:pPr>
        <w:spacing w:after="200" w:before="80" w:line="312"/>
        <w:jc w:val="center"/>
      </w:pPr>
      <w:r>
        <w:rPr>
          <w:rFonts w:ascii="Times New Roman" w:eastAsia="SimSun"/>
          <w:i/>
          <w:iCs/>
          <w:color w:val="606060"/>
          <w:sz w:val="20"/>
          <w:szCs w:val="20"/>
        </w:rPr>
        <w:t xml:space="preserve">Table 5: The anatomy of a high-converting landing page, derived from the analysis of top-performing SaaS landing pages in 2026. Each section has a defined purpose and content; the structure is consistent across high-performers, and the deviation from it is consistent across low-performers.</w:t>
      </w:r>
    </w:p>
    <w:p>
      <w:pPr>
        <w:spacing w:after="120" w:line="312"/>
        <w:ind w:firstLine="360"/>
        <w:jc w:val="both"/>
      </w:pPr>
      <w:r>
        <w:rPr>
          <w:rFonts w:ascii="Times New Roman" w:eastAsia="SimSun"/>
          <w:color w:val="000000"/>
          <w:sz w:val="24"/>
          <w:szCs w:val="24"/>
        </w:rPr>
        <w:t xml:space="preserve">The prompt that directs the AI agent to build the landing page must specify this anatomy, the typography scale from Table 4, the motion principles from Section 8.2, and the elevation system from Section 8.3. The following is the prompt template for the landing page, which combines these specifications.</w:t>
      </w:r>
    </w:p>
    <w:tbl>
      <w:tblPr>
        <w:tblW w:type="pct" w:w="100%"/>
        <w:tblBorders>
          <w:top w:val="single" w:color="1B6B7A" w:sz="4"/>
          <w:left w:val="none"/>
          <w:bottom w:val="single" w:color="1B6B7A" w:sz="4"/>
          <w:right w:val="none"/>
          <w:insideH w:val="none"/>
          <w:insideV w:val="none"/>
        </w:tblBorders>
        <w:tblLayout w:type="fixed"/>
      </w:tblPr>
      <w:tblGrid>
        <w:gridCol w:w="100"/>
      </w:tblGrid>
      <w:tr>
        <w:trPr>
          <w:cantSplit w:val="false"/>
        </w:trPr>
        <w:tc>
          <w:tcPr>
            <w:tcW w:type="pct" w:w="100%"/>
            <w:shd w:fill="F1F5F9" w:val="clear"/>
            <w:tcMar>
              <w:top w:type="dxa" w:w="120"/>
              <w:left w:type="dxa" w:w="200"/>
              <w:bottom w:type="dxa" w:w="120"/>
              <w:right w:type="dxa" w:w="200"/>
            </w:tcMar>
          </w:tcPr>
          <w:p>
            <w:pPr>
              <w:spacing w:after="0" w:line="280"/>
            </w:pPr>
            <w:r>
              <w:rPr>
                <w:rFonts w:ascii="Consolas" w:eastAsia="Consolas"/>
                <w:color w:val="1F2937"/>
                <w:sz w:val="19"/>
                <w:szCs w:val="19"/>
              </w:rPr>
              <w:t xml:space="preserve">ROLE: Senior front-end engineer and UI designer, building the landing page for</w:t>
            </w:r>
          </w:p>
          <w:p>
            <w:pPr>
              <w:spacing w:after="0" w:line="280"/>
            </w:pPr>
            <w:r>
              <w:rPr>
                <w:rFonts w:ascii="Consolas" w:eastAsia="Consolas"/>
                <w:color w:val="1F2937"/>
                <w:sz w:val="19"/>
                <w:szCs w:val="19"/>
              </w:rPr>
              <w:t xml:space="preserve">[product]. The page must look like it was designed by a human design team,</w:t>
            </w:r>
          </w:p>
          <w:p>
            <w:pPr>
              <w:spacing w:after="0" w:line="280"/>
            </w:pPr>
            <w:r>
              <w:rPr>
                <w:rFonts w:ascii="Consolas" w:eastAsia="Consolas"/>
                <w:color w:val="1F2937"/>
                <w:sz w:val="19"/>
                <w:szCs w:val="19"/>
              </w:rPr>
              <w:t xml:space="preserve">not generated by an AI. It must convert.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CONTEXT TO LOAD:</w:t>
            </w:r>
          </w:p>
          <w:p>
            <w:pPr>
              <w:spacing w:after="0" w:line="280"/>
            </w:pPr>
            <w:r>
              <w:rPr>
                <w:rFonts w:ascii="Consolas" w:eastAsia="Consolas"/>
                <w:color w:val="1F2937"/>
                <w:sz w:val="19"/>
                <w:szCs w:val="19"/>
              </w:rPr>
              <w:t xml:space="preserve">- The landing page anatomy from Table 5 of the Prompting AI Builder Agents guide.</w:t>
            </w:r>
          </w:p>
          <w:p>
            <w:pPr>
              <w:spacing w:after="0" w:line="280"/>
            </w:pPr>
            <w:r>
              <w:rPr>
                <w:rFonts w:ascii="Consolas" w:eastAsia="Consolas"/>
                <w:color w:val="1F2937"/>
                <w:sz w:val="19"/>
                <w:szCs w:val="19"/>
              </w:rPr>
              <w:t xml:space="preserve">- The typography scale from Table 4 (Major Third, 1.25 ratio).</w:t>
            </w:r>
          </w:p>
          <w:p>
            <w:pPr>
              <w:spacing w:after="0" w:line="280"/>
            </w:pPr>
            <w:r>
              <w:rPr>
                <w:rFonts w:ascii="Consolas" w:eastAsia="Consolas"/>
                <w:color w:val="1F2937"/>
                <w:sz w:val="19"/>
                <w:szCs w:val="19"/>
              </w:rPr>
              <w:t xml:space="preserve">- The motion design principles (easing, offset and delay, transformation,</w:t>
            </w:r>
          </w:p>
          <w:p>
            <w:pPr>
              <w:spacing w:after="0" w:line="280"/>
            </w:pPr>
            <w:r>
              <w:rPr>
                <w:rFonts w:ascii="Consolas" w:eastAsia="Consolas"/>
                <w:color w:val="1F2937"/>
                <w:sz w:val="19"/>
                <w:szCs w:val="19"/>
              </w:rPr>
              <w:t xml:space="preserve">  value change, masking, parallax).</w:t>
            </w:r>
          </w:p>
          <w:p>
            <w:pPr>
              <w:spacing w:after="0" w:line="280"/>
            </w:pPr>
            <w:r>
              <w:rPr>
                <w:rFonts w:ascii="Consolas" w:eastAsia="Consolas"/>
                <w:color w:val="1F2937"/>
                <w:sz w:val="19"/>
                <w:szCs w:val="19"/>
              </w:rPr>
              <w:t xml:space="preserve">- The elevation system (4 levels, defined box-shadow values, translucent</w:t>
            </w:r>
          </w:p>
          <w:p>
            <w:pPr>
              <w:spacing w:after="0" w:line="280"/>
            </w:pPr>
            <w:r>
              <w:rPr>
                <w:rFonts w:ascii="Consolas" w:eastAsia="Consolas"/>
                <w:color w:val="1F2937"/>
                <w:sz w:val="19"/>
                <w:szCs w:val="19"/>
              </w:rPr>
              <w:t xml:space="preserve">  modal backdrop).</w:t>
            </w:r>
          </w:p>
          <w:p>
            <w:pPr>
              <w:spacing w:after="0" w:line="280"/>
            </w:pPr>
            <w:r>
              <w:rPr>
                <w:rFonts w:ascii="Consolas" w:eastAsia="Consolas"/>
                <w:color w:val="1F2937"/>
                <w:sz w:val="19"/>
                <w:szCs w:val="19"/>
              </w:rPr>
              <w:t xml:space="preserve">- The color system (primary, neutral 10-step palette, semantic colors,</w:t>
            </w:r>
          </w:p>
          <w:p>
            <w:pPr>
              <w:spacing w:after="0" w:line="280"/>
            </w:pPr>
            <w:r>
              <w:rPr>
                <w:rFonts w:ascii="Consolas" w:eastAsia="Consolas"/>
                <w:color w:val="1F2937"/>
                <w:sz w:val="19"/>
                <w:szCs w:val="19"/>
              </w:rPr>
              <w:t xml:space="preserve">  WCAG 2.2 AA contrast verified).</w:t>
            </w:r>
          </w:p>
          <w:p>
            <w:pPr>
              <w:spacing w:after="0" w:line="280"/>
            </w:pPr>
            <w:r>
              <w:rPr>
                <w:rFonts w:ascii="Consolas" w:eastAsia="Consolas"/>
                <w:color w:val="1F2937"/>
                <w:sz w:val="19"/>
                <w:szCs w:val="19"/>
              </w:rPr>
              <w:t xml:space="preserve">- Target stack: Next.js 16, Tailwind CSS 4, Framer Motion for orchestrated</w:t>
            </w:r>
          </w:p>
          <w:p>
            <w:pPr>
              <w:spacing w:after="0" w:line="280"/>
            </w:pPr>
            <w:r>
              <w:rPr>
                <w:rFonts w:ascii="Consolas" w:eastAsia="Consolas"/>
                <w:color w:val="1F2937"/>
                <w:sz w:val="19"/>
                <w:szCs w:val="19"/>
              </w:rPr>
              <w:t xml:space="preserve">  animations, Radix UI for accessible primitives.</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TASK: Build the landing page with all ten sections from the anatomy.</w:t>
            </w:r>
          </w:p>
          <w:p>
            <w:pPr>
              <w:spacing w:after="0" w:line="280"/>
            </w:pPr>
            <w:r>
              <w:rPr>
                <w:rFonts w:ascii="Consolas" w:eastAsia="Consolas"/>
                <w:color w:val="1F2937"/>
                <w:sz w:val="19"/>
                <w:szCs w:val="19"/>
              </w:rPr>
              <w:t xml:space="preserve">  (a) Implement the typography scale as Tailwind theme extensions.</w:t>
            </w:r>
          </w:p>
          <w:p>
            <w:pPr>
              <w:spacing w:after="0" w:line="280"/>
            </w:pPr>
            <w:r>
              <w:rPr>
                <w:rFonts w:ascii="Consolas" w:eastAsia="Consolas"/>
                <w:color w:val="1F2937"/>
                <w:sz w:val="19"/>
                <w:szCs w:val="19"/>
              </w:rPr>
              <w:t xml:space="preserve">  (b) Implement the color system as CSS variables, with the contrast verified.</w:t>
            </w:r>
          </w:p>
          <w:p>
            <w:pPr>
              <w:spacing w:after="0" w:line="280"/>
            </w:pPr>
            <w:r>
              <w:rPr>
                <w:rFonts w:ascii="Consolas" w:eastAsia="Consolas"/>
                <w:color w:val="1F2937"/>
                <w:sz w:val="19"/>
                <w:szCs w:val="19"/>
              </w:rPr>
              <w:t xml:space="preserve">  (c) Implement the elevation system as Tailwind utilities.</w:t>
            </w:r>
          </w:p>
          <w:p>
            <w:pPr>
              <w:spacing w:after="0" w:line="280"/>
            </w:pPr>
            <w:r>
              <w:rPr>
                <w:rFonts w:ascii="Consolas" w:eastAsia="Consolas"/>
                <w:color w:val="1F2937"/>
                <w:sz w:val="19"/>
                <w:szCs w:val="19"/>
              </w:rPr>
              <w:t xml:space="preserve">  (d) For each section, implement the content and the layout per the anatomy.</w:t>
            </w:r>
          </w:p>
          <w:p>
            <w:pPr>
              <w:spacing w:after="0" w:line="280"/>
            </w:pPr>
            <w:r>
              <w:rPr>
                <w:rFonts w:ascii="Consolas" w:eastAsia="Consolas"/>
                <w:color w:val="1F2937"/>
                <w:sz w:val="19"/>
                <w:szCs w:val="19"/>
              </w:rPr>
              <w:t xml:space="preserve">  (e) Add motion: hero text fades and rises on load; feature sections</w:t>
            </w:r>
          </w:p>
          <w:p>
            <w:pPr>
              <w:spacing w:after="0" w:line="280"/>
            </w:pPr>
            <w:r>
              <w:rPr>
                <w:rFonts w:ascii="Consolas" w:eastAsia="Consolas"/>
                <w:color w:val="1F2937"/>
                <w:sz w:val="19"/>
                <w:szCs w:val="19"/>
              </w:rPr>
              <w:t xml:space="preserve">      fade in on scroll (IntersectionObserver); the primary CTA has a</w:t>
            </w:r>
          </w:p>
          <w:p>
            <w:pPr>
              <w:spacing w:after="0" w:line="280"/>
            </w:pPr>
            <w:r>
              <w:rPr>
                <w:rFonts w:ascii="Consolas" w:eastAsia="Consolas"/>
                <w:color w:val="1F2937"/>
                <w:sz w:val="19"/>
                <w:szCs w:val="19"/>
              </w:rPr>
              <w:t xml:space="preserve">      micro-interaction on hover (scale 1.02, 150ms, easeOutExpo).</w:t>
            </w:r>
          </w:p>
          <w:p>
            <w:pPr>
              <w:spacing w:after="0" w:line="280"/>
            </w:pPr>
            <w:r>
              <w:rPr>
                <w:rFonts w:ascii="Consolas" w:eastAsia="Consolas"/>
                <w:color w:val="1F2937"/>
                <w:sz w:val="19"/>
                <w:szCs w:val="19"/>
              </w:rPr>
              <w:t xml:space="preserve">  (f) Ensure WCAG 2.2 AA: keyboard-operable, screen-reader-announced,</w:t>
            </w:r>
          </w:p>
          <w:p>
            <w:pPr>
              <w:spacing w:after="0" w:line="280"/>
            </w:pPr>
            <w:r>
              <w:rPr>
                <w:rFonts w:ascii="Consolas" w:eastAsia="Consolas"/>
                <w:color w:val="1F2937"/>
                <w:sz w:val="19"/>
                <w:szCs w:val="19"/>
              </w:rPr>
              <w:t xml:space="preserve">      contrast verified, focus visible.</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ACCEPTANCE CRITERIA:</w:t>
            </w:r>
          </w:p>
          <w:p>
            <w:pPr>
              <w:spacing w:after="0" w:line="280"/>
            </w:pPr>
            <w:r>
              <w:rPr>
                <w:rFonts w:ascii="Consolas" w:eastAsia="Consolas"/>
                <w:color w:val="1F2937"/>
                <w:sz w:val="19"/>
                <w:szCs w:val="19"/>
              </w:rPr>
              <w:t xml:space="preserve">- All ten sections present, in order, with the specified content.</w:t>
            </w:r>
          </w:p>
          <w:p>
            <w:pPr>
              <w:spacing w:after="0" w:line="280"/>
            </w:pPr>
            <w:r>
              <w:rPr>
                <w:rFonts w:ascii="Consolas" w:eastAsia="Consolas"/>
                <w:color w:val="1F2937"/>
                <w:sz w:val="19"/>
                <w:szCs w:val="19"/>
              </w:rPr>
              <w:t xml:space="preserve">- The typography uses the scale, not default sizes.</w:t>
            </w:r>
          </w:p>
          <w:p>
            <w:pPr>
              <w:spacing w:after="0" w:line="280"/>
            </w:pPr>
            <w:r>
              <w:rPr>
                <w:rFonts w:ascii="Consolas" w:eastAsia="Consolas"/>
                <w:color w:val="1F2937"/>
                <w:sz w:val="19"/>
                <w:szCs w:val="19"/>
              </w:rPr>
              <w:t xml:space="preserve">- Motion is present and purposeful, not decorative.</w:t>
            </w:r>
          </w:p>
          <w:p>
            <w:pPr>
              <w:spacing w:after="0" w:line="280"/>
            </w:pPr>
            <w:r>
              <w:rPr>
                <w:rFonts w:ascii="Consolas" w:eastAsia="Consolas"/>
                <w:color w:val="1F2937"/>
                <w:sz w:val="19"/>
                <w:szCs w:val="19"/>
              </w:rPr>
              <w:t xml:space="preserve">- axe-core reports zero violations.</w:t>
            </w:r>
          </w:p>
          <w:p>
            <w:pPr>
              <w:spacing w:after="0" w:line="280"/>
            </w:pPr>
            <w:r>
              <w:rPr>
                <w:rFonts w:ascii="Consolas" w:eastAsia="Consolas"/>
                <w:color w:val="1F2937"/>
                <w:sz w:val="19"/>
                <w:szCs w:val="19"/>
              </w:rPr>
              <w:t xml:space="preserve">- Lighthouse performance score &gt;= 90.</w:t>
            </w:r>
          </w:p>
          <w:p>
            <w:pPr>
              <w:spacing w:after="0" w:line="280"/>
            </w:pPr>
            <w:r>
              <w:rPr>
                <w:rFonts w:ascii="Consolas" w:eastAsia="Consolas"/>
                <w:color w:val="1F2937"/>
                <w:sz w:val="19"/>
                <w:szCs w:val="19"/>
              </w:rPr>
              <w:t xml:space="preserve">- The page does not look AI-generated (builder judgment).</w:t>
            </w:r>
          </w:p>
          <w:p>
            <w:pPr>
              <w:spacing w:after="0" w:line="280"/>
            </w:pPr>
            <w:r>
              <w:rPr>
                <w:rFonts w:ascii="Consolas" w:eastAsia="Consolas"/>
                <w:color w:val="1F2937"/>
                <w:sz w:val="19"/>
                <w:szCs w:val="19"/>
              </w:rPr>
              <w:t xml:space="preserve"> </w:t>
            </w:r>
          </w:p>
          <w:p>
            <w:pPr>
              <w:spacing w:after="0" w:line="280"/>
            </w:pPr>
            <w:r>
              <w:rPr>
                <w:rFonts w:ascii="Consolas" w:eastAsia="Consolas"/>
                <w:color w:val="1F2937"/>
                <w:sz w:val="19"/>
                <w:szCs w:val="19"/>
              </w:rPr>
              <w:t xml:space="preserve">VERIFICATION GATE:</w:t>
            </w:r>
          </w:p>
          <w:p>
            <w:pPr>
              <w:spacing w:after="0" w:line="280"/>
            </w:pPr>
            <w:r>
              <w:rPr>
                <w:rFonts w:ascii="Consolas" w:eastAsia="Consolas"/>
                <w:color w:val="1F2937"/>
                <w:sz w:val="19"/>
                <w:szCs w:val="19"/>
              </w:rPr>
              <w:t xml:space="preserve">- Run: npm run build &amp;&amp; npm run test:a11y &amp;&amp; npm run lighthouse</w:t>
            </w:r>
          </w:p>
          <w:p>
            <w:pPr>
              <w:spacing w:after="0" w:line="280"/>
            </w:pPr>
            <w:r>
              <w:rPr>
                <w:rFonts w:ascii="Consolas" w:eastAsia="Consolas"/>
                <w:color w:val="1F2937"/>
                <w:sz w:val="19"/>
                <w:szCs w:val="19"/>
              </w:rPr>
              <w:t xml:space="preserve">- Pass condition: build succeeds, zero axe violations, Lighthouse &gt;= 90.</w:t>
            </w:r>
          </w:p>
          <w:p>
            <w:pPr>
              <w:spacing w:after="0" w:line="280"/>
            </w:pPr>
            <w:r>
              <w:rPr>
                <w:rFonts w:ascii="Consolas" w:eastAsia="Consolas"/>
                <w:color w:val="1F2937"/>
                <w:sz w:val="19"/>
                <w:szCs w:val="19"/>
              </w:rPr>
              <w:t xml:space="preserve">- Builder reviews the page and confirms it does not look AI-generated.</w:t>
            </w:r>
          </w:p>
        </w:tc>
      </w:tr>
    </w:tbl>
    <w:p>
      <w:pPr>
        <w:spacing w:after="120" w:line="312"/>
        <w:ind w:firstLine="360"/>
        <w:jc w:val="both"/>
      </w:pPr>
      <w:r>
        <w:rPr>
          <w:rFonts w:ascii="Times New Roman" w:eastAsia="SimSun"/>
          <w:color w:val="000000"/>
          <w:sz w:val="24"/>
          <w:szCs w:val="24"/>
        </w:rPr>
        <w:t xml:space="preserve">The final acceptance criterion, that the page does not look AI-generated, is a judgment that the builder must make, because the AI agent cannot reliably self-assess this property. The builder's review is the ultimate verification gate for the elimination of AI-flag work, and it is the gate that the prompt architecture cannot automate. The discipline of the review is to compare the output against the professional interfaces that the builder admires, to identify the specific elements that signal AI generation, and to re-prompt the agent to revise those elements. The iteration is the work, and the iteration is what produces a page that meets the professional standard.</w:t>
      </w:r>
    </w:p>
    <w:p>
      <w:pPr>
        <w:pStyle w:val="Heading1"/>
        <w:spacing w:after="160" w:before="360" w:line="312"/>
      </w:pPr>
      <w:bookmarkStart w:id="100035" w:name="_Toc100035"/>
      <w:r>
        <w:rPr>
          <w:rFonts w:ascii="Arial" w:eastAsia="SimHei"/>
          <w:b/>
          <w:bCs/>
          <w:color w:val="162235"/>
          <w:sz w:val="32"/>
          <w:szCs w:val="32"/>
        </w:rPr>
        <w:t xml:space="preserve">9. Multi-Agent Orchestration Patterns</w:t>
      </w:r>
      <w:bookmarkEnd w:id="100035"/>
    </w:p>
    <w:p>
      <w:pPr>
        <w:spacing w:after="120" w:line="312"/>
        <w:ind w:firstLine="360"/>
        <w:jc w:val="both"/>
      </w:pPr>
      <w:r>
        <w:rPr>
          <w:rFonts w:ascii="Times New Roman" w:eastAsia="SimSun"/>
          <w:color w:val="000000"/>
          <w:sz w:val="24"/>
          <w:szCs w:val="24"/>
        </w:rPr>
        <w:t xml:space="preserve">The multi-agent pattern, in which a planning agent decomposes the work and execution agents implement it in parallel, is the dominant approach for complex builds in 2026. This section defines the orchestration patterns that a builder uses to direct a multi-agent team, and it specifies the roles, the communication, and the integration that the pattern requires. The patterns are drawn from practitioner sources and from the foundation document's team-composition guidance, adapted for AI agents rather than human engineers.</w:t>
      </w:r>
    </w:p>
    <w:p>
      <w:pPr>
        <w:pStyle w:val="Heading2"/>
        <w:spacing w:after="120" w:before="280" w:line="312"/>
      </w:pPr>
      <w:bookmarkStart w:id="100036" w:name="_Toc100036"/>
      <w:r>
        <w:rPr>
          <w:rFonts w:ascii="Arial" w:eastAsia="SimHei"/>
          <w:b/>
          <w:bCs/>
          <w:color w:val="162235"/>
          <w:sz w:val="28"/>
          <w:szCs w:val="28"/>
        </w:rPr>
        <w:t xml:space="preserve">9.1 The Planning Agent</w:t>
      </w:r>
      <w:bookmarkEnd w:id="100036"/>
    </w:p>
    <w:p>
      <w:pPr>
        <w:spacing w:after="120" w:line="312"/>
        <w:ind w:firstLine="360"/>
        <w:jc w:val="both"/>
      </w:pPr>
      <w:r>
        <w:rPr>
          <w:rFonts w:ascii="Times New Roman" w:eastAsia="SimSun"/>
          <w:color w:val="000000"/>
          <w:sz w:val="24"/>
          <w:szCs w:val="24"/>
        </w:rPr>
        <w:t xml:space="preserve">The planning agent is the most capable and most expensive model in the team, and its role is to decompose the build into atomic tasks and to assign each task to an execution agent. The planning agent loads the foundation document sections as context, produces the context summary, and produces the task list that the execution agents will implement. The planning agent does not write code; it writes the plan that the execution agents follow. The choice of planning agent is consequential: a model that is too weak will produce a plan that is incomplete or inconsistent, and the execution agents will produce output that does not integrate. The recommended planning agents in 2026 are the frontier models from Anthropic and OpenAI, used with their full context windows and with the foundation document loaded as reference.</w:t>
      </w:r>
    </w:p>
    <w:p>
      <w:pPr>
        <w:pStyle w:val="Heading2"/>
        <w:spacing w:after="120" w:before="280" w:line="312"/>
      </w:pPr>
      <w:bookmarkStart w:id="100037" w:name="_Toc100037"/>
      <w:r>
        <w:rPr>
          <w:rFonts w:ascii="Arial" w:eastAsia="SimHei"/>
          <w:b/>
          <w:bCs/>
          <w:color w:val="162235"/>
          <w:sz w:val="28"/>
          <w:szCs w:val="28"/>
        </w:rPr>
        <w:t xml:space="preserve">9.2 The Execution Agents</w:t>
      </w:r>
      <w:bookmarkEnd w:id="100037"/>
    </w:p>
    <w:p>
      <w:pPr>
        <w:spacing w:after="120" w:line="312"/>
        <w:ind w:firstLine="360"/>
        <w:jc w:val="both"/>
      </w:pPr>
      <w:r>
        <w:rPr>
          <w:rFonts w:ascii="Times New Roman" w:eastAsia="SimSun"/>
          <w:color w:val="000000"/>
          <w:sz w:val="24"/>
          <w:szCs w:val="24"/>
        </w:rPr>
        <w:t xml:space="preserve">The execution agents are the models that implement the tasks, and they are typically cheaper and faster than the planning agent. The choice of execution agent depends on the task: a task that requires deep reasoning, such as the implementation of a complex algorithm, may require a frontier model; a task that requires pattern application, such as the creation of a CRUD endpoint, can use a cheaper model. The execution agents work in parallel, each on a separate task, and each produces a defined output that the planning agent or a dedicated integration agent combines. The communication between the planning agent and the execution agents is through the task list and the file system: the planning agent writes the task list, the execution agents write the code, and the integration agent runs the verification gate and combines the results.</w:t>
      </w:r>
    </w:p>
    <w:p>
      <w:pPr>
        <w:pStyle w:val="Heading2"/>
        <w:spacing w:after="120" w:before="280" w:line="312"/>
      </w:pPr>
      <w:bookmarkStart w:id="100038" w:name="_Toc100038"/>
      <w:r>
        <w:rPr>
          <w:rFonts w:ascii="Arial" w:eastAsia="SimHei"/>
          <w:b/>
          <w:bCs/>
          <w:color w:val="162235"/>
          <w:sz w:val="28"/>
          <w:szCs w:val="28"/>
        </w:rPr>
        <w:t xml:space="preserve">9.3 The Integration and Verification Agent</w:t>
      </w:r>
      <w:bookmarkEnd w:id="100038"/>
    </w:p>
    <w:p>
      <w:pPr>
        <w:spacing w:after="120" w:line="312"/>
        <w:ind w:firstLine="360"/>
        <w:jc w:val="both"/>
      </w:pPr>
      <w:r>
        <w:rPr>
          <w:rFonts w:ascii="Times New Roman" w:eastAsia="SimSun"/>
          <w:color w:val="000000"/>
          <w:sz w:val="24"/>
          <w:szCs w:val="24"/>
        </w:rPr>
        <w:t xml:space="preserve">The integration and verification agent is the agent that runs the verification gate after each task and that integrates the outputs of the execution agents into a coherent system. This agent is responsible for running the test suite, the lint, the type check, the accessibility audit, and any other verification step that the build requires. It is also responsible for detecting conflicts between the outputs of parallel execution agents, such as two agents modifying the same file in incompatible ways. The integration agent reports failures to the planning agent, which re-plans the failed tasks and re-assigns them. The discipline of the integration agent is the discipline that prevents the multi-agent pattern from producing a system that is the sum of its parts but not a coherent whole.</w:t>
      </w:r>
    </w:p>
    <w:p>
      <w:pPr>
        <w:keepNext/>
        <w:spacing w:after="100" w:before="200" w:line="312"/>
        <w:jc w:val="left"/>
      </w:pPr>
      <w:r>
        <w:rPr>
          <w:rFonts w:ascii="Arial" w:eastAsia="SimHei"/>
          <w:b/>
          <w:bCs/>
          <w:color w:val="162235"/>
          <w:sz w:val="22"/>
          <w:szCs w:val="22"/>
        </w:rPr>
        <w:t xml:space="preserve">Table 6: Multi-Agent Roles and Responsibilities</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tblGrid>
      <w:tr>
        <w:trPr>
          <w:cantSplit/>
          <w:tblHeader/>
        </w:trPr>
        <w:tc>
          <w:tcPr>
            <w:tcW w:type="pct" w:w="2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Agent Role</w:t>
            </w:r>
          </w:p>
        </w:tc>
        <w:tc>
          <w:tcPr>
            <w:tcW w:type="pct" w:w="1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Model Tier</w:t>
            </w:r>
          </w:p>
        </w:tc>
        <w:tc>
          <w:tcPr>
            <w:tcW w:type="pct" w:w="3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Primary Responsibility</w:t>
            </w:r>
          </w:p>
        </w:tc>
        <w:tc>
          <w:tcPr>
            <w:tcW w:type="pct" w:w="2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Output</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Planning Agent</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Frontier (most capable)</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Decompose the build; assign tasks; re-plan on failure</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Task list, context summary</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 (backend)</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Mid-tier or frontier</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Implement backend tasks: API, data, business logic</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Code, tests, documentation</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 (frontend)</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Mid-tier or frontier</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Implement frontend tasks: UI, interaction, accessibility</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Code, tests, accessibility verification</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 (infra)</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Mid-tier</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Implement infrastructure: CI/CD, observability, deployment</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Infrastructure-as-code, runbooks</w:t>
            </w:r>
          </w:p>
        </w:tc>
      </w:tr>
      <w:tr>
        <w:trPr>
          <w:cantSplit/>
        </w:trPr>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Integration and Verification Agent</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Mid-tier</w:t>
            </w:r>
          </w:p>
        </w:tc>
        <w:tc>
          <w:tcPr>
            <w:tcW w:type="pct" w:w="36%"/>
            <w:tcMar>
              <w:top w:type="dxa" w:w="70"/>
              <w:left w:type="dxa" w:w="120"/>
              <w:bottom w:type="dxa" w:w="70"/>
              <w:right w:type="dxa" w:w="120"/>
            </w:tcMar>
          </w:tcPr>
          <w:p>
            <w:pPr>
              <w:spacing w:line="276"/>
              <w:jc w:val="left"/>
            </w:pPr>
            <w:r>
              <w:rPr>
                <w:rFonts w:ascii="Times New Roman" w:eastAsia="SimSun"/>
                <w:color w:val="000000"/>
                <w:sz w:val="20"/>
                <w:szCs w:val="20"/>
              </w:rPr>
              <w:t xml:space="preserve">Run the verification gate; integrate outputs; detect conflicts</w:t>
            </w:r>
          </w:p>
        </w:tc>
        <w:tc>
          <w:tcPr>
            <w:tcW w:type="pct" w:w="20%"/>
            <w:tcMar>
              <w:top w:type="dxa" w:w="70"/>
              <w:left w:type="dxa" w:w="120"/>
              <w:bottom w:type="dxa" w:w="70"/>
              <w:right w:type="dxa" w:w="120"/>
            </w:tcMar>
          </w:tcPr>
          <w:p>
            <w:pPr>
              <w:spacing w:line="276"/>
              <w:jc w:val="left"/>
            </w:pPr>
            <w:r>
              <w:rPr>
                <w:rFonts w:ascii="Times New Roman" w:eastAsia="SimSun"/>
                <w:color w:val="000000"/>
                <w:sz w:val="20"/>
                <w:szCs w:val="20"/>
              </w:rPr>
              <w:t xml:space="preserve">Test results, integration report</w:t>
            </w:r>
          </w:p>
        </w:tc>
      </w:tr>
    </w:tbl>
    <w:p>
      <w:pPr>
        <w:spacing w:after="200" w:before="80" w:line="312"/>
        <w:jc w:val="center"/>
      </w:pPr>
      <w:r>
        <w:rPr>
          <w:rFonts w:ascii="Times New Roman" w:eastAsia="SimSun"/>
          <w:i/>
          <w:iCs/>
          <w:color w:val="606060"/>
          <w:sz w:val="20"/>
          <w:szCs w:val="20"/>
        </w:rPr>
        <w:t xml:space="preserve">Table 6: The roles and responsibilities in a multi-agent build. The planning agent is the most capable model; the execution agents are selected per task; the integration agent runs the verification gate and combines the outputs.</w:t>
      </w:r>
    </w:p>
    <w:p>
      <w:pPr>
        <w:pStyle w:val="Heading2"/>
        <w:spacing w:after="120" w:before="280" w:line="312"/>
      </w:pPr>
      <w:bookmarkStart w:id="100039" w:name="_Toc100039"/>
      <w:r>
        <w:rPr>
          <w:rFonts w:ascii="Arial" w:eastAsia="SimHei"/>
          <w:b/>
          <w:bCs/>
          <w:color w:val="162235"/>
          <w:sz w:val="28"/>
          <w:szCs w:val="28"/>
        </w:rPr>
        <w:t xml:space="preserve">9.4 Solo Builder Versus Multi-Agent: When to Use Each</w:t>
      </w:r>
      <w:bookmarkEnd w:id="100039"/>
    </w:p>
    <w:p>
      <w:pPr>
        <w:spacing w:after="120" w:line="312"/>
        <w:ind w:firstLine="360"/>
        <w:jc w:val="both"/>
      </w:pPr>
      <w:r>
        <w:rPr>
          <w:rFonts w:ascii="Times New Roman" w:eastAsia="SimSun"/>
          <w:color w:val="000000"/>
          <w:sz w:val="24"/>
          <w:szCs w:val="24"/>
        </w:rPr>
        <w:t xml:space="preserve">The choice between the solo-builder pattern and the multi-agent pattern is a function of the build's complexity and the builder's orchestration capacity. The solo-builder pattern, in which a single agent handles planning and execution, is appropriate for the candidate systems in Table 3, which are small and bounded, and for prototypes and minimum viable products. The multi-agent pattern is appropriate for the school management system and the B2B SaaS system, which are large and complex, and for any build where the parallel execution of independent tasks provides a meaningful speed advantage. The orchestration overhead of the multi-agent pattern, which includes the planning, the task assignment, and the integration, is justified only when the build is large enough that the parallelism provides a net speed advantage. A builder who applies the multi-agent pattern to a small build will spend more time on orchestration than the orchestration saves, and the build will be slower rather than faster.</w:t>
      </w:r>
    </w:p>
    <w:p>
      <w:pPr>
        <w:pStyle w:val="Heading1"/>
        <w:spacing w:after="160" w:before="360" w:line="312"/>
      </w:pPr>
      <w:bookmarkStart w:id="100040" w:name="_Toc100040"/>
      <w:r>
        <w:rPr>
          <w:rFonts w:ascii="Arial" w:eastAsia="SimHei"/>
          <w:b/>
          <w:bCs/>
          <w:color w:val="162235"/>
          <w:sz w:val="32"/>
          <w:szCs w:val="32"/>
        </w:rPr>
        <w:t xml:space="preserve">10. Quality Gates and Verification</w:t>
      </w:r>
      <w:bookmarkEnd w:id="100040"/>
    </w:p>
    <w:p>
      <w:pPr>
        <w:spacing w:after="120" w:line="312"/>
        <w:ind w:firstLine="360"/>
        <w:jc w:val="both"/>
      </w:pPr>
      <w:r>
        <w:rPr>
          <w:rFonts w:ascii="Times New Roman" w:eastAsia="SimSun"/>
          <w:color w:val="000000"/>
          <w:sz w:val="24"/>
          <w:szCs w:val="24"/>
        </w:rPr>
        <w:t xml:space="preserve">The quality gates are the automated checks that run after each task and that gate the transition to the next task. The gates are the mechanism that converts the agent's capability into quality, and they are the practice that most distinguishes a directed build from an undirected generation. This section specifies the gates that apply to every build in this report, and it specifies the pass conditions and the escalation procedures.</w:t>
      </w:r>
    </w:p>
    <w:p>
      <w:pPr>
        <w:keepNext/>
        <w:spacing w:after="100" w:before="200" w:line="312"/>
        <w:jc w:val="left"/>
      </w:pPr>
      <w:r>
        <w:rPr>
          <w:rFonts w:ascii="Arial" w:eastAsia="SimHei"/>
          <w:b/>
          <w:bCs/>
          <w:color w:val="162235"/>
          <w:sz w:val="22"/>
          <w:szCs w:val="22"/>
        </w:rPr>
        <w:t xml:space="preserve">Table 7: The Quality Gate Suite</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tblGrid>
      <w:tr>
        <w:trPr>
          <w:cantSplit/>
          <w:tblHeader/>
        </w:trPr>
        <w:tc>
          <w:tcPr>
            <w:tcW w:type="pct" w:w="2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Gate</w:t>
            </w:r>
          </w:p>
        </w:tc>
        <w:tc>
          <w:tcPr>
            <w:tcW w:type="pct" w:w="2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Tool</w:t>
            </w:r>
          </w:p>
        </w:tc>
        <w:tc>
          <w:tcPr>
            <w:tcW w:type="pct" w:w="3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Pass Condition</w:t>
            </w:r>
          </w:p>
        </w:tc>
        <w:tc>
          <w:tcPr>
            <w:tcW w:type="pct" w:w="2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Frequency</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Unit and integration tests</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Jest, Vitest, or equivalent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All tests pass; no skipped tests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task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Type check</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TypeScript compiler</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No type errors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task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Lint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ESLint with security and accessibility plugins</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No errors; warnings reviewed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task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Accessibility audit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axe-core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Zero violations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frontend task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Security scan</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Dependency scanner (e.g., npm audit, Snyk)</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No critical or high vulnerabilities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task and daily</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Build</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Production build (e.g., next build)</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Build succeeds without errors</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task</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Performance</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Lighthouse</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Performance score &gt;= 90</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End of each module</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Load test</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k6 or equivalent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p95 latency and throughput targets met</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Pre-launch</w:t>
            </w:r>
          </w:p>
        </w:tc>
      </w:tr>
      <w:tr>
        <w:trPr>
          <w:cantSplit/>
        </w:trPr>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Manual design review</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Builder judgment</w:t>
            </w:r>
          </w:p>
        </w:tc>
        <w:tc>
          <w:tcPr>
            <w:tcW w:type="pct" w:w="30%"/>
            <w:tcMar>
              <w:top w:type="dxa" w:w="70"/>
              <w:left w:type="dxa" w:w="120"/>
              <w:bottom w:type="dxa" w:w="70"/>
              <w:right w:type="dxa" w:w="120"/>
            </w:tcMar>
          </w:tcPr>
          <w:p>
            <w:pPr>
              <w:spacing w:line="276"/>
              <w:jc w:val="left"/>
            </w:pPr>
            <w:r>
              <w:rPr>
                <w:rFonts w:ascii="Times New Roman" w:eastAsia="SimSun"/>
                <w:color w:val="000000"/>
                <w:sz w:val="20"/>
                <w:szCs w:val="20"/>
              </w:rPr>
              <w:t xml:space="preserve">Output does not look AI-generated</w:t>
            </w:r>
          </w:p>
        </w:tc>
        <w:tc>
          <w:tcPr>
            <w:tcW w:type="pct" w:w="22%"/>
            <w:tcMar>
              <w:top w:type="dxa" w:w="70"/>
              <w:left w:type="dxa" w:w="120"/>
              <w:bottom w:type="dxa" w:w="70"/>
              <w:right w:type="dxa" w:w="120"/>
            </w:tcMar>
          </w:tcPr>
          <w:p>
            <w:pPr>
              <w:spacing w:line="276"/>
              <w:jc w:val="left"/>
            </w:pPr>
            <w:r>
              <w:rPr>
                <w:rFonts w:ascii="Times New Roman" w:eastAsia="SimSun"/>
                <w:color w:val="000000"/>
                <w:sz w:val="20"/>
                <w:szCs w:val="20"/>
              </w:rPr>
              <w:t xml:space="preserve">Every visible surface</w:t>
            </w:r>
          </w:p>
        </w:tc>
      </w:tr>
    </w:tbl>
    <w:p>
      <w:pPr>
        <w:spacing w:after="200" w:before="80" w:line="312"/>
        <w:jc w:val="center"/>
      </w:pPr>
      <w:r>
        <w:rPr>
          <w:rFonts w:ascii="Times New Roman" w:eastAsia="SimSun"/>
          <w:i/>
          <w:iCs/>
          <w:color w:val="606060"/>
          <w:sz w:val="20"/>
          <w:szCs w:val="20"/>
        </w:rPr>
        <w:t xml:space="preserve">Table 7: The quality gate suite that applies to every build in this report. The gates run at the specified frequency; a task that fails any gate is fixed before the next task begins, with a maximum of three retries before escalation.</w:t>
      </w:r>
    </w:p>
    <w:p>
      <w:pPr>
        <w:spacing w:after="120" w:line="312"/>
        <w:ind w:firstLine="360"/>
        <w:jc w:val="both"/>
      </w:pPr>
      <w:r>
        <w:rPr>
          <w:rFonts w:ascii="Times New Roman" w:eastAsia="SimSun"/>
          <w:color w:val="000000"/>
          <w:sz w:val="24"/>
          <w:szCs w:val="24"/>
        </w:rPr>
        <w:t xml:space="preserve">The manual design review is the gate that the automated gates cannot replace, and it is the gate that most determines whether the final product meets the professional standard. The manual review is the builder's judgment that the output does not exhibit the characteristics of AI-flag work: the typography is professional, the motion is purposeful, the color system is consistent, and the overall aesthetic is that of a product designed by a human team. The manual review is conducted on every visible surface, and it is the gate that catches the failures that the automated gates cannot detect. A builder who skips the manual review, on the assumption that the automated gates are sufficient, will ship AI-flag work that passes the automated checks but that fails the credibility test with the audience.</w:t>
      </w:r>
    </w:p>
    <w:p>
      <w:pPr>
        <w:pStyle w:val="Heading1"/>
        <w:spacing w:after="160" w:before="360" w:line="312"/>
      </w:pPr>
      <w:bookmarkStart w:id="100041" w:name="_Toc100041"/>
      <w:r>
        <w:rPr>
          <w:rFonts w:ascii="Arial" w:eastAsia="SimHei"/>
          <w:b/>
          <w:bCs/>
          <w:color w:val="162235"/>
          <w:sz w:val="32"/>
          <w:szCs w:val="32"/>
        </w:rPr>
        <w:t xml:space="preserve">11. Risk Register and Action Items</w:t>
      </w:r>
      <w:bookmarkEnd w:id="100041"/>
    </w:p>
    <w:p>
      <w:pPr>
        <w:pStyle w:val="Heading2"/>
        <w:spacing w:after="120" w:before="280" w:line="312"/>
      </w:pPr>
      <w:bookmarkStart w:id="100042" w:name="_Toc100042"/>
      <w:r>
        <w:rPr>
          <w:rFonts w:ascii="Arial" w:eastAsia="SimHei"/>
          <w:b/>
          <w:bCs/>
          <w:color w:val="162235"/>
          <w:sz w:val="28"/>
          <w:szCs w:val="28"/>
        </w:rPr>
        <w:t xml:space="preserve">11.1 Risk Register</w:t>
      </w:r>
      <w:bookmarkEnd w:id="100042"/>
    </w:p>
    <w:p>
      <w:pPr>
        <w:keepNext/>
        <w:spacing w:after="100" w:before="200" w:line="312"/>
        <w:jc w:val="left"/>
      </w:pPr>
      <w:r>
        <w:rPr>
          <w:rFonts w:ascii="Arial" w:eastAsia="SimHei"/>
          <w:b/>
          <w:bCs/>
          <w:color w:val="162235"/>
          <w:sz w:val="22"/>
          <w:szCs w:val="22"/>
        </w:rPr>
        <w:t xml:space="preserve">Table 8: Risk Register for an AI-Directed Build</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gridCol w:w="100"/>
      </w:tblGrid>
      <w:tr>
        <w:trPr>
          <w:cantSplit/>
          <w:tblHeader/>
        </w:trPr>
        <w:tc>
          <w:tcPr>
            <w:tcW w:type="pct" w:w="2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Risk</w:t>
            </w:r>
          </w:p>
        </w:tc>
        <w:tc>
          <w:tcPr>
            <w:tcW w:type="pct" w:w="14%"/>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Category</w:t>
            </w:r>
          </w:p>
        </w:tc>
        <w:tc>
          <w:tcPr>
            <w:tcW w:type="pct" w:w="1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Severity</w:t>
            </w:r>
          </w:p>
        </w:tc>
        <w:tc>
          <w:tcPr>
            <w:tcW w:type="pct" w:w="10%"/>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Owner</w:t>
            </w:r>
          </w:p>
        </w:tc>
        <w:tc>
          <w:tcPr>
            <w:tcW w:type="pct" w:w="3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Mitigation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Hallucinated components or interfaces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AI-specific</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Context loading phase; analysis phase before implementation; verification gate after every task</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AI-flag work in the UI</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Quality</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Professional UI/UX standards loaded as context; manual design review on every visible surface</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Tenant isolation bypass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RLS on every tenant-scoped table; automated cross-tenant access tests in CI</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Verification gate skipped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Process</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High</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Prompt template enforces the gate; build does not proceed on failure</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Scope creep from agent improvisation</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Process</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Role instruction in the prompt: 'do not improvise; implement against the specification'</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Dependency vulnerabilities introduced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Security</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Dependency scan in CI on every commit; 48-hour patch SLA for critical CVEs</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Accessibility conformance failure</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Compliance</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axe-core in CI; manual screen-reader test before release</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Multi-agent integration conflicts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Process</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Integration agent detects file conflicts; planning agent re-plans on conflict</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Cost overrun from excessive agent calls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Commercial</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Medium</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Task decomposition limits calls per task; monitoring of agent usage</w:t>
            </w:r>
          </w:p>
        </w:tc>
      </w:tr>
      <w:tr>
        <w:trPr>
          <w:cantSplit/>
        </w:trPr>
        <w:tc>
          <w:tcPr>
            <w:tcW w:type="pct" w:w="28%"/>
            <w:tcMar>
              <w:top w:type="dxa" w:w="70"/>
              <w:left w:type="dxa" w:w="120"/>
              <w:bottom w:type="dxa" w:w="70"/>
              <w:right w:type="dxa" w:w="120"/>
            </w:tcMar>
          </w:tcPr>
          <w:p>
            <w:pPr>
              <w:spacing w:line="276"/>
              <w:jc w:val="left"/>
            </w:pPr>
            <w:r>
              <w:rPr>
                <w:rFonts w:ascii="Times New Roman" w:eastAsia="SimSun"/>
                <w:color w:val="000000"/>
                <w:sz w:val="20"/>
                <w:szCs w:val="20"/>
              </w:rPr>
              <w:t xml:space="preserve">Foundation document outdated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Strategic</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Low</w:t>
            </w:r>
          </w:p>
        </w:tc>
        <w:tc>
          <w:tcPr>
            <w:tcW w:type="pct" w:w="10%"/>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38%"/>
            <w:tcMar>
              <w:top w:type="dxa" w:w="70"/>
              <w:left w:type="dxa" w:w="120"/>
              <w:bottom w:type="dxa" w:w="70"/>
              <w:right w:type="dxa" w:w="120"/>
            </w:tcMar>
          </w:tcPr>
          <w:p>
            <w:pPr>
              <w:spacing w:line="276"/>
              <w:jc w:val="left"/>
            </w:pPr>
            <w:r>
              <w:rPr>
                <w:rFonts w:ascii="Times New Roman" w:eastAsia="SimSun"/>
                <w:color w:val="000000"/>
                <w:sz w:val="20"/>
                <w:szCs w:val="20"/>
              </w:rPr>
              <w:t xml:space="preserve">Quarterly review of the foundation against current practitioner consensus</w:t>
            </w:r>
          </w:p>
        </w:tc>
      </w:tr>
    </w:tbl>
    <w:p>
      <w:pPr>
        <w:spacing w:after="200" w:before="80" w:line="312"/>
        <w:jc w:val="center"/>
      </w:pPr>
      <w:r>
        <w:rPr>
          <w:rFonts w:ascii="Times New Roman" w:eastAsia="SimSun"/>
          <w:i/>
          <w:iCs/>
          <w:color w:val="606060"/>
          <w:sz w:val="20"/>
          <w:szCs w:val="20"/>
        </w:rPr>
        <w:t xml:space="preserve">Table 8: Risk register for an AI-directed build. The risks specific to AI generation, including hallucination and AI-flag work, are addressed by the prompt architecture and the verification gates.</w:t>
      </w:r>
    </w:p>
    <w:p>
      <w:pPr>
        <w:pStyle w:val="Heading2"/>
        <w:spacing w:after="120" w:before="280" w:line="312"/>
      </w:pPr>
      <w:bookmarkStart w:id="100043" w:name="_Toc100043"/>
      <w:r>
        <w:rPr>
          <w:rFonts w:ascii="Arial" w:eastAsia="SimHei"/>
          <w:b/>
          <w:bCs/>
          <w:color w:val="162235"/>
          <w:sz w:val="28"/>
          <w:szCs w:val="28"/>
        </w:rPr>
        <w:t xml:space="preserve">11.2 Action Items with Ownership and Timeline</w:t>
      </w:r>
      <w:bookmarkEnd w:id="100043"/>
    </w:p>
    <w:p>
      <w:pPr>
        <w:keepNext/>
        <w:spacing w:after="100" w:before="200" w:line="312"/>
        <w:jc w:val="left"/>
      </w:pPr>
      <w:r>
        <w:rPr>
          <w:rFonts w:ascii="Arial" w:eastAsia="SimHei"/>
          <w:b/>
          <w:bCs/>
          <w:color w:val="162235"/>
          <w:sz w:val="22"/>
          <w:szCs w:val="22"/>
        </w:rPr>
        <w:t xml:space="preserve">Table 9: Action Items for an AI-Directed Build</w:t>
      </w:r>
    </w:p>
    <w:tbl>
      <w:tblPr>
        <w:tblW w:type="pct" w:w="100%"/>
        <w:tblBorders>
          <w:top w:val="single" w:color="1B6B7A" w:sz="6"/>
          <w:left w:val="none"/>
          <w:bottom w:val="single" w:color="1B6B7A" w:sz="6"/>
          <w:right w:val="none"/>
          <w:insideH w:val="single" w:color="C8DDE2" w:sz="1"/>
          <w:insideV w:val="none"/>
        </w:tblBorders>
        <w:tblLayout w:type="fixed"/>
      </w:tblPr>
      <w:tblGrid>
        <w:gridCol w:w="100"/>
        <w:gridCol w:w="100"/>
        <w:gridCol w:w="100"/>
        <w:gridCol w:w="100"/>
      </w:tblGrid>
      <w:tr>
        <w:trPr>
          <w:cantSplit/>
          <w:tblHeader/>
        </w:trPr>
        <w:tc>
          <w:tcPr>
            <w:tcW w:type="pct" w:w="42%"/>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Action Item</w:t>
            </w:r>
          </w:p>
        </w:tc>
        <w:tc>
          <w:tcPr>
            <w:tcW w:type="pct" w:w="18%"/>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Owner</w:t>
            </w:r>
          </w:p>
        </w:tc>
        <w:tc>
          <w:tcPr>
            <w:tcW w:type="pct" w:w="14%"/>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Timeline</w:t>
            </w:r>
          </w:p>
        </w:tc>
        <w:tc>
          <w:tcPr>
            <w:tcW w:type="pct" w:w="26%"/>
            <w:shd w:fill="1B6B7A" w:val="clear"/>
            <w:tcMar>
              <w:top w:type="dxa" w:w="80"/>
              <w:left w:type="dxa" w:w="120"/>
              <w:bottom w:type="dxa" w:w="80"/>
              <w:right w:type="dxa" w:w="120"/>
            </w:tcMar>
          </w:tcPr>
          <w:p>
            <w:pPr>
              <w:spacing w:line="276"/>
              <w:jc w:val="left"/>
            </w:pPr>
            <w:r>
              <w:rPr>
                <w:rFonts w:ascii="Arial" w:eastAsia="SimHei"/>
                <w:b/>
                <w:bCs/>
                <w:color w:val="FFFFFF"/>
                <w:sz w:val="21"/>
                <w:szCs w:val="21"/>
              </w:rPr>
              <w:t xml:space="preserve">Success Criterion</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Select the system to build and the vertical</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 1</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Documented problem statement and ideal customer profile</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Load the relevant foundation sections as context</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 1</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Context summary produced and reviewed</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Choose the agent pattern (solo or multi-agent)</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 1</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Pattern selected based on build complexity</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Produce the task list (analysis phase)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Planning Agent</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 2</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Task list reviewed and approved by builder</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Implement the foundation (data model, auth, tenant isolation)</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2-4</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Verification gate passes; isolation tests pass</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Implement the domain modules</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4-12</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Each module passes its verification gate</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Implement the commercial layer (subscription, billing)</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Agent(s)</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8-14</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Subscription and billing flows tested end-to-end</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Build the landing page to the professional UI/UX standard</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Execution Agent (frontend)</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10-14</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Manual design review passes; Lighthouse &gt;= 90</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Run the full quality gate suite</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Integration Agent</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Weeks 14-16</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All gates pass; zero critical or high findings</w:t>
            </w:r>
          </w:p>
        </w:tc>
      </w:tr>
      <w:tr>
        <w:trPr>
          <w:cantSplit/>
        </w:trPr>
        <w:tc>
          <w:tcPr>
            <w:tcW w:type="pct" w:w="42%"/>
            <w:tcMar>
              <w:top w:type="dxa" w:w="70"/>
              <w:left w:type="dxa" w:w="120"/>
              <w:bottom w:type="dxa" w:w="70"/>
              <w:right w:type="dxa" w:w="120"/>
            </w:tcMar>
          </w:tcPr>
          <w:p>
            <w:pPr>
              <w:spacing w:line="276"/>
              <w:jc w:val="left"/>
            </w:pPr>
            <w:r>
              <w:rPr>
                <w:rFonts w:ascii="Times New Roman" w:eastAsia="SimSun"/>
                <w:color w:val="000000"/>
                <w:sz w:val="20"/>
                <w:szCs w:val="20"/>
              </w:rPr>
              <w:t xml:space="preserve">Deploy and monitor</w:t>
            </w:r>
          </w:p>
        </w:tc>
        <w:tc>
          <w:tcPr>
            <w:tcW w:type="pct" w:w="18%"/>
            <w:tcMar>
              <w:top w:type="dxa" w:w="70"/>
              <w:left w:type="dxa" w:w="120"/>
              <w:bottom w:type="dxa" w:w="70"/>
              <w:right w:type="dxa" w:w="120"/>
            </w:tcMar>
          </w:tcPr>
          <w:p>
            <w:pPr>
              <w:spacing w:line="276"/>
              <w:jc w:val="left"/>
            </w:pPr>
            <w:r>
              <w:rPr>
                <w:rFonts w:ascii="Times New Roman" w:eastAsia="SimSun"/>
                <w:color w:val="000000"/>
                <w:sz w:val="20"/>
                <w:szCs w:val="20"/>
              </w:rPr>
              <w:t xml:space="preserve">Builder</w:t>
            </w:r>
          </w:p>
        </w:tc>
        <w:tc>
          <w:tcPr>
            <w:tcW w:type="pct" w:w="14%"/>
            <w:tcMar>
              <w:top w:type="dxa" w:w="70"/>
              <w:left w:type="dxa" w:w="120"/>
              <w:bottom w:type="dxa" w:w="70"/>
              <w:right w:type="dxa" w:w="120"/>
            </w:tcMar>
          </w:tcPr>
          <w:p>
            <w:pPr>
              <w:spacing w:line="276"/>
              <w:jc w:val="left"/>
            </w:pPr>
            <w:r>
              <w:rPr>
                <w:rFonts w:ascii="Times New Roman" w:eastAsia="SimSun"/>
                <w:color w:val="000000"/>
                <w:sz w:val="20"/>
                <w:szCs w:val="20"/>
              </w:rPr>
              <w:t xml:space="preserve">Week 16</w:t>
            </w:r>
          </w:p>
        </w:tc>
        <w:tc>
          <w:tcPr>
            <w:tcW w:type="pct" w:w="26%"/>
            <w:tcMar>
              <w:top w:type="dxa" w:w="70"/>
              <w:left w:type="dxa" w:w="120"/>
              <w:bottom w:type="dxa" w:w="70"/>
              <w:right w:type="dxa" w:w="120"/>
            </w:tcMar>
          </w:tcPr>
          <w:p>
            <w:pPr>
              <w:spacing w:line="276"/>
              <w:jc w:val="left"/>
            </w:pPr>
            <w:r>
              <w:rPr>
                <w:rFonts w:ascii="Times New Roman" w:eastAsia="SimSun"/>
                <w:color w:val="000000"/>
                <w:sz w:val="20"/>
                <w:szCs w:val="20"/>
              </w:rPr>
              <w:t xml:space="preserve">Production deployment; SLO monitoring active</w:t>
            </w:r>
          </w:p>
        </w:tc>
      </w:tr>
    </w:tbl>
    <w:p>
      <w:pPr>
        <w:spacing w:after="200" w:before="80" w:line="312"/>
        <w:jc w:val="center"/>
      </w:pPr>
      <w:r>
        <w:rPr>
          <w:rFonts w:ascii="Times New Roman" w:eastAsia="SimSun"/>
          <w:i/>
          <w:iCs/>
          <w:color w:val="606060"/>
          <w:sz w:val="20"/>
          <w:szCs w:val="20"/>
        </w:rPr>
        <w:t xml:space="preserve">Table 9: Action items for an AI-directed build, with the owner, the timeline, and the success criterion. The builder is the owner of the planning and the review; the agents are the owners of the implementation and the verification, directed by the prompt architecture.</w:t>
      </w:r>
    </w:p>
    <w:p>
      <w:pPr>
        <w:pStyle w:val="Heading1"/>
        <w:spacing w:after="160" w:before="360" w:line="312"/>
      </w:pPr>
      <w:bookmarkStart w:id="100044" w:name="_Toc100044"/>
      <w:r>
        <w:rPr>
          <w:rFonts w:ascii="Arial" w:eastAsia="SimHei"/>
          <w:b/>
          <w:bCs/>
          <w:color w:val="162235"/>
          <w:sz w:val="32"/>
          <w:szCs w:val="32"/>
        </w:rPr>
        <w:t xml:space="preserve">12. Counterarguments and Limitations</w:t>
      </w:r>
      <w:bookmarkEnd w:id="100044"/>
    </w:p>
    <w:p>
      <w:pPr>
        <w:spacing w:after="120" w:line="312"/>
        <w:ind w:firstLine="360"/>
        <w:jc w:val="both"/>
      </w:pPr>
      <w:r>
        <w:rPr>
          <w:rFonts w:ascii="Times New Roman" w:eastAsia="SimSun"/>
          <w:color w:val="000000"/>
          <w:sz w:val="24"/>
          <w:szCs w:val="24"/>
        </w:rPr>
        <w:t xml:space="preserve">The recommendations in this report are subject to several counterarguments and limitations that a builder should weigh. The first counterargument is that the prompt architecture advocated here is overhead that slows the build, and that a builder who simply prompts the agent to build the system will get a working result faster. This argument has merit for prototypes and for builds where the quality bar is low. The counterargument fails for commercial builds, because the cost of the prompt architecture is paid once, while the cost of the AI-flag work, the security defects, and the accessibility failures is paid repeatedly, in lost customers, in incidents, and in rework. The prompt architecture is an investment in the durability of the system, and the return on the investment is the difference between a system that a business will pay for and a system that a business will discount.</w:t>
      </w:r>
    </w:p>
    <w:p>
      <w:pPr>
        <w:spacing w:after="120" w:line="312"/>
        <w:ind w:firstLine="360"/>
        <w:jc w:val="both"/>
      </w:pPr>
      <w:r>
        <w:rPr>
          <w:rFonts w:ascii="Times New Roman" w:eastAsia="SimSun"/>
          <w:color w:val="000000"/>
          <w:sz w:val="24"/>
          <w:szCs w:val="24"/>
        </w:rPr>
        <w:t xml:space="preserve">The second counterargument is that the foundation document is a fixed artifact that will become outdated, and that a builder who depends on it will be guided by stale recommendations. This argument is valid and is acknowledged in the foundation document's limitations section. The mitigation is the quarterly review of the foundation against the current practitioner consensus, which is the action item in the risk register. A builder who reviews the foundation quarterly and who updates the sections that have drifted will keep the foundation current, and the prompt architecture will continue to direct the agent against the current standard.</w:t>
      </w:r>
    </w:p>
    <w:p>
      <w:pPr>
        <w:spacing w:after="120" w:line="312"/>
        <w:ind w:firstLine="360"/>
        <w:jc w:val="both"/>
      </w:pPr>
      <w:r>
        <w:rPr>
          <w:rFonts w:ascii="Times New Roman" w:eastAsia="SimSun"/>
          <w:color w:val="000000"/>
          <w:sz w:val="24"/>
          <w:szCs w:val="24"/>
        </w:rPr>
        <w:t xml:space="preserve">The third counterargument is that the AI agents are improving rapidly, and that the prompt architecture that is necessary today will be unnecessary tomorrow, because the agents will produce professional output without the discipline. This argument is plausible but unproven. The trajectory of the agents through 2026 suggests that the capability is increasing but that the quality regression from undirected generation is persisting, because the regression is a function of the context, not of the capability. A more capable model given a vague prompt produces a more sophisticated version of the same AI-flag work; a more capable model given a context-loaded, decomposed, and verified prompt produces output that meets the professional standard. The prompt architecture is the discipline that converts capability into quality, and it is the discipline that this report documents. If the agents reach a point where the discipline is unnecessary, the builder who has mastered the discipline will be the first to recognize it and to adapt; the builder who has not mastered the discipline will continue to produce AI-flag work, whatever the capability of the agent.</w:t>
      </w:r>
    </w:p>
    <w:p>
      <w:pPr>
        <w:pStyle w:val="Heading1"/>
        <w:spacing w:after="160" w:before="360" w:line="312"/>
      </w:pPr>
      <w:bookmarkStart w:id="100045" w:name="_Toc100045"/>
      <w:r>
        <w:rPr>
          <w:rFonts w:ascii="Arial" w:eastAsia="SimHei"/>
          <w:b/>
          <w:bCs/>
          <w:color w:val="162235"/>
          <w:sz w:val="32"/>
          <w:szCs w:val="32"/>
        </w:rPr>
        <w:t xml:space="preserve">13. Conclusion and Strategic Implications</w:t>
      </w:r>
      <w:bookmarkEnd w:id="100045"/>
    </w:p>
    <w:p>
      <w:pPr>
        <w:spacing w:after="120" w:line="312"/>
        <w:ind w:firstLine="360"/>
        <w:jc w:val="both"/>
      </w:pPr>
      <w:r>
        <w:rPr>
          <w:rFonts w:ascii="Times New Roman" w:eastAsia="SimSun"/>
          <w:color w:val="000000"/>
          <w:sz w:val="24"/>
          <w:szCs w:val="24"/>
        </w:rPr>
        <w:t xml:space="preserve">The question that opened this report was how a builder directs an AI agent, solo or multi-agent, to construct production-grade full-stack systems using the foundation document. The analysis has defined the prompt architecture that converts the foundation into a build sequence, has provided the prompt templates for three use cases spanning a complete school management system, a B2B SaaS system, and a portfolio of sellable basic systems, and has specified the professional UI/UX standards that eliminate AI-flag work. The central finding is that the quality of an AI-built system is determined by the discipline of the prompt architecture, not by the capability of the model, and that the discipline is the context loading, the task decomposition, the verification gate, and the manual design review.</w:t>
      </w:r>
    </w:p>
    <w:p>
      <w:pPr>
        <w:spacing w:after="120" w:line="312"/>
        <w:ind w:firstLine="360"/>
        <w:jc w:val="both"/>
      </w:pPr>
      <w:r>
        <w:rPr>
          <w:rFonts w:ascii="Times New Roman" w:eastAsia="SimSun"/>
          <w:color w:val="000000"/>
          <w:sz w:val="24"/>
          <w:szCs w:val="24"/>
        </w:rPr>
        <w:t xml:space="preserve">The strategic implication for the builder is that the mastery of the prompt architecture is the skill that compounds. A builder who masters the architecture can direct any agent to build any of the eight systems in the foundation document, can adapt the architecture to systems the foundation does not cover, and can maintain the quality of the output as the agents and the technologies evolve. The builder who does not master the architecture will produce AI-flag work, will depend on the agent's defaults, and will be displaced by the builders who have mastered the discipline. The foundation document is the knowledge base; this report is the prompt architecture; the builder's mastery of both is the asset.</w:t>
      </w:r>
    </w:p>
    <w:p>
      <w:pPr>
        <w:spacing w:after="120" w:line="312"/>
        <w:ind w:firstLine="360"/>
        <w:jc w:val="both"/>
      </w:pPr>
      <w:r>
        <w:rPr>
          <w:rFonts w:ascii="Times New Roman" w:eastAsia="SimSun"/>
          <w:color w:val="000000"/>
          <w:sz w:val="24"/>
          <w:szCs w:val="24"/>
        </w:rPr>
        <w:t xml:space="preserve">The closing recommendation is therefore the following. A builder who intends to direct an AI agent to build a production-grade system should begin by loading the relevant sections of the foundation document as context, should decompose the build into atomic tasks with defined acceptance criteria, should specify the technical stack and the design system explicitly in the prompt, should run the verification gate after every task, and should conduct a manual design review on every visible surface. The builder who follows this discipline for the school management system, the B2B SaaS system, or any of the sellable basic systems will produce output that meets the real-world standard, that a business will pay for, and that does not betray its AI origin. The discipline is the work, and the discipline is what this report documents.</w:t>
      </w:r>
    </w:p>
    <w:p>
      <w:pPr>
        <w:pStyle w:val="Heading1"/>
        <w:spacing w:after="160" w:before="360" w:line="312"/>
      </w:pPr>
      <w:bookmarkStart w:id="100046" w:name="_Toc100046"/>
      <w:r>
        <w:rPr>
          <w:rFonts w:ascii="Arial" w:eastAsia="SimHei"/>
          <w:b/>
          <w:bCs/>
          <w:color w:val="162235"/>
          <w:sz w:val="32"/>
          <w:szCs w:val="32"/>
        </w:rPr>
        <w:t xml:space="preserve">14. References</w:t>
      </w:r>
      <w:bookmarkEnd w:id="100046"/>
    </w:p>
    <w:p>
      <w:pPr>
        <w:spacing w:after="120" w:line="312"/>
        <w:ind w:firstLine="360"/>
        <w:jc w:val="both"/>
      </w:pPr>
      <w:r>
        <w:rPr>
          <w:rFonts w:ascii="Times New Roman" w:eastAsia="SimSun"/>
          <w:color w:val="000000"/>
          <w:sz w:val="24"/>
          <w:szCs w:val="24"/>
        </w:rPr>
        <w:t xml:space="preserve">The following sources informed the analysis presented in this report. Sources are listed in the order of first citation. All URLs were accessible at the time of writing; readers verifying specific claims should consult the cited source directly.</w:t>
      </w:r>
    </w:p>
    <w:p>
      <w:pPr>
        <w:spacing w:after="100" w:line="312"/>
        <w:ind w:left="480" w:hanging="480"/>
      </w:pPr>
      <w:r>
        <w:rPr>
          <w:rFonts w:ascii="Times New Roman" w:eastAsia="SimSun"/>
          <w:b/>
          <w:bCs/>
          <w:color w:val="000000"/>
          <w:sz w:val="22"/>
          <w:szCs w:val="22"/>
        </w:rPr>
        <w:t xml:space="preserve">[1] </w:t>
      </w:r>
      <w:r>
        <w:rPr>
          <w:rFonts w:ascii="Times New Roman" w:eastAsia="SimSun"/>
          <w:color w:val="000000"/>
          <w:sz w:val="22"/>
          <w:szCs w:val="22"/>
        </w:rPr>
        <w:t xml:space="preserve">MightyBot. Best AI Coding Agents in 2026, Ranked (July 2026 refresh). </w:t>
      </w:r>
      <w:hyperlink w:history="1" r:id="rId1pwl2jyxdx6nv04ca7kvr">
        <w:r>
          <w:rPr>
            <w:rFonts w:ascii="Times New Roman" w:eastAsia="SimSun"/>
            <w:color w:val="1B6B7A"/>
            <w:sz w:val="20"/>
            <w:szCs w:val="20"/>
            <w:u w:val="single"/>
          </w:rPr>
          <w:t xml:space="preserve">https://mightybot.ai/blog/coding-ai-agents-for-accelerating-engineering-workflows</w:t>
        </w:r>
      </w:hyperlink>
    </w:p>
    <w:p>
      <w:pPr>
        <w:spacing w:after="100" w:line="312"/>
        <w:ind w:left="480" w:hanging="480"/>
      </w:pPr>
      <w:r>
        <w:rPr>
          <w:rFonts w:ascii="Times New Roman" w:eastAsia="SimSun"/>
          <w:b/>
          <w:bCs/>
          <w:color w:val="000000"/>
          <w:sz w:val="22"/>
          <w:szCs w:val="22"/>
        </w:rPr>
        <w:t xml:space="preserve">[2] </w:t>
      </w:r>
      <w:r>
        <w:rPr>
          <w:rFonts w:ascii="Times New Roman" w:eastAsia="SimSun"/>
          <w:color w:val="000000"/>
          <w:sz w:val="22"/>
          <w:szCs w:val="22"/>
        </w:rPr>
        <w:t xml:space="preserve">Firecrawl. Best AI Coding Agents in 2026: Harness, Cost, and Capabilities. </w:t>
      </w:r>
      <w:hyperlink w:history="1" r:id="rIdcmimo0bjapejxbf1vsolt">
        <w:r>
          <w:rPr>
            <w:rFonts w:ascii="Times New Roman" w:eastAsia="SimSun"/>
            <w:color w:val="1B6B7A"/>
            <w:sz w:val="20"/>
            <w:szCs w:val="20"/>
            <w:u w:val="single"/>
          </w:rPr>
          <w:t xml:space="preserve">https://www.firecrawl.dev/blog/best-ai-coding-agents</w:t>
        </w:r>
      </w:hyperlink>
    </w:p>
    <w:p>
      <w:pPr>
        <w:spacing w:after="100" w:line="312"/>
        <w:ind w:left="480" w:hanging="480"/>
      </w:pPr>
      <w:r>
        <w:rPr>
          <w:rFonts w:ascii="Times New Roman" w:eastAsia="SimSun"/>
          <w:b/>
          <w:bCs/>
          <w:color w:val="000000"/>
          <w:sz w:val="22"/>
          <w:szCs w:val="22"/>
        </w:rPr>
        <w:t xml:space="preserve">[3] </w:t>
      </w:r>
      <w:r>
        <w:rPr>
          <w:rFonts w:ascii="Times New Roman" w:eastAsia="SimSun"/>
          <w:color w:val="000000"/>
          <w:sz w:val="22"/>
          <w:szCs w:val="22"/>
        </w:rPr>
        <w:t xml:space="preserve">Nimbalyst. Best AI Coding Agents in 2026: 15 Tools Compared. </w:t>
      </w:r>
      <w:hyperlink w:history="1" r:id="rIdjrdu1rcwnef9pihyqy4lv">
        <w:r>
          <w:rPr>
            <w:rFonts w:ascii="Times New Roman" w:eastAsia="SimSun"/>
            <w:color w:val="1B6B7A"/>
            <w:sz w:val="20"/>
            <w:szCs w:val="20"/>
            <w:u w:val="single"/>
          </w:rPr>
          <w:t xml:space="preserve">https://nimbalyst.com/blog/best-ai-coding-agents-2026</w:t>
        </w:r>
      </w:hyperlink>
    </w:p>
    <w:p>
      <w:pPr>
        <w:spacing w:after="100" w:line="312"/>
        <w:ind w:left="480" w:hanging="480"/>
      </w:pPr>
      <w:r>
        <w:rPr>
          <w:rFonts w:ascii="Times New Roman" w:eastAsia="SimSun"/>
          <w:b/>
          <w:bCs/>
          <w:color w:val="000000"/>
          <w:sz w:val="22"/>
          <w:szCs w:val="22"/>
        </w:rPr>
        <w:t xml:space="preserve">[4] </w:t>
      </w:r>
      <w:r>
        <w:rPr>
          <w:rFonts w:ascii="Times New Roman" w:eastAsia="SimSun"/>
          <w:color w:val="000000"/>
          <w:sz w:val="22"/>
          <w:szCs w:val="22"/>
        </w:rPr>
        <w:t xml:space="preserve">Dave Patten (Medium). The State of AI Coding Agents (2026): From Pair Programming to Autonomous AI Teams. </w:t>
      </w:r>
      <w:hyperlink w:history="1" r:id="rIdq2vh99p3wjv01jpgsvcuo">
        <w:r>
          <w:rPr>
            <w:rFonts w:ascii="Times New Roman" w:eastAsia="SimSun"/>
            <w:color w:val="1B6B7A"/>
            <w:sz w:val="20"/>
            <w:szCs w:val="20"/>
            <w:u w:val="single"/>
          </w:rPr>
          <w:t xml:space="preserve">https://medium.com/@dave-patten/the-state-of-ai-coding-agents-2026-from-pair-programming-to-autonomous-ai-teams-b11f2b39232a</w:t>
        </w:r>
      </w:hyperlink>
    </w:p>
    <w:p>
      <w:pPr>
        <w:spacing w:after="100" w:line="312"/>
        <w:ind w:left="480" w:hanging="480"/>
      </w:pPr>
      <w:r>
        <w:rPr>
          <w:rFonts w:ascii="Times New Roman" w:eastAsia="SimSun"/>
          <w:b/>
          <w:bCs/>
          <w:color w:val="000000"/>
          <w:sz w:val="22"/>
          <w:szCs w:val="22"/>
        </w:rPr>
        <w:t xml:space="preserve">[5] </w:t>
      </w:r>
      <w:r>
        <w:rPr>
          <w:rFonts w:ascii="Times New Roman" w:eastAsia="SimSun"/>
          <w:color w:val="000000"/>
          <w:sz w:val="22"/>
          <w:szCs w:val="22"/>
        </w:rPr>
        <w:t xml:space="preserve">Anthropic. Effective Context Engineering for AI Agents. </w:t>
      </w:r>
      <w:hyperlink w:history="1" r:id="rIdsowzciaittmehd0lvkxcq">
        <w:r>
          <w:rPr>
            <w:rFonts w:ascii="Times New Roman" w:eastAsia="SimSun"/>
            <w:color w:val="1B6B7A"/>
            <w:sz w:val="20"/>
            <w:szCs w:val="20"/>
            <w:u w:val="single"/>
          </w:rPr>
          <w:t xml:space="preserve">https://www.anthropic.com/engineering/effective-context-engineering-for-ai-agents</w:t>
        </w:r>
      </w:hyperlink>
    </w:p>
    <w:p>
      <w:pPr>
        <w:spacing w:after="100" w:line="312"/>
        <w:ind w:left="480" w:hanging="480"/>
      </w:pPr>
      <w:r>
        <w:rPr>
          <w:rFonts w:ascii="Times New Roman" w:eastAsia="SimSun"/>
          <w:b/>
          <w:bCs/>
          <w:color w:val="000000"/>
          <w:sz w:val="22"/>
          <w:szCs w:val="22"/>
        </w:rPr>
        <w:t xml:space="preserve">[6] </w:t>
      </w:r>
      <w:r>
        <w:rPr>
          <w:rFonts w:ascii="Times New Roman" w:eastAsia="SimSun"/>
          <w:color w:val="000000"/>
          <w:sz w:val="22"/>
          <w:szCs w:val="22"/>
        </w:rPr>
        <w:t xml:space="preserve">Shannon Lal (LinkedIn). Improving LLM Code Generation with Prompt Engineering: The Three-Phase Approach. </w:t>
      </w:r>
      <w:hyperlink w:history="1" r:id="rIdntr1xhgmqwvelb5wk1u3u">
        <w:r>
          <w:rPr>
            <w:rFonts w:ascii="Times New Roman" w:eastAsia="SimSun"/>
            <w:color w:val="1B6B7A"/>
            <w:sz w:val="20"/>
            <w:szCs w:val="20"/>
            <w:u w:val="single"/>
          </w:rPr>
          <w:t xml:space="preserve">https://www.linkedin.com/pulse/improving-llm-code-generation-prompt-engineering-shannon-lal-efffe</w:t>
        </w:r>
      </w:hyperlink>
    </w:p>
    <w:p>
      <w:pPr>
        <w:spacing w:after="100" w:line="312"/>
        <w:ind w:left="480" w:hanging="480"/>
      </w:pPr>
      <w:r>
        <w:rPr>
          <w:rFonts w:ascii="Times New Roman" w:eastAsia="SimSun"/>
          <w:b/>
          <w:bCs/>
          <w:color w:val="000000"/>
          <w:sz w:val="22"/>
          <w:szCs w:val="22"/>
        </w:rPr>
        <w:t xml:space="preserve">[7] </w:t>
      </w:r>
      <w:r>
        <w:rPr>
          <w:rFonts w:ascii="Times New Roman" w:eastAsia="SimSun"/>
          <w:color w:val="000000"/>
          <w:sz w:val="22"/>
          <w:szCs w:val="22"/>
        </w:rPr>
        <w:t xml:space="preserve">Codeling. Master Prompt Engineering Best Practices for 2026 AI. </w:t>
      </w:r>
      <w:hyperlink w:history="1" r:id="rId1zvno5vft4tor5xkecjz2">
        <w:r>
          <w:rPr>
            <w:rFonts w:ascii="Times New Roman" w:eastAsia="SimSun"/>
            <w:color w:val="1B6B7A"/>
            <w:sz w:val="20"/>
            <w:szCs w:val="20"/>
            <w:u w:val="single"/>
          </w:rPr>
          <w:t xml:space="preserve">https://codeling.dev/blog/prompt-engineering-best-practices</w:t>
        </w:r>
      </w:hyperlink>
    </w:p>
    <w:p>
      <w:pPr>
        <w:spacing w:after="100" w:line="312"/>
        <w:ind w:left="480" w:hanging="480"/>
      </w:pPr>
      <w:r>
        <w:rPr>
          <w:rFonts w:ascii="Times New Roman" w:eastAsia="SimSun"/>
          <w:b/>
          <w:bCs/>
          <w:color w:val="000000"/>
          <w:sz w:val="22"/>
          <w:szCs w:val="22"/>
        </w:rPr>
        <w:t xml:space="preserve">[8] </w:t>
      </w:r>
      <w:r>
        <w:rPr>
          <w:rFonts w:ascii="Times New Roman" w:eastAsia="SimSun"/>
          <w:color w:val="000000"/>
          <w:sz w:val="22"/>
          <w:szCs w:val="22"/>
        </w:rPr>
        <w:t xml:space="preserve">Classter. Student Information System (SIS) vs School Management System (SMS): What You Need in 2026. </w:t>
      </w:r>
      <w:hyperlink w:history="1" r:id="rIdwft76l_peota1c_xggpvn">
        <w:r>
          <w:rPr>
            <w:rFonts w:ascii="Times New Roman" w:eastAsia="SimSun"/>
            <w:color w:val="1B6B7A"/>
            <w:sz w:val="20"/>
            <w:szCs w:val="20"/>
            <w:u w:val="single"/>
          </w:rPr>
          <w:t xml:space="preserve">https://www.classter.com/blog/edtech/student-information-system-sis-vs-school-management-system-sms-what-do-you-need-in-2026</w:t>
        </w:r>
      </w:hyperlink>
    </w:p>
    <w:p>
      <w:pPr>
        <w:spacing w:after="100" w:line="312"/>
        <w:ind w:left="480" w:hanging="480"/>
      </w:pPr>
      <w:r>
        <w:rPr>
          <w:rFonts w:ascii="Times New Roman" w:eastAsia="SimSun"/>
          <w:b/>
          <w:bCs/>
          <w:color w:val="000000"/>
          <w:sz w:val="22"/>
          <w:szCs w:val="22"/>
        </w:rPr>
        <w:t xml:space="preserve">[9] </w:t>
      </w:r>
      <w:r>
        <w:rPr>
          <w:rFonts w:ascii="Times New Roman" w:eastAsia="SimSun"/>
          <w:color w:val="000000"/>
          <w:sz w:val="22"/>
          <w:szCs w:val="22"/>
        </w:rPr>
        <w:t xml:space="preserve">Gradelink. What is a Student Information System (SIS) | Features &amp; Benefits (2026). </w:t>
      </w:r>
      <w:hyperlink w:history="1" r:id="rIdu8uqv6hs1ddw8vswobyel">
        <w:r>
          <w:rPr>
            <w:rFonts w:ascii="Times New Roman" w:eastAsia="SimSun"/>
            <w:color w:val="1B6B7A"/>
            <w:sz w:val="20"/>
            <w:szCs w:val="20"/>
            <w:u w:val="single"/>
          </w:rPr>
          <w:t xml:space="preserve">https://gradelink.com/what-is-a-student-information-system-sis</w:t>
        </w:r>
      </w:hyperlink>
    </w:p>
    <w:p>
      <w:pPr>
        <w:spacing w:after="100" w:line="312"/>
        <w:ind w:left="480" w:hanging="480"/>
      </w:pPr>
      <w:r>
        <w:rPr>
          <w:rFonts w:ascii="Times New Roman" w:eastAsia="SimSun"/>
          <w:b/>
          <w:bCs/>
          <w:color w:val="000000"/>
          <w:sz w:val="22"/>
          <w:szCs w:val="22"/>
        </w:rPr>
        <w:t xml:space="preserve">[10] </w:t>
      </w:r>
      <w:r>
        <w:rPr>
          <w:rFonts w:ascii="Times New Roman" w:eastAsia="SimSun"/>
          <w:color w:val="000000"/>
          <w:sz w:val="22"/>
          <w:szCs w:val="22"/>
        </w:rPr>
        <w:t xml:space="preserve">OpenEduCat. Student Management System vs Student Information System. </w:t>
      </w:r>
      <w:hyperlink w:history="1" r:id="rIdqip0c5rbwywpohtuiucoz">
        <w:r>
          <w:rPr>
            <w:rFonts w:ascii="Times New Roman" w:eastAsia="SimSun"/>
            <w:color w:val="1B6B7A"/>
            <w:sz w:val="20"/>
            <w:szCs w:val="20"/>
            <w:u w:val="single"/>
          </w:rPr>
          <w:t xml:space="preserve">https://openeducat.org/articles/student-management-system-vs-sis</w:t>
        </w:r>
      </w:hyperlink>
    </w:p>
    <w:p>
      <w:pPr>
        <w:spacing w:after="100" w:line="312"/>
        <w:ind w:left="480" w:hanging="480"/>
      </w:pPr>
      <w:r>
        <w:rPr>
          <w:rFonts w:ascii="Times New Roman" w:eastAsia="SimSun"/>
          <w:b/>
          <w:bCs/>
          <w:color w:val="000000"/>
          <w:sz w:val="22"/>
          <w:szCs w:val="22"/>
        </w:rPr>
        <w:t xml:space="preserve">[11] </w:t>
      </w:r>
      <w:r>
        <w:rPr>
          <w:rFonts w:ascii="Times New Roman" w:eastAsia="SimSun"/>
          <w:color w:val="000000"/>
          <w:sz w:val="22"/>
          <w:szCs w:val="22"/>
        </w:rPr>
        <w:t xml:space="preserve">Ellucian. What is a Student Information System (SIS) in Higher Education? </w:t>
      </w:r>
      <w:hyperlink w:history="1" r:id="rIdmqqzvjbqtohbccfmisaxv">
        <w:r>
          <w:rPr>
            <w:rFonts w:ascii="Times New Roman" w:eastAsia="SimSun"/>
            <w:color w:val="1B6B7A"/>
            <w:sz w:val="20"/>
            <w:szCs w:val="20"/>
            <w:u w:val="single"/>
          </w:rPr>
          <w:t xml:space="preserve">https://www.ellucian.com/blog/what-student-information-system-higher-ed</w:t>
        </w:r>
      </w:hyperlink>
    </w:p>
    <w:p>
      <w:pPr>
        <w:spacing w:after="100" w:line="312"/>
        <w:ind w:left="480" w:hanging="480"/>
      </w:pPr>
      <w:r>
        <w:rPr>
          <w:rFonts w:ascii="Times New Roman" w:eastAsia="SimSun"/>
          <w:b/>
          <w:bCs/>
          <w:color w:val="000000"/>
          <w:sz w:val="22"/>
          <w:szCs w:val="22"/>
        </w:rPr>
        <w:t xml:space="preserve">[12] </w:t>
      </w:r>
      <w:r>
        <w:rPr>
          <w:rFonts w:ascii="Times New Roman" w:eastAsia="SimSun"/>
          <w:color w:val="000000"/>
          <w:sz w:val="22"/>
          <w:szCs w:val="22"/>
        </w:rPr>
        <w:t xml:space="preserve">Unpromptable (Substack). 5 AI Website Design Tips For Websites That Don't Look AI. </w:t>
      </w:r>
      <w:hyperlink w:history="1" r:id="rIdqe1vlhakiivs7lyiwyjug">
        <w:r>
          <w:rPr>
            <w:rFonts w:ascii="Times New Roman" w:eastAsia="SimSun"/>
            <w:color w:val="1B6B7A"/>
            <w:sz w:val="20"/>
            <w:szCs w:val="20"/>
            <w:u w:val="single"/>
          </w:rPr>
          <w:t xml:space="preserve">https://unpromptable.substack.com/p/5-ai-website-design-tips-for-websites</w:t>
        </w:r>
      </w:hyperlink>
    </w:p>
    <w:p>
      <w:pPr>
        <w:spacing w:after="100" w:line="312"/>
        <w:ind w:left="480" w:hanging="480"/>
      </w:pPr>
      <w:r>
        <w:rPr>
          <w:rFonts w:ascii="Times New Roman" w:eastAsia="SimSun"/>
          <w:b/>
          <w:bCs/>
          <w:color w:val="000000"/>
          <w:sz w:val="22"/>
          <w:szCs w:val="22"/>
        </w:rPr>
        <w:t xml:space="preserve">[13] </w:t>
      </w:r>
      <w:r>
        <w:rPr>
          <w:rFonts w:ascii="Times New Roman" w:eastAsia="SimSun"/>
          <w:color w:val="000000"/>
          <w:sz w:val="22"/>
          <w:szCs w:val="22"/>
        </w:rPr>
        <w:t xml:space="preserve">Samaresh Das (DEV). Why Most AI-Generated Websites Still Feel Generic (And What Actually Makes a Product Feel Premium). </w:t>
      </w:r>
      <w:hyperlink w:history="1" r:id="rId8c1kck5q_qk2hmcr3hwxb">
        <w:r>
          <w:rPr>
            <w:rFonts w:ascii="Times New Roman" w:eastAsia="SimSun"/>
            <w:color w:val="1B6B7A"/>
            <w:sz w:val="20"/>
            <w:szCs w:val="20"/>
            <w:u w:val="single"/>
          </w:rPr>
          <w:t xml:space="preserve">https://dev.to/samareshdas/why-most-ai-generated-websites-still-feel-generic-and-what-actually-makes-a-product-feel-premium-33p2</w:t>
        </w:r>
      </w:hyperlink>
    </w:p>
    <w:p>
      <w:pPr>
        <w:spacing w:after="100" w:line="312"/>
        <w:ind w:left="480" w:hanging="480"/>
      </w:pPr>
      <w:r>
        <w:rPr>
          <w:rFonts w:ascii="Times New Roman" w:eastAsia="SimSun"/>
          <w:b/>
          <w:bCs/>
          <w:color w:val="000000"/>
          <w:sz w:val="22"/>
          <w:szCs w:val="22"/>
        </w:rPr>
        <w:t xml:space="preserve">[14] </w:t>
      </w:r>
      <w:r>
        <w:rPr>
          <w:rFonts w:ascii="Times New Roman" w:eastAsia="SimSun"/>
          <w:color w:val="000000"/>
          <w:sz w:val="22"/>
          <w:szCs w:val="22"/>
        </w:rPr>
        <w:t xml:space="preserve">Issara Willenskomer (Medium). Creating Usability with Motion: The UX in Motion Manifesto (12 Principles of UX in Motion). </w:t>
      </w:r>
      <w:hyperlink w:history="1" r:id="rIdzxhpnmn20p8dbeholdasc">
        <w:r>
          <w:rPr>
            <w:rFonts w:ascii="Times New Roman" w:eastAsia="SimSun"/>
            <w:color w:val="1B6B7A"/>
            <w:sz w:val="20"/>
            <w:szCs w:val="20"/>
            <w:u w:val="single"/>
          </w:rPr>
          <w:t xml:space="preserve">https://medium.com/ux-in-motion/creating-usability-with-motion-the-ux-in-motion-manifesto-a87a4584ddc</w:t>
        </w:r>
      </w:hyperlink>
    </w:p>
    <w:p>
      <w:pPr>
        <w:spacing w:after="100" w:line="312"/>
        <w:ind w:left="480" w:hanging="480"/>
      </w:pPr>
      <w:r>
        <w:rPr>
          <w:rFonts w:ascii="Times New Roman" w:eastAsia="SimSun"/>
          <w:b/>
          <w:bCs/>
          <w:color w:val="000000"/>
          <w:sz w:val="22"/>
          <w:szCs w:val="22"/>
        </w:rPr>
        <w:t xml:space="preserve">[15] </w:t>
      </w:r>
      <w:r>
        <w:rPr>
          <w:rFonts w:ascii="Times New Roman" w:eastAsia="SimSun"/>
          <w:color w:val="000000"/>
          <w:sz w:val="22"/>
          <w:szCs w:val="22"/>
        </w:rPr>
        <w:t xml:space="preserve">BetterMockups. 9 Motion Design Principles for UI/UX Product Designers Now. </w:t>
      </w:r>
      <w:hyperlink w:history="1" r:id="rIdtsh3_er3lbweqhywgfvam">
        <w:r>
          <w:rPr>
            <w:rFonts w:ascii="Times New Roman" w:eastAsia="SimSun"/>
            <w:color w:val="1B6B7A"/>
            <w:sz w:val="20"/>
            <w:szCs w:val="20"/>
            <w:u w:val="single"/>
          </w:rPr>
          <w:t xml:space="preserve">https://www.bettermockups.com/blogs/resources/motion-design-principles</w:t>
        </w:r>
      </w:hyperlink>
    </w:p>
    <w:p>
      <w:pPr>
        <w:spacing w:after="100" w:line="312"/>
        <w:ind w:left="480" w:hanging="480"/>
      </w:pPr>
      <w:r>
        <w:rPr>
          <w:rFonts w:ascii="Times New Roman" w:eastAsia="SimSun"/>
          <w:b/>
          <w:bCs/>
          <w:color w:val="000000"/>
          <w:sz w:val="22"/>
          <w:szCs w:val="22"/>
        </w:rPr>
        <w:t xml:space="preserve">[16] </w:t>
      </w:r>
      <w:r>
        <w:rPr>
          <w:rFonts w:ascii="Times New Roman" w:eastAsia="SimSun"/>
          <w:color w:val="000000"/>
          <w:sz w:val="22"/>
          <w:szCs w:val="22"/>
        </w:rPr>
        <w:t xml:space="preserve">IXDF. The Role of Micro-interactions in Modern UX. </w:t>
      </w:r>
      <w:hyperlink w:history="1" r:id="rIdm4jrbxxjwj5gffmwboyg1">
        <w:r>
          <w:rPr>
            <w:rFonts w:ascii="Times New Roman" w:eastAsia="SimSun"/>
            <w:color w:val="1B6B7A"/>
            <w:sz w:val="20"/>
            <w:szCs w:val="20"/>
            <w:u w:val="single"/>
          </w:rPr>
          <w:t xml:space="preserve">https://ixdf.org/literature/article/micro-interactions-ux</w:t>
        </w:r>
      </w:hyperlink>
    </w:p>
    <w:p>
      <w:pPr>
        <w:spacing w:after="100" w:line="312"/>
        <w:ind w:left="480" w:hanging="480"/>
      </w:pPr>
      <w:r>
        <w:rPr>
          <w:rFonts w:ascii="Times New Roman" w:eastAsia="SimSun"/>
          <w:b/>
          <w:bCs/>
          <w:color w:val="000000"/>
          <w:sz w:val="22"/>
          <w:szCs w:val="22"/>
        </w:rPr>
        <w:t xml:space="preserve">[17] </w:t>
      </w:r>
      <w:r>
        <w:rPr>
          <w:rFonts w:ascii="Times New Roman" w:eastAsia="SimSun"/>
          <w:color w:val="000000"/>
          <w:sz w:val="22"/>
          <w:szCs w:val="22"/>
        </w:rPr>
        <w:t xml:space="preserve">Vezadigital. Best SaaS Landing Page Design Examples (2026). </w:t>
      </w:r>
      <w:hyperlink w:history="1" r:id="rIdvjrnhvsrgqdrzzrg9ackb">
        <w:r>
          <w:rPr>
            <w:rFonts w:ascii="Times New Roman" w:eastAsia="SimSun"/>
            <w:color w:val="1B6B7A"/>
            <w:sz w:val="20"/>
            <w:szCs w:val="20"/>
            <w:u w:val="single"/>
          </w:rPr>
          <w:t xml:space="preserve">https://www.vezadigital.com/post/best-saas-landing-page-examples</w:t>
        </w:r>
      </w:hyperlink>
    </w:p>
    <w:p>
      <w:pPr>
        <w:spacing w:after="100" w:line="312"/>
        <w:ind w:left="480" w:hanging="480"/>
      </w:pPr>
      <w:r>
        <w:rPr>
          <w:rFonts w:ascii="Times New Roman" w:eastAsia="SimSun"/>
          <w:b/>
          <w:bCs/>
          <w:color w:val="000000"/>
          <w:sz w:val="22"/>
          <w:szCs w:val="22"/>
        </w:rPr>
        <w:t xml:space="preserve">[18] </w:t>
      </w:r>
      <w:r>
        <w:rPr>
          <w:rFonts w:ascii="Times New Roman" w:eastAsia="SimSun"/>
          <w:color w:val="000000"/>
          <w:sz w:val="22"/>
          <w:szCs w:val="22"/>
        </w:rPr>
        <w:t xml:space="preserve">Involve Digital. High-Converting Landing Page Design 2026. </w:t>
      </w:r>
      <w:hyperlink w:history="1" r:id="rIdcbalnpuklyx2ytg_byfpd">
        <w:r>
          <w:rPr>
            <w:rFonts w:ascii="Times New Roman" w:eastAsia="SimSun"/>
            <w:color w:val="1B6B7A"/>
            <w:sz w:val="20"/>
            <w:szCs w:val="20"/>
            <w:u w:val="single"/>
          </w:rPr>
          <w:t xml:space="preserve">https://www.involvedigital.com/insights/landing-page-design-high-conversion-2026</w:t>
        </w:r>
      </w:hyperlink>
    </w:p>
    <w:p>
      <w:pPr>
        <w:spacing w:after="100" w:line="312"/>
        <w:ind w:left="480" w:hanging="480"/>
      </w:pPr>
      <w:r>
        <w:rPr>
          <w:rFonts w:ascii="Times New Roman" w:eastAsia="SimSun"/>
          <w:b/>
          <w:bCs/>
          <w:color w:val="000000"/>
          <w:sz w:val="22"/>
          <w:szCs w:val="22"/>
        </w:rPr>
        <w:t xml:space="preserve">[19] </w:t>
      </w:r>
      <w:r>
        <w:rPr>
          <w:rFonts w:ascii="Times New Roman" w:eastAsia="SimSun"/>
          <w:color w:val="000000"/>
          <w:sz w:val="22"/>
          <w:szCs w:val="22"/>
        </w:rPr>
        <w:t xml:space="preserve">SnapBlock AI. The Best SaaS Landing Page Structures That Convert in 2026. </w:t>
      </w:r>
      <w:hyperlink w:history="1" r:id="rIdaie6hc-y_dn6cxfusqppz">
        <w:r>
          <w:rPr>
            <w:rFonts w:ascii="Times New Roman" w:eastAsia="SimSun"/>
            <w:color w:val="1B6B7A"/>
            <w:sz w:val="20"/>
            <w:szCs w:val="20"/>
            <w:u w:val="single"/>
          </w:rPr>
          <w:t xml:space="preserve">https://snapblock.ai/blog/best-saas-landing-page-structures-2026</w:t>
        </w:r>
      </w:hyperlink>
    </w:p>
    <w:p>
      <w:pPr>
        <w:spacing w:after="100" w:line="312"/>
        <w:ind w:left="480" w:hanging="480"/>
      </w:pPr>
      <w:r>
        <w:rPr>
          <w:rFonts w:ascii="Times New Roman" w:eastAsia="SimSun"/>
          <w:b/>
          <w:bCs/>
          <w:color w:val="000000"/>
          <w:sz w:val="22"/>
          <w:szCs w:val="22"/>
        </w:rPr>
        <w:t xml:space="preserve">[20] </w:t>
      </w:r>
      <w:r>
        <w:rPr>
          <w:rFonts w:ascii="Times New Roman" w:eastAsia="SimSun"/>
          <w:color w:val="000000"/>
          <w:sz w:val="22"/>
          <w:szCs w:val="22"/>
        </w:rPr>
        <w:t xml:space="preserve">Taqwah Agency. 29 Best SaaS Landing Page Examples, Essential Elements. </w:t>
      </w:r>
      <w:hyperlink w:history="1" r:id="rIdxsoa5_bw6yshx6wmte_fb">
        <w:r>
          <w:rPr>
            <w:rFonts w:ascii="Times New Roman" w:eastAsia="SimSun"/>
            <w:color w:val="1B6B7A"/>
            <w:sz w:val="20"/>
            <w:szCs w:val="20"/>
            <w:u w:val="single"/>
          </w:rPr>
          <w:t xml:space="preserve">https://taqwah.agency/blog/saas-landing-page-examples</w:t>
        </w:r>
      </w:hyperlink>
    </w:p>
    <w:p>
      <w:pPr>
        <w:spacing w:after="100" w:line="312"/>
        <w:ind w:left="480" w:hanging="480"/>
      </w:pPr>
      <w:r>
        <w:rPr>
          <w:rFonts w:ascii="Times New Roman" w:eastAsia="SimSun"/>
          <w:b/>
          <w:bCs/>
          <w:color w:val="000000"/>
          <w:sz w:val="22"/>
          <w:szCs w:val="22"/>
        </w:rPr>
        <w:t xml:space="preserve">[21] </w:t>
      </w:r>
      <w:r>
        <w:rPr>
          <w:rFonts w:ascii="Times New Roman" w:eastAsia="SimSun"/>
          <w:color w:val="000000"/>
          <w:sz w:val="22"/>
          <w:szCs w:val="22"/>
        </w:rPr>
        <w:t xml:space="preserve">PimpMyType. Font Pairings for Inter. </w:t>
      </w:r>
      <w:hyperlink w:history="1" r:id="rIdrvuy3lkixd3dqewzzpiyx">
        <w:r>
          <w:rPr>
            <w:rFonts w:ascii="Times New Roman" w:eastAsia="SimSun"/>
            <w:color w:val="1B6B7A"/>
            <w:sz w:val="20"/>
            <w:szCs w:val="20"/>
            <w:u w:val="single"/>
          </w:rPr>
          <w:t xml:space="preserve">https://pimpmytype.com/inter-pairings</w:t>
        </w:r>
      </w:hyperlink>
    </w:p>
    <w:p>
      <w:pPr>
        <w:spacing w:after="100" w:line="312"/>
        <w:ind w:left="480" w:hanging="480"/>
      </w:pPr>
      <w:r>
        <w:rPr>
          <w:rFonts w:ascii="Times New Roman" w:eastAsia="SimSun"/>
          <w:b/>
          <w:bCs/>
          <w:color w:val="000000"/>
          <w:sz w:val="22"/>
          <w:szCs w:val="22"/>
        </w:rPr>
        <w:t xml:space="preserve">[22] </w:t>
      </w:r>
      <w:r>
        <w:rPr>
          <w:rFonts w:ascii="Times New Roman" w:eastAsia="SimSun"/>
          <w:color w:val="000000"/>
          <w:sz w:val="22"/>
          <w:szCs w:val="22"/>
        </w:rPr>
        <w:t xml:space="preserve">Art of Style Frame. Web Typography and Font Pairing: A Designer's Guide (2026). </w:t>
      </w:r>
      <w:hyperlink w:history="1" r:id="rIdhlyiwxtgg3gufudbpdxbq">
        <w:r>
          <w:rPr>
            <w:rFonts w:ascii="Times New Roman" w:eastAsia="SimSun"/>
            <w:color w:val="1B6B7A"/>
            <w:sz w:val="20"/>
            <w:szCs w:val="20"/>
            <w:u w:val="single"/>
          </w:rPr>
          <w:t xml:space="preserve">https://artofstyleframe.com/blog/web-typography-font-pairing-guide</w:t>
        </w:r>
      </w:hyperlink>
    </w:p>
    <w:p>
      <w:pPr>
        <w:spacing w:after="100" w:line="312"/>
        <w:ind w:left="480" w:hanging="480"/>
      </w:pPr>
      <w:r>
        <w:rPr>
          <w:rFonts w:ascii="Times New Roman" w:eastAsia="SimSun"/>
          <w:b/>
          <w:bCs/>
          <w:color w:val="000000"/>
          <w:sz w:val="22"/>
          <w:szCs w:val="22"/>
        </w:rPr>
        <w:t xml:space="preserve">[23] </w:t>
      </w:r>
      <w:r>
        <w:rPr>
          <w:rFonts w:ascii="Times New Roman" w:eastAsia="SimSun"/>
          <w:color w:val="000000"/>
          <w:sz w:val="22"/>
          <w:szCs w:val="22"/>
        </w:rPr>
        <w:t xml:space="preserve">LandingPageFlow. 20+ Beautiful Google Font Pairings For 2026 Websites. </w:t>
      </w:r>
      <w:hyperlink w:history="1" r:id="rIdrvj0bzzblqvjzvfmsboz5">
        <w:r>
          <w:rPr>
            <w:rFonts w:ascii="Times New Roman" w:eastAsia="SimSun"/>
            <w:color w:val="1B6B7A"/>
            <w:sz w:val="20"/>
            <w:szCs w:val="20"/>
            <w:u w:val="single"/>
          </w:rPr>
          <w:t xml:space="preserve">https://www.landingpageflow.com/post/google-font-pairings-for-websites</w:t>
        </w:r>
      </w:hyperlink>
    </w:p>
    <w:p>
      <w:pPr>
        <w:spacing w:after="100" w:line="312"/>
        <w:ind w:left="480" w:hanging="480"/>
      </w:pPr>
      <w:r>
        <w:rPr>
          <w:rFonts w:ascii="Times New Roman" w:eastAsia="SimSun"/>
          <w:b/>
          <w:bCs/>
          <w:color w:val="000000"/>
          <w:sz w:val="22"/>
          <w:szCs w:val="22"/>
        </w:rPr>
        <w:t xml:space="preserve">[24] </w:t>
      </w:r>
      <w:r>
        <w:rPr>
          <w:rFonts w:ascii="Times New Roman" w:eastAsia="SimSun"/>
          <w:color w:val="000000"/>
          <w:sz w:val="22"/>
          <w:szCs w:val="22"/>
        </w:rPr>
        <w:t xml:space="preserve">OpenAI Community. Prompt Engineering Is Dead, and Context Engineering Is Already Obsolete: Why the Future Is Automated Workflow Architecture with LLMs. </w:t>
      </w:r>
      <w:hyperlink w:history="1" r:id="rId3x0y8lipy-bnbznj4ungo">
        <w:r>
          <w:rPr>
            <w:rFonts w:ascii="Times New Roman" w:eastAsia="SimSun"/>
            <w:color w:val="1B6B7A"/>
            <w:sz w:val="20"/>
            <w:szCs w:val="20"/>
            <w:u w:val="single"/>
          </w:rPr>
          <w:t xml:space="preserve">https://community.openai.com/t/prompt-engineering-is-dead-and-context-engineering-is-already-obsolete-why-the-future-is-automated-workflow-architecture-with-llms/1314011</w:t>
        </w:r>
      </w:hyperlink>
    </w:p>
    <w:p>
      <w:pPr>
        <w:spacing w:after="100" w:line="312"/>
        <w:ind w:left="480" w:hanging="480"/>
      </w:pPr>
      <w:r>
        <w:rPr>
          <w:rFonts w:ascii="Times New Roman" w:eastAsia="SimSun"/>
          <w:b/>
          <w:bCs/>
          <w:color w:val="000000"/>
          <w:sz w:val="22"/>
          <w:szCs w:val="22"/>
        </w:rPr>
        <w:t xml:space="preserve">[25] </w:t>
      </w:r>
      <w:r>
        <w:rPr>
          <w:rFonts w:ascii="Times New Roman" w:eastAsia="SimSun"/>
          <w:color w:val="000000"/>
          <w:sz w:val="22"/>
          <w:szCs w:val="22"/>
        </w:rPr>
        <w:t xml:space="preserve">ARTJOKER. AI Prompt Engineering Best Practices 2026. </w:t>
      </w:r>
      <w:hyperlink w:history="1" r:id="rIdctr2_eawniiulfe77cg2n">
        <w:r>
          <w:rPr>
            <w:rFonts w:ascii="Times New Roman" w:eastAsia="SimSun"/>
            <w:color w:val="1B6B7A"/>
            <w:sz w:val="20"/>
            <w:szCs w:val="20"/>
            <w:u w:val="single"/>
          </w:rPr>
          <w:t xml:space="preserve">https://artjoker.net/blog/ai-prompt-engineering-best-practices</w:t>
        </w:r>
      </w:hyperlink>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SimSu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Prompting AI Builder Agents — A Workflow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SimSun"/>
        <w:color w:val="808080"/>
        <w:sz w:val="18"/>
        <w:szCs w:val="18"/>
      </w:rPr>
      <w:t xml:space="preserve">Prompting AI Builder Agents — A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outlineLvl w:val="0"/>
    </w:pPr>
    <w:rPr>
      <w:rFonts w:ascii="Arial" w:eastAsia="SimHei"/>
      <w:b/>
      <w:bCs/>
      <w:color w:val="162235"/>
      <w:sz w:val="32"/>
      <w:szCs w:val="32"/>
    </w:rPr>
  </w:style>
  <w:style w:type="paragraph" w:styleId="Heading2">
    <w:name w:val="Heading 2"/>
    <w:basedOn w:val="Normal"/>
    <w:next w:val="Normal"/>
    <w:qFormat/>
    <w:pPr>
      <w:spacing w:after="120" w:before="280" w:line="312"/>
      <w:outlineLvl w:val="1"/>
    </w:pPr>
    <w:rPr>
      <w:rFonts w:ascii="Arial" w:eastAsia="SimHei"/>
      <w:b/>
      <w:bCs/>
      <w:color w:val="162235"/>
      <w:sz w:val="28"/>
      <w:szCs w:val="28"/>
    </w:rPr>
  </w:style>
  <w:style w:type="paragraph" w:styleId="Heading3">
    <w:name w:val="Heading 3"/>
    <w:basedOn w:val="Normal"/>
    <w:next w:val="Normal"/>
    <w:qFormat/>
    <w:pPr>
      <w:spacing w:after="100" w:before="220" w:line="312"/>
      <w:outlineLvl w:val="2"/>
    </w:pPr>
    <w:rPr>
      <w:rFonts w:ascii="Arial" w:eastAsia="SimHei"/>
      <w:b/>
      <w:bCs/>
      <w:color w:val="162235"/>
      <w:sz w:val="24"/>
      <w:szCs w:val="24"/>
    </w:rPr>
  </w:style>
  <w:style w:type="paragraph" w:styleId="Heading4">
    <w:name w:val="Heading 4"/>
    <w:basedOn w:val="Normal"/>
    <w:next w:val="Normal"/>
    <w:qFormat/>
    <w:pPr>
      <w:spacing w:after="80" w:before="180" w:line="312"/>
      <w:outlineLvl w:val="3"/>
    </w:pPr>
    <w:rPr>
      <w:rFonts w:ascii="Arial" w:eastAsia="SimHei"/>
      <w:b/>
      <w:bCs/>
      <w:color w:val="1B6B7A"/>
      <w:sz w:val="22"/>
      <w:szCs w:val="22"/>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pwl2jyxdx6nv04ca7kvr" Type="http://schemas.openxmlformats.org/officeDocument/2006/relationships/hyperlink" Target="https://mightybot.ai/blog/coding-ai-agents-for-accelerating-engineering-workflows" TargetMode="External"/><Relationship Id="rIdcmimo0bjapejxbf1vsolt" Type="http://schemas.openxmlformats.org/officeDocument/2006/relationships/hyperlink" Target="https://www.firecrawl.dev/blog/best-ai-coding-agents" TargetMode="External"/><Relationship Id="rIdjrdu1rcwnef9pihyqy4lv" Type="http://schemas.openxmlformats.org/officeDocument/2006/relationships/hyperlink" Target="https://nimbalyst.com/blog/best-ai-coding-agents-2026" TargetMode="External"/><Relationship Id="rIdq2vh99p3wjv01jpgsvcuo" Type="http://schemas.openxmlformats.org/officeDocument/2006/relationships/hyperlink" Target="https://medium.com/@dave-patten/the-state-of-ai-coding-agents-2026-from-pair-programming-to-autonomous-ai-teams-b11f2b39232a" TargetMode="External"/><Relationship Id="rIdsowzciaittmehd0lvkxcq" Type="http://schemas.openxmlformats.org/officeDocument/2006/relationships/hyperlink" Target="https://www.anthropic.com/engineering/effective-context-engineering-for-ai-agents" TargetMode="External"/><Relationship Id="rIdntr1xhgmqwvelb5wk1u3u" Type="http://schemas.openxmlformats.org/officeDocument/2006/relationships/hyperlink" Target="https://www.linkedin.com/pulse/improving-llm-code-generation-prompt-engineering-shannon-lal-efffe" TargetMode="External"/><Relationship Id="rId1zvno5vft4tor5xkecjz2" Type="http://schemas.openxmlformats.org/officeDocument/2006/relationships/hyperlink" Target="https://codeling.dev/blog/prompt-engineering-best-practices" TargetMode="External"/><Relationship Id="rIdwft76l_peota1c_xggpvn" Type="http://schemas.openxmlformats.org/officeDocument/2006/relationships/hyperlink" Target="https://www.classter.com/blog/edtech/student-information-system-sis-vs-school-management-system-sms-what-do-you-need-in-2026" TargetMode="External"/><Relationship Id="rIdu8uqv6hs1ddw8vswobyel" Type="http://schemas.openxmlformats.org/officeDocument/2006/relationships/hyperlink" Target="https://gradelink.com/what-is-a-student-information-system-sis" TargetMode="External"/><Relationship Id="rIdqip0c5rbwywpohtuiucoz" Type="http://schemas.openxmlformats.org/officeDocument/2006/relationships/hyperlink" Target="https://openeducat.org/articles/student-management-system-vs-sis" TargetMode="External"/><Relationship Id="rIdmqqzvjbqtohbccfmisaxv" Type="http://schemas.openxmlformats.org/officeDocument/2006/relationships/hyperlink" Target="https://www.ellucian.com/blog/what-student-information-system-higher-ed" TargetMode="External"/><Relationship Id="rIdqe1vlhakiivs7lyiwyjug" Type="http://schemas.openxmlformats.org/officeDocument/2006/relationships/hyperlink" Target="https://unpromptable.substack.com/p/5-ai-website-design-tips-for-websites" TargetMode="External"/><Relationship Id="rId8c1kck5q_qk2hmcr3hwxb" Type="http://schemas.openxmlformats.org/officeDocument/2006/relationships/hyperlink" Target="https://dev.to/samareshdas/why-most-ai-generated-websites-still-feel-generic-and-what-actually-makes-a-product-feel-premium-33p2" TargetMode="External"/><Relationship Id="rIdzxhpnmn20p8dbeholdasc" Type="http://schemas.openxmlformats.org/officeDocument/2006/relationships/hyperlink" Target="https://medium.com/ux-in-motion/creating-usability-with-motion-the-ux-in-motion-manifesto-a87a4584ddc" TargetMode="External"/><Relationship Id="rIdtsh3_er3lbweqhywgfvam" Type="http://schemas.openxmlformats.org/officeDocument/2006/relationships/hyperlink" Target="https://www.bettermockups.com/blogs/resources/motion-design-principles" TargetMode="External"/><Relationship Id="rIdm4jrbxxjwj5gffmwboyg1" Type="http://schemas.openxmlformats.org/officeDocument/2006/relationships/hyperlink" Target="https://ixdf.org/literature/article/micro-interactions-ux" TargetMode="External"/><Relationship Id="rIdvjrnhvsrgqdrzzrg9ackb" Type="http://schemas.openxmlformats.org/officeDocument/2006/relationships/hyperlink" Target="https://www.vezadigital.com/post/best-saas-landing-page-examples" TargetMode="External"/><Relationship Id="rIdcbalnpuklyx2ytg_byfpd" Type="http://schemas.openxmlformats.org/officeDocument/2006/relationships/hyperlink" Target="https://www.involvedigital.com/insights/landing-page-design-high-conversion-2026" TargetMode="External"/><Relationship Id="rIdaie6hc-y_dn6cxfusqppz" Type="http://schemas.openxmlformats.org/officeDocument/2006/relationships/hyperlink" Target="https://snapblock.ai/blog/best-saas-landing-page-structures-2026" TargetMode="External"/><Relationship Id="rIdxsoa5_bw6yshx6wmte_fb" Type="http://schemas.openxmlformats.org/officeDocument/2006/relationships/hyperlink" Target="https://taqwah.agency/blog/saas-landing-page-examples" TargetMode="External"/><Relationship Id="rIdrvuy3lkixd3dqewzzpiyx" Type="http://schemas.openxmlformats.org/officeDocument/2006/relationships/hyperlink" Target="https://pimpmytype.com/inter-pairings" TargetMode="External"/><Relationship Id="rIdhlyiwxtgg3gufudbpdxbq" Type="http://schemas.openxmlformats.org/officeDocument/2006/relationships/hyperlink" Target="https://artofstyleframe.com/blog/web-typography-font-pairing-guide" TargetMode="External"/><Relationship Id="rIdrvj0bzzblqvjzvfmsboz5" Type="http://schemas.openxmlformats.org/officeDocument/2006/relationships/hyperlink" Target="https://www.landingpageflow.com/post/google-font-pairings-for-websites" TargetMode="External"/><Relationship Id="rId3x0y8lipy-bnbznj4ungo" Type="http://schemas.openxmlformats.org/officeDocument/2006/relationships/hyperlink" Target="https://community.openai.com/t/prompt-engineering-is-dead-and-context-engineering-is-already-obsolete-why-the-future-is-automated-workflow-architecture-with-llms/1314011" TargetMode="External"/><Relationship Id="rIdctr2_eawniiulfe77cg2n" Type="http://schemas.openxmlformats.org/officeDocument/2006/relationships/hyperlink" Target="https://artjoker.net/blog/ai-prompt-engineering-best-practices" TargetMode="External"/><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2026-08-27T12:30:21.197Z</dcterms:created>
  <dcterms:modified xsi:type="dcterms:W3CDTF">2026-08-27T12:30:21.197Z</dcterms:modified>
</cp:coreProperties>
</file>

<file path=docProps/custom.xml><?xml version="1.0" encoding="utf-8"?>
<Properties xmlns="http://schemas.openxmlformats.org/officeDocument/2006/custom-properties" xmlns:vt="http://schemas.openxmlformats.org/officeDocument/2006/docPropsVTypes"/>
</file>