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3750"/>
            </w:pPr>
          </w:p>
          <w:p>
            <w:pPr>
              <w:pBdr>
                <w:bottom w:val="single" w:color="C9A84C" w:sz="6" w:space="8"/>
              </w:pBdr>
              <w:spacing w:after="500"/>
              <w:ind w:left="1200" w:right="800"/>
            </w:pPr>
            <w:r>
              <w:rPr>
                <w:rFonts w:ascii="Calibri" w:eastAsia="SimHei"/>
                <w:color w:val="C9A84C"/>
                <w:spacing w:val="40"/>
                <w:sz w:val="18"/>
                <w:szCs w:val="18"/>
              </w:rPr>
              <w:t xml:space="preserve">B  U  S  I  N  E  S  S     P  R  O  F  E  S  S  I  O  N  A  L     R  E  S  E  A  R  C  H</w:t>
            </w:r>
          </w:p>
          <w:p>
            <w:pPr>
              <w:spacing w:after="100" w:line="690" w:lineRule="atLeast"/>
              <w:ind w:left="1200"/>
            </w:pPr>
            <w:r>
              <w:rPr>
                <w:rFonts w:ascii="Arial" w:eastAsia="SimHei"/>
                <w:b/>
                <w:bCs/>
                <w:color w:val="FFFFFF"/>
                <w:sz w:val="60"/>
                <w:szCs w:val="60"/>
              </w:rPr>
              <w:t xml:space="preserve">System Analysis, Quality</w:t>
            </w:r>
          </w:p>
          <w:p>
            <w:pPr>
              <w:spacing w:after="100" w:line="690" w:lineRule="atLeast"/>
              <w:ind w:left="1200"/>
            </w:pPr>
            <w:r>
              <w:rPr>
                <w:rFonts w:ascii="Arial" w:eastAsia="SimHei"/>
                <w:b/>
                <w:bCs/>
                <w:color w:val="FFFFFF"/>
                <w:sz w:val="60"/>
                <w:szCs w:val="60"/>
              </w:rPr>
              <w:t xml:space="preserve">Engineering, and Operational</w:t>
            </w:r>
          </w:p>
          <w:p>
            <w:pPr>
              <w:spacing w:after="300" w:line="690" w:lineRule="atLeast"/>
              <w:ind w:left="1200"/>
            </w:pPr>
            <w:r>
              <w:rPr>
                <w:rFonts w:ascii="Arial" w:eastAsia="SimHei"/>
                <w:b/>
                <w:bCs/>
                <w:color w:val="FFFFFF"/>
                <w:sz w:val="60"/>
                <w:szCs w:val="60"/>
              </w:rPr>
              <w:t xml:space="preserve">Excellence</w:t>
            </w:r>
          </w:p>
          <w:p>
            <w:pPr>
              <w:spacing w:after="800"/>
              <w:ind w:left="1200"/>
            </w:pPr>
            <w:r>
              <w:rPr>
                <w:rFonts w:ascii="Arial" w:eastAsia="Microsoft YaHei"/>
                <w:color w:val="B0B8C0"/>
                <w:sz w:val="22"/>
                <w:szCs w:val="22"/>
              </w:rPr>
              <w:t xml:space="preserve">The Fourth Foundational Document: Completing the AI Builder Playbook with Requirements Engineering, Testing Strategy, DevOps, SRE, Threat Modeling, Compliance, Performance, and Unit Economics</w:t>
            </w:r>
          </w:p>
          <w:p>
            <w:pPr>
              <w:pBdr>
                <w:left w:val="single" w:color="C9A84C" w:sz="8" w:space="12"/>
              </w:pBdr>
              <w:spacing w:after="80"/>
              <w:ind w:left="1400"/>
            </w:pPr>
            <w:r>
              <w:rPr>
                <w:rFonts w:ascii="Arial" w:eastAsia="Microsoft YaHei"/>
                <w:color w:val="90989F"/>
                <w:sz w:val="22"/>
                <w:szCs w:val="22"/>
              </w:rPr>
              <w:t xml:space="preserve">Document Type: In-Depth Research Report</w:t>
            </w:r>
          </w:p>
          <w:p>
            <w:pPr>
              <w:pBdr>
                <w:left w:val="single" w:color="C9A84C" w:sz="8" w:space="12"/>
              </w:pBdr>
              <w:spacing w:after="80"/>
              <w:ind w:left="1400"/>
            </w:pPr>
            <w:r>
              <w:rPr>
                <w:rFonts w:ascii="Arial" w:eastAsia="Microsoft YaHei"/>
                <w:color w:val="90989F"/>
                <w:sz w:val="22"/>
                <w:szCs w:val="22"/>
              </w:rPr>
              <w:t xml:space="preserve">Style: Business Professional</w:t>
            </w:r>
          </w:p>
          <w:p>
            <w:pPr>
              <w:pBdr>
                <w:left w:val="single" w:color="C9A84C" w:sz="8" w:space="12"/>
              </w:pBdr>
              <w:spacing w:after="80"/>
              <w:ind w:left="1400"/>
            </w:pPr>
            <w:r>
              <w:rPr>
                <w:rFonts w:ascii="Arial" w:eastAsia="Microsoft YaHei"/>
                <w:color w:val="90989F"/>
                <w:sz w:val="22"/>
                <w:szCs w:val="22"/>
              </w:rPr>
              <w:t xml:space="preserve">Scope: 10 Missing Process Areas for Real-World AI Builds</w:t>
            </w:r>
          </w:p>
          <w:p>
            <w:pPr>
              <w:pBdr>
                <w:left w:val="single" w:color="C9A84C" w:sz="8" w:space="12"/>
              </w:pBdr>
              <w:spacing w:after="80"/>
              <w:ind w:left="1400"/>
            </w:pPr>
            <w:r>
              <w:rPr>
                <w:rFonts w:ascii="Arial" w:eastAsia="Microsoft YaHei"/>
                <w:color w:val="90989F"/>
                <w:sz w:val="22"/>
                <w:szCs w:val="22"/>
              </w:rPr>
              <w:t xml:space="preserve">Prepared by: Super Z Research</w:t>
            </w:r>
          </w:p>
          <w:p>
            <w:pPr>
              <w:pBdr>
                <w:left w:val="single" w:color="C9A84C" w:sz="8" w:space="12"/>
              </w:pBdr>
              <w:spacing w:after="80"/>
              <w:ind w:left="1400"/>
            </w:pPr>
            <w:r>
              <w:rPr>
                <w:rFonts w:ascii="Arial" w:eastAsia="Microsoft YaHei"/>
                <w:color w:val="90989F"/>
                <w:sz w:val="22"/>
                <w:szCs w:val="22"/>
              </w:rPr>
              <w:t xml:space="preserve">Date: August 27, 2026</w:t>
            </w:r>
          </w:p>
          <w:p>
            <w:pPr>
              <w:spacing w:before="3750"/>
            </w:pPr>
          </w:p>
          <w:p>
            <w:pPr>
              <w:pBdr>
                <w:top w:val="single" w:color="C9A84C" w:sz="2" w:space="8"/>
              </w:pBdr>
              <w:spacing w:before="200"/>
              <w:ind w:left="1200" w:right="800"/>
            </w:pPr>
            <w:r>
              <w:rPr>
                <w:rFonts w:ascii="Arial"/>
                <w:color w:val="687078"/>
                <w:sz w:val="16"/>
                <w:szCs w:val="16"/>
              </w:rPr>
              <w:t xml:space="preserve">Confidential — For Strategic Planning</w:t>
            </w:r>
            <w:r>
              <w:t xml:space="preserve">                                        </w:t>
            </w:r>
            <w:r>
              <w:rPr>
                <w:rFonts w:ascii="Arial"/>
                <w:color w:val="687078"/>
                <w:sz w:val="16"/>
                <w:szCs w:val="16"/>
              </w:rPr>
              <w:t xml:space="preserve">2026 Edition</w:t>
            </w:r>
          </w:p>
        </w:tc>
      </w:tr>
    </w:tbl>
    <w:p>
      <w:pPr>
        <w:sectPr>
          <w:pgSz w:w="11906" w:h="16838" w:orient="portrait"/>
          <w:pgMar w:top="0" w:right="0" w:bottom="0" w:left="0" w:header="708" w:footer="708" w:gutter="0"/>
          <w:docGrid w:linePitch="360"/>
        </w:sectPr>
      </w:pPr>
    </w:p>
    <w:p>
      <w:pPr>
        <w:spacing w:after="360" w:before="480"/>
        <w:jc w:val="center"/>
      </w:pPr>
      <w:r>
        <w:rPr>
          <w:rFonts w:ascii="Arial" w:eastAsia="SimHei"/>
          <w:b/>
          <w:bCs/>
          <w:color w:val="1A1A1A"/>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Opening Hook and Thesis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Background and Context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Key Definitions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Scope of This Document</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3.3 Historical Context: The Evolution of the Disciplines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3.4 The Gap Analysis: Ten Missing Process Areas</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Requirements Engineering and System Analysis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4.1 Use Case Modeling and User Stories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4.2 Behavior-Driven Development and Gherkin</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4.3 The Requirements Traceability Matrix</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5. Testing Strategy and Quality Engineering</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5.1 The Testing Pyramid and Its Modern Adaptations</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5.2 Contract Testing for the Integration Contract</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5.3 Test Data Management</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6. DevOps and Infrastructure as Code</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6.1 Infrastructure as Code Tool Selection</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6.2 The CI/CD Pipeline Design</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6.3 Environment Management and Parity</w:t>
            </w:r>
            <w:r>
              <w:tab/>
            </w:r>
            <w:r>
              <w:fldChar w:fldCharType="begin"/>
            </w:r>
            <w:r>
              <w:instrText xml:space="preserve"> PAGEREF _Toc100018 \h </w:instrText>
            </w:r>
            <w:r>
              <w:fldChar w:fldCharType="separate"/>
            </w:r>
            <w:r>
              <w:t>7</w:t>
            </w:r>
            <w:r>
              <w:fldChar w:fldCharType="end"/>
            </w:r>
          </w:hyperlink>
        </w:p>
        <w:p>
          <w:pPr>
            <w:pStyle w:val="9"/>
            <w:tabs>
              <w:tab w:val="right" w:leader="dot" w:pos="9026"/>
            </w:tabs>
            <w:spacing w:before="120" w:after="60"/>
          </w:pPr>
          <w:hyperlink w:anchor="_Toc100019" w:history="1">
            <w:r>
              <w:rPr>
                <w:rStyle w:val="Hyperlink"/>
              </w:rPr>
              <w:t>7. Site Reliability Engineering and Incident Response</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7.1 The On-Call Rotation and Alerting</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7.2 The Incident Response Process</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7.3 The Blameless Postmortem</w:t>
            </w:r>
            <w:r>
              <w:tab/>
            </w:r>
            <w:r>
              <w:fldChar w:fldCharType="begin"/>
            </w:r>
            <w:r>
              <w:instrText xml:space="preserve"> PAGEREF _Toc100022 \h </w:instrText>
            </w:r>
            <w:r>
              <w:fldChar w:fldCharType="separate"/>
            </w:r>
            <w:r>
              <w:t>8</w:t>
            </w:r>
            <w:r>
              <w:fldChar w:fldCharType="end"/>
            </w:r>
          </w:hyperlink>
        </w:p>
        <w:p>
          <w:pPr>
            <w:pStyle w:val="9"/>
            <w:tabs>
              <w:tab w:val="right" w:leader="dot" w:pos="9026"/>
            </w:tabs>
            <w:spacing w:before="120" w:after="60"/>
          </w:pPr>
          <w:hyperlink w:anchor="_Toc100023" w:history="1">
            <w:r>
              <w:rPr>
                <w:rStyle w:val="Hyperlink"/>
              </w:rPr>
              <w:t>8. Threat Modeling and Security Architecture</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8.1 The STRIDE Threat Modeling Process</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8.2 Security Architecture Review</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8.3 The Secure SDLC</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9. Compliance Operationalization</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9.1 SOC 2 Continuous Compliance</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9.2 GDPR and Data Subject Rights</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9.3 The Compliance Evidence Pipeline</w:t>
            </w:r>
            <w:r>
              <w:tab/>
            </w:r>
            <w:r>
              <w:fldChar w:fldCharType="begin"/>
            </w:r>
            <w:r>
              <w:instrText xml:space="preserve"> PAGEREF _Toc100030 \h </w:instrText>
            </w:r>
            <w:r>
              <w:fldChar w:fldCharType="separate"/>
            </w:r>
            <w:r>
              <w:t>10</w:t>
            </w:r>
            <w:r>
              <w:fldChar w:fldCharType="end"/>
            </w:r>
          </w:hyperlink>
        </w:p>
        <w:p>
          <w:pPr>
            <w:pStyle w:val="9"/>
            <w:tabs>
              <w:tab w:val="right" w:leader="dot" w:pos="9026"/>
            </w:tabs>
            <w:spacing w:before="120" w:after="60"/>
          </w:pPr>
          <w:hyperlink w:anchor="_Toc100031" w:history="1">
            <w:r>
              <w:rPr>
                <w:rStyle w:val="Hyperlink"/>
              </w:rPr>
              <w:t>10. Performance Engineering</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10.1 Performance Budgets</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10.2 Capacity Planning</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10.3 Profiling and Optimization</w:t>
            </w:r>
            <w:r>
              <w:tab/>
            </w:r>
            <w:r>
              <w:fldChar w:fldCharType="begin"/>
            </w:r>
            <w:r>
              <w:instrText xml:space="preserve"> PAGEREF _Toc100034 \h </w:instrText>
            </w:r>
            <w:r>
              <w:fldChar w:fldCharType="separate"/>
            </w:r>
            <w:r>
              <w:t>11</w:t>
            </w:r>
            <w:r>
              <w:fldChar w:fldCharType="end"/>
            </w:r>
          </w:hyperlink>
        </w:p>
        <w:p>
          <w:pPr>
            <w:pStyle w:val="9"/>
            <w:tabs>
              <w:tab w:val="right" w:leader="dot" w:pos="9026"/>
            </w:tabs>
            <w:spacing w:before="120" w:after="60"/>
          </w:pPr>
          <w:hyperlink w:anchor="_Toc100035" w:history="1">
            <w:r>
              <w:rPr>
                <w:rStyle w:val="Hyperlink"/>
              </w:rPr>
              <w:t>11. Architecture Decision Records</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11.1 The ADR Template and Process</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11.2 What Decisions Require an ADR</w:t>
            </w:r>
            <w:r>
              <w:tab/>
            </w:r>
            <w:r>
              <w:fldChar w:fldCharType="begin"/>
            </w:r>
            <w:r>
              <w:instrText xml:space="preserve"> PAGEREF _Toc100037 \h </w:instrText>
            </w:r>
            <w:r>
              <w:fldChar w:fldCharType="separate"/>
            </w:r>
            <w:r>
              <w:t>12</w:t>
            </w:r>
            <w:r>
              <w:fldChar w:fldCharType="end"/>
            </w:r>
          </w:hyperlink>
        </w:p>
        <w:p>
          <w:pPr>
            <w:pStyle w:val="9"/>
            <w:tabs>
              <w:tab w:val="right" w:leader="dot" w:pos="9026"/>
            </w:tabs>
            <w:spacing w:before="120" w:after="60"/>
          </w:pPr>
          <w:hyperlink w:anchor="_Toc100038" w:history="1">
            <w:r>
              <w:rPr>
                <w:rStyle w:val="Hyperlink"/>
              </w:rPr>
              <w:t>12. Go-to-Market and Launch Planning</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12.1 The Beta and the Design Partner Program</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12.2 Feature Flags and Gradual Rollout</w:t>
            </w:r>
            <w:r>
              <w:tab/>
            </w:r>
            <w:r>
              <w:fldChar w:fldCharType="begin"/>
            </w:r>
            <w:r>
              <w:instrText xml:space="preserve"> PAGEREF _Toc100040 \h </w:instrText>
            </w:r>
            <w:r>
              <w:fldChar w:fldCharType="separate"/>
            </w:r>
            <w:r>
              <w:t>13</w:t>
            </w:r>
            <w:r>
              <w:fldChar w:fldCharType="end"/>
            </w:r>
          </w:hyperlink>
        </w:p>
        <w:p>
          <w:pPr>
            <w:pStyle w:val="11"/>
            <w:ind w:left="360"/>
            <w:tabs>
              <w:tab w:val="right" w:leader="dot" w:pos="9026"/>
            </w:tabs>
            <w:spacing w:before="120" w:after="60"/>
          </w:pPr>
          <w:hyperlink w:anchor="_Toc100041" w:history="1">
            <w:r>
              <w:rPr>
                <w:rStyle w:val="Hyperlink"/>
              </w:rPr>
              <w:t>12.3 Product Analytics and the Feedback Loop</w:t>
            </w:r>
            <w:r>
              <w:tab/>
            </w:r>
            <w:r>
              <w:fldChar w:fldCharType="begin"/>
            </w:r>
            <w:r>
              <w:instrText xml:space="preserve"> PAGEREF _Toc100041 \h </w:instrText>
            </w:r>
            <w:r>
              <w:fldChar w:fldCharType="separate"/>
            </w:r>
            <w:r>
              <w:t>13</w:t>
            </w:r>
            <w:r>
              <w:fldChar w:fldCharType="end"/>
            </w:r>
          </w:hyperlink>
        </w:p>
        <w:p>
          <w:pPr>
            <w:pStyle w:val="9"/>
            <w:tabs>
              <w:tab w:val="right" w:leader="dot" w:pos="9026"/>
            </w:tabs>
            <w:spacing w:before="120" w:after="60"/>
          </w:pPr>
          <w:hyperlink w:anchor="_Toc100042" w:history="1">
            <w:r>
              <w:rPr>
                <w:rStyle w:val="Hyperlink"/>
              </w:rPr>
              <w:t>13. Unit Economics and Cost Management</w:t>
            </w:r>
            <w:r>
              <w:tab/>
            </w:r>
            <w:r>
              <w:fldChar w:fldCharType="begin"/>
            </w:r>
            <w:r>
              <w:instrText xml:space="preserve"> PAGEREF _Toc100042 \h </w:instrText>
            </w:r>
            <w:r>
              <w:fldChar w:fldCharType="separate"/>
            </w:r>
            <w:r>
              <w:t>13</w:t>
            </w:r>
            <w:r>
              <w:fldChar w:fldCharType="end"/>
            </w:r>
          </w:hyperlink>
        </w:p>
        <w:p>
          <w:pPr>
            <w:pStyle w:val="11"/>
            <w:ind w:left="360"/>
            <w:tabs>
              <w:tab w:val="right" w:leader="dot" w:pos="9026"/>
            </w:tabs>
            <w:spacing w:before="120" w:after="60"/>
          </w:pPr>
          <w:hyperlink w:anchor="_Toc100043" w:history="1">
            <w:r>
              <w:rPr>
                <w:rStyle w:val="Hyperlink"/>
              </w:rPr>
              <w:t>13.1 The Core Unit Economics Metrics</w:t>
            </w:r>
            <w:r>
              <w:tab/>
            </w:r>
            <w:r>
              <w:fldChar w:fldCharType="begin"/>
            </w:r>
            <w:r>
              <w:instrText xml:space="preserve"> PAGEREF _Toc100043 \h </w:instrText>
            </w:r>
            <w:r>
              <w:fldChar w:fldCharType="separate"/>
            </w:r>
            <w:r>
              <w:t>13</w:t>
            </w:r>
            <w:r>
              <w:fldChar w:fldCharType="end"/>
            </w:r>
          </w:hyperlink>
        </w:p>
        <w:p>
          <w:pPr>
            <w:pStyle w:val="11"/>
            <w:ind w:left="360"/>
            <w:tabs>
              <w:tab w:val="right" w:leader="dot" w:pos="9026"/>
            </w:tabs>
            <w:spacing w:before="120" w:after="60"/>
          </w:pPr>
          <w:hyperlink w:anchor="_Toc100044" w:history="1">
            <w:r>
              <w:rPr>
                <w:rStyle w:val="Hyperlink"/>
              </w:rPr>
              <w:t>13.2 COGS Composition for SaaS</w:t>
            </w:r>
            <w:r>
              <w:tab/>
            </w:r>
            <w:r>
              <w:fldChar w:fldCharType="begin"/>
            </w:r>
            <w:r>
              <w:instrText xml:space="preserve"> PAGEREF _Toc100044 \h </w:instrText>
            </w:r>
            <w:r>
              <w:fldChar w:fldCharType="separate"/>
            </w:r>
            <w:r>
              <w:t>14</w:t>
            </w:r>
            <w:r>
              <w:fldChar w:fldCharType="end"/>
            </w:r>
          </w:hyperlink>
        </w:p>
        <w:p>
          <w:pPr>
            <w:pStyle w:val="11"/>
            <w:ind w:left="360"/>
            <w:tabs>
              <w:tab w:val="right" w:leader="dot" w:pos="9026"/>
            </w:tabs>
            <w:spacing w:before="120" w:after="60"/>
          </w:pPr>
          <w:hyperlink w:anchor="_Toc100045" w:history="1">
            <w:r>
              <w:rPr>
                <w:rStyle w:val="Hyperlink"/>
              </w:rPr>
              <w:t>13.3 Pricing Strategy and the Revenue Model</w:t>
            </w:r>
            <w:r>
              <w:tab/>
            </w:r>
            <w:r>
              <w:fldChar w:fldCharType="begin"/>
            </w:r>
            <w:r>
              <w:instrText xml:space="preserve"> PAGEREF _Toc100045 \h </w:instrText>
            </w:r>
            <w:r>
              <w:fldChar w:fldCharType="separate"/>
            </w:r>
            <w:r>
              <w:t>14</w:t>
            </w:r>
            <w:r>
              <w:fldChar w:fldCharType="end"/>
            </w:r>
          </w:hyperlink>
        </w:p>
        <w:p>
          <w:pPr>
            <w:pStyle w:val="9"/>
            <w:tabs>
              <w:tab w:val="right" w:leader="dot" w:pos="9026"/>
            </w:tabs>
            <w:spacing w:before="120" w:after="60"/>
          </w:pPr>
          <w:hyperlink w:anchor="_Toc100046" w:history="1">
            <w:r>
              <w:rPr>
                <w:rStyle w:val="Hyperlink"/>
              </w:rPr>
              <w:t>14. Synthesis: Mapping the Ten Areas to the System Lifecycle</w:t>
            </w:r>
            <w:r>
              <w:tab/>
            </w:r>
            <w:r>
              <w:fldChar w:fldCharType="begin"/>
            </w:r>
            <w:r>
              <w:instrText xml:space="preserve"> PAGEREF _Toc100046 \h </w:instrText>
            </w:r>
            <w:r>
              <w:fldChar w:fldCharType="separate"/>
            </w:r>
            <w:r>
              <w:t>14</w:t>
            </w:r>
            <w:r>
              <w:fldChar w:fldCharType="end"/>
            </w:r>
          </w:hyperlink>
        </w:p>
        <w:p>
          <w:pPr>
            <w:pStyle w:val="9"/>
            <w:tabs>
              <w:tab w:val="right" w:leader="dot" w:pos="9026"/>
            </w:tabs>
            <w:spacing w:before="120" w:after="60"/>
          </w:pPr>
          <w:hyperlink w:anchor="_Toc100047" w:history="1">
            <w:r>
              <w:rPr>
                <w:rStyle w:val="Hyperlink"/>
              </w:rPr>
              <w:t>15. Counterarguments and Limitations</w:t>
            </w:r>
            <w:r>
              <w:tab/>
            </w:r>
            <w:r>
              <w:fldChar w:fldCharType="begin"/>
            </w:r>
            <w:r>
              <w:instrText xml:space="preserve"> PAGEREF _Toc100047 \h </w:instrText>
            </w:r>
            <w:r>
              <w:fldChar w:fldCharType="separate"/>
            </w:r>
            <w:r>
              <w:t>15</w:t>
            </w:r>
            <w:r>
              <w:fldChar w:fldCharType="end"/>
            </w:r>
          </w:hyperlink>
        </w:p>
        <w:p>
          <w:pPr>
            <w:pStyle w:val="9"/>
            <w:tabs>
              <w:tab w:val="right" w:leader="dot" w:pos="9026"/>
            </w:tabs>
            <w:spacing w:before="120" w:after="60"/>
          </w:pPr>
          <w:hyperlink w:anchor="_Toc100048" w:history="1">
            <w:r>
              <w:rPr>
                <w:rStyle w:val="Hyperlink"/>
              </w:rPr>
              <w:t>16. Conclusion and Strategic Implications</w:t>
            </w:r>
            <w:r>
              <w:tab/>
            </w:r>
            <w:r>
              <w:fldChar w:fldCharType="begin"/>
            </w:r>
            <w:r>
              <w:instrText xml:space="preserve"> PAGEREF _Toc100048 \h </w:instrText>
            </w:r>
            <w:r>
              <w:fldChar w:fldCharType="separate"/>
            </w:r>
            <w:r>
              <w:t>15</w:t>
            </w:r>
            <w:r>
              <w:fldChar w:fldCharType="end"/>
            </w:r>
          </w:hyperlink>
        </w:p>
        <w:p>
          <w:pPr>
            <w:pStyle w:val="9"/>
            <w:tabs>
              <w:tab w:val="right" w:leader="dot" w:pos="9026"/>
            </w:tabs>
            <w:spacing w:before="120" w:after="60"/>
          </w:pPr>
          <w:hyperlink w:anchor="_Toc100049" w:history="1">
            <w:r>
              <w:rPr>
                <w:rStyle w:val="Hyperlink"/>
              </w:rPr>
              <w:t>17. References</w:t>
            </w:r>
            <w:r>
              <w:tab/>
            </w:r>
            <w:r>
              <w:fldChar w:fldCharType="begin"/>
            </w:r>
            <w:r>
              <w:instrText xml:space="preserve"> PAGEREF _Toc100049 \h </w:instrText>
            </w:r>
            <w:r>
              <w:fldChar w:fldCharType="separate"/>
            </w:r>
            <w:r>
              <w:t>16</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Arial" w:eastAsia="SimHei"/>
          <w:b/>
          <w:bCs/>
          <w:color w:val="1A1A1A"/>
          <w:sz w:val="32"/>
          <w:szCs w:val="32"/>
        </w:rPr>
        <w:t xml:space="preserve">1. Executive Summary</w:t>
      </w:r>
      <w:bookmarkEnd w:id="100000"/>
    </w:p>
    <w:p>
      <w:pPr>
        <w:spacing w:after="120" w:line="312"/>
        <w:ind w:firstLine="360"/>
        <w:jc w:val="both"/>
      </w:pPr>
      <w:r>
        <w:rPr>
          <w:rFonts w:ascii="Times New Roman" w:eastAsia="SimSun"/>
          <w:color w:val="000000"/>
          <w:sz w:val="24"/>
          <w:szCs w:val="24"/>
        </w:rPr>
        <w:t xml:space="preserve">This report is the fourth foundational document in the AI builder playbook, and it exists to answer a specific question: what processes, foundations, planning, and decisions are still missing from the existing three documents, and what must be added to meet real-world standards when building systems through AI builder agents? The three existing documents cover the architecture and data models, the prompt engineering, and the technology stack selection. They are necessary but not sufficient. A real-world system requires additional disciplines that the three documents do not cover in depth: requirements engineering and system analysis, a comprehensive testing strategy, DevOps and infrastructure as code, site reliability engineering and incident response, threat modeling and security architecture, compliance operationalization, performance engineering, architecture decision records, go-to-market and launch planning, and unit economics and cost management. This document covers each of these ten areas with the depth needed to direct an AI builder agent, and it completes the playbook.</w:t>
      </w:r>
    </w:p>
    <w:p>
      <w:pPr>
        <w:spacing w:after="120" w:line="312"/>
        <w:ind w:firstLine="360"/>
        <w:jc w:val="both"/>
      </w:pPr>
      <w:r>
        <w:rPr>
          <w:rFonts w:ascii="Times New Roman" w:eastAsia="SimSun"/>
          <w:color w:val="000000"/>
          <w:sz w:val="24"/>
          <w:szCs w:val="24"/>
        </w:rPr>
        <w:t xml:space="preserve">The central finding of the gap analysis is that the three existing documents address the design and the implementation of a system, but they do not address the disciplines that govern the system's quality, its operability, its security posture, its compliance, its performance, its documentation, its launch, or its financial sustainability. An AI builder directed by the three documents alone will produce a system that is architecturally sound and that integrates correctly, but that lacks the test coverage to be reliable, the infrastructure-as-code to be reproducible, the incident response to be operable, the threat model to be secure, the compliance evidence to be procurement-ready, the performance budgets to be fast, the decision records to be maintainable, the launch plan to reach customers, or the unit economics to be profitable. Each of these gaps is a gap that will manifest as a defect, an incident, a failed procurement, or a financial loss, and each is a gap that this document fills.</w:t>
      </w:r>
    </w:p>
    <w:p>
      <w:pPr>
        <w:spacing w:after="120" w:line="312"/>
        <w:ind w:firstLine="360"/>
        <w:jc w:val="both"/>
      </w:pPr>
      <w:r>
        <w:rPr>
          <w:rFonts w:ascii="Times New Roman" w:eastAsia="SimSun"/>
          <w:color w:val="000000"/>
          <w:sz w:val="24"/>
          <w:szCs w:val="24"/>
        </w:rPr>
        <w:t xml:space="preserve">The document is organized into ten sections, one per missing process area, each specifying the artifacts the AI builder must produce, the verification gates that govern them, and the prompts that direct the agent. The document concludes with a synthesis that maps the ten areas to the system lifecycle, a counterarguments section that addresses the objection that the process is excessive, and a references section. The document is designed to be used alongside the three existing documents: the builder loads the relevant sections as context, directs the agent with the prompts, and verifies the output against the gates. The result is a system that meets the real-world standard not only in its architecture and its integration but in its quality, its operability, its security, its compliance, its performance, its documentation, its launch, and its finances.</w:t>
      </w:r>
    </w:p>
    <w:p>
      <w:pPr>
        <w:pStyle w:val="Heading1"/>
        <w:spacing w:after="160" w:before="360" w:line="312"/>
      </w:pPr>
      <w:bookmarkStart w:id="100001" w:name="_Toc100001"/>
      <w:r>
        <w:rPr>
          <w:rFonts w:ascii="Arial" w:eastAsia="SimHei"/>
          <w:b/>
          <w:bCs/>
          <w:color w:val="1A1A1A"/>
          <w:sz w:val="32"/>
          <w:szCs w:val="32"/>
        </w:rPr>
        <w:t xml:space="preserve">2. Opening Hook and Thesis</w:t>
      </w:r>
      <w:bookmarkEnd w:id="100001"/>
    </w:p>
    <w:p>
      <w:pPr>
        <w:spacing w:after="120" w:line="312"/>
        <w:ind w:firstLine="360"/>
        <w:jc w:val="both"/>
      </w:pPr>
      <w:r>
        <w:rPr>
          <w:rFonts w:ascii="Times New Roman" w:eastAsia="SimSun"/>
          <w:color w:val="000000"/>
          <w:sz w:val="24"/>
          <w:szCs w:val="24"/>
        </w:rPr>
        <w:t xml:space="preserve">The three documents we have built, the foundation, the prompt guide, and the stack guide, together specify the what, the how, and the which of a production-grade system. They specify the architecture and the data model, the prompt architecture that directs the agent, and the concrete technology choices and the integration contract. A builder who follows these three documents will produce a system that is architecturally sound, that is built through a disciplined prompt sequence, and that integrates correctly between the frontend and the backend. The question this document addresses is whether that is enough. The honest answer, established through a systematic gap analysis, is that it is not.</w:t>
      </w:r>
    </w:p>
    <w:p>
      <w:pPr>
        <w:spacing w:after="120" w:line="312"/>
        <w:ind w:firstLine="360"/>
        <w:jc w:val="both"/>
      </w:pPr>
      <w:r>
        <w:rPr>
          <w:rFonts w:ascii="Times New Roman" w:eastAsia="SimSun"/>
          <w:color w:val="000000"/>
          <w:sz w:val="24"/>
          <w:szCs w:val="24"/>
        </w:rPr>
        <w:t xml:space="preserve">The gap is not in the design or the implementation; it is in the disciplines that surround the design and the implementation and that determine whether the system is reliable, operable, secure, compliant, fast, documented, launched, and profitable. A system can be architecturally sound and still fail in production because it lacks the test coverage to catch regressions. A system can integrate correctly and still fail a security audit because it was never threat-modeled. A system can be built well and still fail commercially because its unit economics were never computed and its pricing was never validated. These are the gaps that this document fills, and they are the gaps that distinguish a system that meets the real-world standard from a system that meets the architectural standard but fails the operational, the security, the compliance, the performance, and the commercial standards.</w:t>
      </w:r>
    </w:p>
    <w:p>
      <w:pPr>
        <w:spacing w:after="120" w:line="312"/>
        <w:ind w:firstLine="360"/>
        <w:jc w:val="both"/>
      </w:pPr>
      <w:r>
        <w:rPr>
          <w:rFonts w:ascii="Times New Roman" w:eastAsia="SimSun"/>
          <w:color w:val="000000"/>
          <w:sz w:val="24"/>
          <w:szCs w:val="24"/>
        </w:rPr>
        <w:t xml:space="preserve">The thesis is therefore the following. A production-grade system built by an AI agent requires, in addition to the architecture, the prompt discipline, and the stack selection, a set of ten operational disciplines that govern the system's quality, operability, security, compliance, performance, documentation, launch, and finances. These disciplines are requirements engineering, testing strategy, DevOps and infrastructure as code, site reliability engineering, threat modeling, compliance operationalization, performance engineering, architecture decision records, go-to-market and launch, and unit economics. Each discipline produces defined artifacts, is governed by verification gates, and is directed by specific prompts that the AI builder executes. This document specifies each discipline with the depth needed to direct the agent, and it completes the playbook that began with the foundation document.</w:t>
      </w:r>
    </w:p>
    <w:p>
      <w:pPr>
        <w:pStyle w:val="Heading1"/>
        <w:spacing w:after="160" w:before="360" w:line="312"/>
      </w:pPr>
      <w:bookmarkStart w:id="100002" w:name="_Toc100002"/>
      <w:r>
        <w:rPr>
          <w:rFonts w:ascii="Arial" w:eastAsia="SimHei"/>
          <w:b/>
          <w:bCs/>
          <w:color w:val="1A1A1A"/>
          <w:sz w:val="32"/>
          <w:szCs w:val="32"/>
        </w:rPr>
        <w:t xml:space="preserve">3. Background and Context</w:t>
      </w:r>
      <w:bookmarkEnd w:id="100002"/>
    </w:p>
    <w:p>
      <w:pPr>
        <w:pStyle w:val="Heading2"/>
        <w:spacing w:after="120" w:before="280" w:line="312"/>
      </w:pPr>
      <w:bookmarkStart w:id="100003" w:name="_Toc100003"/>
      <w:r>
        <w:rPr>
          <w:rFonts w:ascii="Arial" w:eastAsia="SimHei"/>
          <w:b/>
          <w:bCs/>
          <w:color w:val="1A1A1A"/>
          <w:sz w:val="28"/>
          <w:szCs w:val="28"/>
        </w:rPr>
        <w:t xml:space="preserve">3.1 Key Definitions</w:t>
      </w:r>
      <w:bookmarkEnd w:id="100003"/>
    </w:p>
    <w:p>
      <w:pPr>
        <w:spacing w:after="120" w:line="312"/>
        <w:ind w:firstLine="360"/>
        <w:jc w:val="both"/>
      </w:pPr>
      <w:r>
        <w:rPr>
          <w:rFonts w:ascii="Times New Roman" w:eastAsia="SimSun"/>
          <w:color w:val="000000"/>
          <w:sz w:val="24"/>
          <w:szCs w:val="24"/>
        </w:rPr>
        <w:t xml:space="preserve">Before proceeding to the gap analysis and the ten process areas, it is necessary to define the key terms that this document uses, because the terms are often used loosely in the industry and the precise meanings matter for the disciplines that follow. System analysis is the discipline of studying a system's requirements, its components, and their interactions, with the goal of producing a specification that the implementation can follow. Quality engineering is the discipline of designing quality into the system from the start, through the testing strategy, the quality gates, and the continuous verification, rather than inspecting quality in at the end. Operational excellence is the discipline of operating the system in production with the reliability, the security, the compliance, and the efficiency that the real-world standard requires, and it encompasses the site reliability engineering, the incident response, the compliance operationalization, and the cost management practices.</w:t>
      </w:r>
    </w:p>
    <w:p>
      <w:pPr>
        <w:spacing w:after="120" w:line="312"/>
        <w:ind w:firstLine="360"/>
        <w:jc w:val="both"/>
      </w:pPr>
      <w:r>
        <w:rPr>
          <w:rFonts w:ascii="Times New Roman" w:eastAsia="SimSun"/>
          <w:color w:val="000000"/>
          <w:sz w:val="24"/>
          <w:szCs w:val="24"/>
        </w:rPr>
        <w:t xml:space="preserve">An AI builder agent, in the context of this document, is an autonomous software agent that reads repositories, plans tasks, edits code across files, runs tests, and submits changes, with limited human intervention. The agent may operate as a solo builder, handling planning and execution sequentially, or as part of a multi-agent team, with a planning agent decomposing the work and execution agents implementing it in parallel. The four-document playbook, comprising the foundation document, the prompt guide, the stack guide, and this operational excellence guide, is the complete specification that the AI builder loads as context and that the prompt architecture directs the agent to implement. A real-world standard system, the target of the playbook, is a system that meets the commercial, operational, security, compliance, and financial standards that a business buyer and a regulatory authority enforce, not merely the architectural standard that a technical reviewer would accept.</w:t>
      </w:r>
    </w:p>
    <w:p>
      <w:pPr>
        <w:pStyle w:val="Heading2"/>
        <w:spacing w:after="120" w:before="280" w:line="312"/>
      </w:pPr>
      <w:bookmarkStart w:id="100004" w:name="_Toc100004"/>
      <w:r>
        <w:rPr>
          <w:rFonts w:ascii="Arial" w:eastAsia="SimHei"/>
          <w:b/>
          <w:bCs/>
          <w:color w:val="1A1A1A"/>
          <w:sz w:val="28"/>
          <w:szCs w:val="28"/>
        </w:rPr>
        <w:t xml:space="preserve">3.2 Scope of This Document</w:t>
      </w:r>
      <w:bookmarkEnd w:id="100004"/>
    </w:p>
    <w:p>
      <w:pPr>
        <w:spacing w:after="120" w:line="312"/>
        <w:ind w:firstLine="360"/>
        <w:jc w:val="both"/>
      </w:pPr>
      <w:r>
        <w:rPr>
          <w:rFonts w:ascii="Times New Roman" w:eastAsia="SimSun"/>
          <w:color w:val="000000"/>
          <w:sz w:val="24"/>
          <w:szCs w:val="24"/>
        </w:rPr>
        <w:t xml:space="preserve">The scope of this document is the ten process areas that the gap analysis identified as missing from the first three documents. The ten areas are requirements engineering, testing strategy, DevOps and infrastructure as code, site reliability engineering, threat modeling, compliance operationalization, performance engineering, architecture decision records, go-to-market and launch planning, and unit economics. The document covers each area with the artifacts the AI builder must produce, the verification gates that govern them, and the prompts that direct the agent. The document does not cover the architecture, the data models, the prompt architecture, or the stack selection, which are covered in the first three documents, and it assumes the reader has loaded those documents as context. The document also does not provide the depth that a specialist in each area would require; it provides the depth that an AI builder needs to direct the agent to produce the artifacts, and it references the specialist literature for the reader who needs more.</w:t>
      </w:r>
    </w:p>
    <w:p>
      <w:pPr>
        <w:spacing w:after="120" w:line="312"/>
        <w:ind w:firstLine="360"/>
        <w:jc w:val="both"/>
      </w:pPr>
      <w:r>
        <w:rPr>
          <w:rFonts w:ascii="Times New Roman" w:eastAsia="SimSun"/>
          <w:color w:val="000000"/>
          <w:sz w:val="24"/>
          <w:szCs w:val="24"/>
        </w:rPr>
        <w:t xml:space="preserve">The scope is deliberately bounded to the ten areas because these are the areas that, in the gap analysis, were found to be absent or superficial in the first three documents. The document does not address the legal, the financial, or the organizational aspects of building a software business, except where they intersect directly with the ten process areas, as the unit economics section does with the financial aspects and the go-to-market section does with the organizational aspects. The reader who needs the legal or the organizational depth should consult the specialist literature, and the references in section seventeen provide the starting points.</w:t>
      </w:r>
    </w:p>
    <w:p>
      <w:pPr>
        <w:pStyle w:val="Heading2"/>
        <w:spacing w:after="120" w:before="280" w:line="312"/>
      </w:pPr>
      <w:bookmarkStart w:id="100005" w:name="_Toc100005"/>
      <w:r>
        <w:rPr>
          <w:rFonts w:ascii="Arial" w:eastAsia="SimHei"/>
          <w:b/>
          <w:bCs/>
          <w:color w:val="1A1A1A"/>
          <w:sz w:val="28"/>
          <w:szCs w:val="28"/>
        </w:rPr>
        <w:t xml:space="preserve">3.3 Historical Context: The Evolution of the Disciplines</w:t>
      </w:r>
      <w:bookmarkEnd w:id="100005"/>
    </w:p>
    <w:p>
      <w:pPr>
        <w:spacing w:after="120" w:line="312"/>
        <w:ind w:firstLine="360"/>
        <w:jc w:val="both"/>
      </w:pPr>
      <w:r>
        <w:rPr>
          <w:rFonts w:ascii="Times New Roman" w:eastAsia="SimSun"/>
          <w:color w:val="000000"/>
          <w:sz w:val="24"/>
          <w:szCs w:val="24"/>
        </w:rPr>
        <w:t xml:space="preserve">The ten process areas that this document covers are not new inventions; they are the accumulation of decades of practice in software engineering, and understanding their evolution is the context that makes the current standard intelligible. Requirements engineering emerged as a distinct discipline in the 1970s and 1980s, as the software industry recognized that the cost of a requirements defect grew exponentially the later it was discovered, and the discipline matured through the introduction of use case modeling in the 1990s and behavior-driven development in the 2000s. The testing strategy evolved from the manual testing of the early decades through the automated testing of the agile era to the modern testing pyramid and its adaptive variants, which accommodate the microservices, serverless, and event-driven architectures of the 2020s. DevOps emerged in the late 2000s as the collapse of the wall between development and operations, and infrastructure as code emerged alongside it as the practice of treating infrastructure as software, with version control, code review, and continuous integration.</w:t>
      </w:r>
    </w:p>
    <w:p>
      <w:pPr>
        <w:spacing w:after="120" w:line="312"/>
        <w:ind w:firstLine="360"/>
        <w:jc w:val="both"/>
      </w:pPr>
      <w:r>
        <w:rPr>
          <w:rFonts w:ascii="Times New Roman" w:eastAsia="SimSun"/>
          <w:color w:val="000000"/>
          <w:sz w:val="24"/>
          <w:szCs w:val="24"/>
        </w:rPr>
        <w:t xml:space="preserve">Site reliability engineering originated at Google in the early 2000s and was codified in the Google SRE book in 2016, which established the practices of error budgets, blameless postmortems, and the treatment of operations as a software problem. Threat modeling has its roots in the 1990s with the development of the STRIDE framework at Microsoft, and it has evolved into the secure software development life cycle that integrates security into every phase. Compliance operationalization evolved from the annual audit scramble to the continuous compliance discipline as the frameworks, particularly SOC 2, shifted from point-in-time attestations to continuous control monitoring. Performance engineering has been a discipline since the earliest days of computing, but it has been reshaped by the web, the mobile, and the cloud, each of which introduced new performance constraints and new tools. Architecture decision records emerged as a practice in the 2010s and have become the standard way to document architectural decisions. Go-to-market and launch planning have evolved with the product management discipline, from the big-bang launches of the packaged-software era to the gradual, feature-flagged rollouts of the SaaS era. Unit economics has become prominent in the SaaS era as the subscription model made the customer-level financial mechanics visible and measurable. The ten areas, taken together, are the current state of the disciplines that a real-world system must embody, and they are the disciplines that this document directs the AI builder to execute.</w:t>
      </w:r>
    </w:p>
    <w:p>
      <w:pPr>
        <w:pStyle w:val="Heading2"/>
        <w:spacing w:after="120" w:before="280" w:line="312"/>
      </w:pPr>
      <w:bookmarkStart w:id="100006" w:name="_Toc100006"/>
      <w:r>
        <w:rPr>
          <w:rFonts w:ascii="Arial" w:eastAsia="SimHei"/>
          <w:b/>
          <w:bCs/>
          <w:color w:val="1A1A1A"/>
          <w:sz w:val="28"/>
          <w:szCs w:val="28"/>
        </w:rPr>
        <w:t xml:space="preserve">3.4 The Gap Analysis: Ten Missing Process Areas</w:t>
      </w:r>
      <w:bookmarkEnd w:id="100006"/>
    </w:p>
    <w:p>
      <w:pPr>
        <w:spacing w:after="120" w:line="312"/>
        <w:ind w:firstLine="360"/>
        <w:jc w:val="both"/>
      </w:pPr>
      <w:r>
        <w:rPr>
          <w:rFonts w:ascii="Times New Roman" w:eastAsia="SimSun"/>
          <w:color w:val="000000"/>
          <w:sz w:val="24"/>
          <w:szCs w:val="24"/>
        </w:rPr>
        <w:t xml:space="preserve">This section presents the systematic gap analysis that identified the ten missing process areas. The analysis compared the coverage of the three existing documents against the full set of disciplines that a real-world software system requires, as documented in the site reliability engineering literature, the software testing literature, the security engineering literature, the compliance frameworks, and the product management literature. The comparison revealed ten areas that the existing documents address only superficially or not at all, and each area is a gap that will manifest as a defect, an incident, or a commercial failure if it is not filled.</w:t>
      </w:r>
    </w:p>
    <w:p>
      <w:pPr>
        <w:keepNext/>
        <w:spacing w:after="100" w:before="200" w:line="312"/>
        <w:jc w:val="left"/>
      </w:pPr>
      <w:r>
        <w:rPr>
          <w:rFonts w:ascii="Arial" w:eastAsia="SimHei"/>
          <w:b/>
          <w:bCs/>
          <w:color w:val="1A1A1A"/>
          <w:sz w:val="22"/>
          <w:szCs w:val="22"/>
        </w:rPr>
        <w:t xml:space="preserve">Table 1: The Ten Missing Process Areas and Their Consequences</w:t>
      </w:r>
    </w:p>
    <w:tbl>
      <w:tblPr>
        <w:tblW w:type="pct" w:w="100%"/>
        <w:tblBorders>
          <w:top w:val="single" w:color="C9A84C" w:sz="6"/>
          <w:left w:val="none" w:color="FFFFFF" w:sz="0"/>
          <w:bottom w:val="single" w:color="C9A84C" w:sz="6"/>
          <w:right w:val="none" w:color="FFFFFF" w:sz="0"/>
          <w:insideH w:val="single" w:color="DDD5C0" w:sz="1"/>
          <w:insideV w:val="none" w:color="FFFFFF" w:sz="0"/>
        </w:tblBorders>
        <w:tblLayout w:type="fixed"/>
      </w:tblPr>
      <w:tblGrid>
        <w:gridCol w:w="100"/>
        <w:gridCol w:w="100"/>
        <w:gridCol w:w="100"/>
      </w:tblGrid>
      <w:tr>
        <w:trPr>
          <w:cantSplit/>
          <w:tblHeader/>
        </w:trPr>
        <w:tc>
          <w:tcPr>
            <w:tcW w:type="pct" w:w="22%"/>
            <w:shd w:fill="C9A84C" w:val="clear"/>
            <w:tcMar>
              <w:top w:type="dxa" w:w="80"/>
              <w:left w:type="dxa" w:w="120"/>
              <w:bottom w:type="dxa" w:w="80"/>
              <w:right w:type="dxa" w:w="120"/>
            </w:tcMar>
          </w:tcPr>
          <w:p>
            <w:pPr>
              <w:spacing w:line="276"/>
              <w:jc w:val="left"/>
            </w:pPr>
            <w:r>
              <w:rPr>
                <w:rFonts w:ascii="Arial" w:eastAsia="SimHei"/>
                <w:b/>
                <w:bCs/>
                <w:color w:val="1A1A1A"/>
                <w:sz w:val="21"/>
                <w:szCs w:val="21"/>
              </w:rPr>
              <w:t xml:space="preserve">Process Area</w:t>
            </w:r>
          </w:p>
        </w:tc>
        <w:tc>
          <w:tcPr>
            <w:tcW w:type="pct" w:w="38%"/>
            <w:shd w:fill="C9A84C" w:val="clear"/>
            <w:tcMar>
              <w:top w:type="dxa" w:w="80"/>
              <w:left w:type="dxa" w:w="120"/>
              <w:bottom w:type="dxa" w:w="80"/>
              <w:right w:type="dxa" w:w="120"/>
            </w:tcMar>
          </w:tcPr>
          <w:p>
            <w:pPr>
              <w:spacing w:line="276"/>
              <w:jc w:val="left"/>
            </w:pPr>
            <w:r>
              <w:rPr>
                <w:rFonts w:ascii="Arial" w:eastAsia="SimHei"/>
                <w:b/>
                <w:bCs/>
                <w:color w:val="1A1A1A"/>
                <w:sz w:val="21"/>
                <w:szCs w:val="21"/>
              </w:rPr>
              <w:t xml:space="preserve">What It Governs</w:t>
            </w:r>
          </w:p>
        </w:tc>
        <w:tc>
          <w:tcPr>
            <w:tcW w:type="pct" w:w="40%"/>
            <w:shd w:fill="C9A84C" w:val="clear"/>
            <w:tcMar>
              <w:top w:type="dxa" w:w="80"/>
              <w:left w:type="dxa" w:w="120"/>
              <w:bottom w:type="dxa" w:w="80"/>
              <w:right w:type="dxa" w:w="120"/>
            </w:tcMar>
          </w:tcPr>
          <w:p>
            <w:pPr>
              <w:spacing w:line="276"/>
              <w:jc w:val="left"/>
            </w:pPr>
            <w:r>
              <w:rPr>
                <w:rFonts w:ascii="Arial" w:eastAsia="SimHei"/>
                <w:b/>
                <w:bCs/>
                <w:color w:val="1A1A1A"/>
                <w:sz w:val="21"/>
                <w:szCs w:val="21"/>
              </w:rPr>
              <w:t xml:space="preserve">Consequence If Missing</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Requirements Engineering</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Turning stakeholder needs into testable specifications</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Scope creep; untestable features; rework</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Testing Strategy</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The testing pyramid, coverage, quality gates</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Regressions; production defects; unreliable releases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DevOps and IaC</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Infrastructure as code, CI/CD, environment parity</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Unreproducible environments; manual deployment errors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SRE and Incident Response</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On-call, alerting, blameless postmortems</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Long MTTR; repeated incidents; team burnout</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Threat Modeling</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STRIDE, security architecture review</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Security design flaws; audit failures; breaches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Compliance Operationalization</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SOC 2, GDPR, HIPAA as ongoing discipline</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Failed procurement; regulatory fines; lost deals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Performance Engineering</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Capacity planning, performance budgets, profiling</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Slow system; scale failures; lost conversions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Architecture Decision Records</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Documented decisions with context and consequences</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Relitigated decisions; unmaintainable evolution</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Go-to-Market and Launch</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Beta, feature flags, gradual rollout, analytics</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Failed launch; no user feedback loop; churn</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Unit Economics</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COGS, CAC, LTV, pricing, margin</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Unprofitable growth; cash burn; business failure</w:t>
            </w:r>
          </w:p>
        </w:tc>
      </w:tr>
    </w:tbl>
    <w:p>
      <w:pPr>
        <w:spacing w:after="200" w:before="80" w:line="312"/>
        <w:jc w:val="center"/>
      </w:pPr>
      <w:r>
        <w:rPr>
          <w:rFonts w:ascii="Times New Roman" w:eastAsia="SimSun"/>
          <w:i/>
          <w:iCs/>
          <w:color w:val="606060"/>
          <w:sz w:val="20"/>
          <w:szCs w:val="20"/>
        </w:rPr>
        <w:t xml:space="preserve">Table 1: The ten missing process areas identified by the gap analysis, what each governs, and the consequence of building without it. Each area is a discipline that the AI builder must be directed to execute, and each is covered in depth in the sections that follow.</w:t>
      </w:r>
    </w:p>
    <w:p>
      <w:pPr>
        <w:spacing w:after="120" w:line="312"/>
        <w:ind w:firstLine="360"/>
        <w:jc w:val="both"/>
      </w:pPr>
      <w:r>
        <w:rPr>
          <w:rFonts w:ascii="Times New Roman" w:eastAsia="SimSun"/>
          <w:color w:val="000000"/>
          <w:sz w:val="24"/>
          <w:szCs w:val="24"/>
        </w:rPr>
        <w:t xml:space="preserve">The ten areas are not independent; they interact throughout the system lifecycle. Requirements engineering produces the specifications that the testing strategy verifies; the testing strategy produces the quality gates that the DevOps pipeline enforces; the DevOps pipeline produces the environments that the SRE operates; the SRE produces the incident response that the threat modeling informs; the threat modeling produces the security controls that the compliance operationalization audits; the compliance produces the evidence that the procurement requires; the performance engineering produces the budgets that the architecture decision records reference; the decision records produce the documentation that the go-to-market depends on; and the go-to-market produces the customers that the unit economics measure. The ten areas form a chain, and a break in any link weakens the whole. The remainder of the document covers each area in turn, with the artifacts, the gates, and the prompts that the AI builder needs.</w:t>
      </w:r>
    </w:p>
    <w:p>
      <w:pPr>
        <w:pStyle w:val="Heading1"/>
        <w:spacing w:after="160" w:before="360" w:line="312"/>
      </w:pPr>
      <w:bookmarkStart w:id="100007" w:name="_Toc100007"/>
      <w:r>
        <w:rPr>
          <w:rFonts w:ascii="Arial" w:eastAsia="SimHei"/>
          <w:b/>
          <w:bCs/>
          <w:color w:val="1A1A1A"/>
          <w:sz w:val="32"/>
          <w:szCs w:val="32"/>
        </w:rPr>
        <w:t xml:space="preserve">4. Requirements Engineering and System Analysis</w:t>
      </w:r>
      <w:bookmarkEnd w:id="100007"/>
    </w:p>
    <w:p>
      <w:pPr>
        <w:spacing w:after="120" w:line="312"/>
        <w:ind w:firstLine="360"/>
        <w:jc w:val="both"/>
      </w:pPr>
      <w:r>
        <w:rPr>
          <w:rFonts w:ascii="Times New Roman" w:eastAsia="SimSun"/>
          <w:color w:val="000000"/>
          <w:sz w:val="24"/>
          <w:szCs w:val="24"/>
        </w:rPr>
        <w:t xml:space="preserve">Requirements engineering is the discipline of turning stakeholder needs into clear, testable, and traceable system requirements, and it is the discipline that precedes architecture in a real-world build. The three existing documents assume that the requirements are known and proceed to the architecture; this section specifies how the requirements are produced. Practitioner sources report that requirements analysis turns vague stakeholder requests into precise, verifiable specifications, and that the discipline of requirements traceability, which links each requirement to its design, its code, and its tests, is associated with a 28 percent higher project success rate. The AI builder that is directed to build without a requirements specification will produce a system that matches the agent's assumptions rather than the stakeholder's needs, and the mismatch will be discovered at the demo rather than at the design review.</w:t>
      </w:r>
    </w:p>
    <w:p>
      <w:pPr>
        <w:pStyle w:val="Heading2"/>
        <w:spacing w:after="120" w:before="280" w:line="312"/>
      </w:pPr>
      <w:bookmarkStart w:id="100008" w:name="_Toc100008"/>
      <w:r>
        <w:rPr>
          <w:rFonts w:ascii="Arial" w:eastAsia="SimHei"/>
          <w:b/>
          <w:bCs/>
          <w:color w:val="1A1A1A"/>
          <w:sz w:val="28"/>
          <w:szCs w:val="28"/>
        </w:rPr>
        <w:t xml:space="preserve">4.1 Use Case Modeling and User Stories</w:t>
      </w:r>
      <w:bookmarkEnd w:id="100008"/>
    </w:p>
    <w:p>
      <w:pPr>
        <w:spacing w:after="120" w:line="312"/>
        <w:ind w:firstLine="360"/>
        <w:jc w:val="both"/>
      </w:pPr>
      <w:r>
        <w:rPr>
          <w:rFonts w:ascii="Times New Roman" w:eastAsia="SimSun"/>
          <w:color w:val="000000"/>
          <w:sz w:val="24"/>
          <w:szCs w:val="24"/>
        </w:rPr>
        <w:t xml:space="preserve">The requirements are documented through use case modeling and user stories. A use case describes a sequence of interactions between a user and the system that achieves a goal, and it is the artifact that bridges the stakeholder's needs and the system's behavior. A user story is a short, plain-language description of a feature from the user's perspective, typically written in the form 'As a [role], I want [feature] so that [benefit]', and it is the artifact that the development team uses to plan the implementation. The AI builder should be directed to produce the use cases and the user stories for each system before the architecture begins, and to review them with the stakeholder before proceeding. The review is the gate that prevents the build from proceeding on incorrect assumptions.</w:t>
      </w:r>
    </w:p>
    <w:p>
      <w:pPr>
        <w:pStyle w:val="Heading2"/>
        <w:spacing w:after="120" w:before="280" w:line="312"/>
      </w:pPr>
      <w:bookmarkStart w:id="100009" w:name="_Toc100009"/>
      <w:r>
        <w:rPr>
          <w:rFonts w:ascii="Arial" w:eastAsia="SimHei"/>
          <w:b/>
          <w:bCs/>
          <w:color w:val="1A1A1A"/>
          <w:sz w:val="28"/>
          <w:szCs w:val="28"/>
        </w:rPr>
        <w:t xml:space="preserve">4.2 Behavior-Driven Development and Gherkin</w:t>
      </w:r>
      <w:bookmarkEnd w:id="100009"/>
    </w:p>
    <w:p>
      <w:pPr>
        <w:spacing w:after="120" w:line="312"/>
        <w:ind w:firstLine="360"/>
        <w:jc w:val="both"/>
      </w:pPr>
      <w:r>
        <w:rPr>
          <w:rFonts w:ascii="Times New Roman" w:eastAsia="SimSun"/>
          <w:color w:val="000000"/>
          <w:sz w:val="24"/>
          <w:szCs w:val="24"/>
        </w:rPr>
        <w:t xml:space="preserve">Behavior-Driven Development, abbreviated BDD, is the practice of writing the requirements as executable specifications in a plain-language format that serves simultaneously as the requirement, the test, and the documentation. The Gherkin syntax, with its Given-When-Then structure, is the dominant format for BDD scenarios, and it is readable by a product owner, executable by an automation framework, and traceable back to the user story it satisfies. A BDD scenario for a login feature might read: 'Given a registered user with a valid password, When the user submits the login form with correct credentials, Then the user is redirected to the dashboard and a session is created'. The AI builder should be directed to produce the BDD scenarios for each user story, and the scenarios become the acceptance criteria that the testing strategy verifies.</w:t>
      </w:r>
    </w:p>
    <w:p>
      <w:pPr>
        <w:pStyle w:val="Heading2"/>
        <w:spacing w:after="120" w:before="280" w:line="312"/>
      </w:pPr>
      <w:bookmarkStart w:id="100010" w:name="_Toc100010"/>
      <w:r>
        <w:rPr>
          <w:rFonts w:ascii="Arial" w:eastAsia="SimHei"/>
          <w:b/>
          <w:bCs/>
          <w:color w:val="1A1A1A"/>
          <w:sz w:val="28"/>
          <w:szCs w:val="28"/>
        </w:rPr>
        <w:t xml:space="preserve">4.3 The Requirements Traceability Matrix</w:t>
      </w:r>
      <w:bookmarkEnd w:id="100010"/>
    </w:p>
    <w:p>
      <w:pPr>
        <w:spacing w:after="120" w:line="312"/>
        <w:ind w:firstLine="360"/>
        <w:jc w:val="both"/>
      </w:pPr>
      <w:r>
        <w:rPr>
          <w:rFonts w:ascii="Times New Roman" w:eastAsia="SimSun"/>
          <w:color w:val="000000"/>
          <w:sz w:val="24"/>
          <w:szCs w:val="24"/>
        </w:rPr>
        <w:t xml:space="preserve">The Requirements Traceability Matrix, abbreviated RTM, is the structured document that maps each requirement to its design elements, its code, its test cases, and its verification status. The RTM is the artifact that enables impact analysis, because it allows the team to see which tests and which code are affected by a change to a requirement, and it is the artifact that prevents scope creep, because it makes the scope explicit and reviewable. The RTM should be established early in the project lifecycle, should use bidirectional links that allow forward and backward tracing, and should be maintained continuously rather than as a one-time documentation effort. The AI builder should be directed to produce and to maintain the RTM throughout the build, and the RTM should be the reference point for every change request and every verification gate.</w:t>
      </w:r>
    </w:p>
    <w:p>
      <w:pPr>
        <w:pStyle w:val="Heading1"/>
        <w:spacing w:after="160" w:before="360" w:line="312"/>
      </w:pPr>
      <w:bookmarkStart w:id="100011" w:name="_Toc100011"/>
      <w:r>
        <w:rPr>
          <w:rFonts w:ascii="Arial" w:eastAsia="SimHei"/>
          <w:b/>
          <w:bCs/>
          <w:color w:val="1A1A1A"/>
          <w:sz w:val="32"/>
          <w:szCs w:val="32"/>
        </w:rPr>
        <w:t xml:space="preserve">5. Testing Strategy and Quality Engineering</w:t>
      </w:r>
      <w:bookmarkEnd w:id="100011"/>
    </w:p>
    <w:p>
      <w:pPr>
        <w:spacing w:after="120" w:line="312"/>
        <w:ind w:firstLine="360"/>
        <w:jc w:val="both"/>
      </w:pPr>
      <w:r>
        <w:rPr>
          <w:rFonts w:ascii="Times New Roman" w:eastAsia="SimSun"/>
          <w:color w:val="000000"/>
          <w:sz w:val="24"/>
          <w:szCs w:val="24"/>
        </w:rPr>
        <w:t xml:space="preserve">The testing strategy governs the verification of the system across the full spectrum of test types, and it is the discipline that produces the quality gates that the prompt architecture enforces. The three existing documents mention the verification gate as a practice but do not specify the testing strategy that the gate enforces; this section does. The testing strategy is built on the testing pyramid, the model that specifies the proportion of each test type the team should maintain, and it is adapted to the modern architectures and the AI-assisted development of 2026.</w:t>
      </w:r>
    </w:p>
    <w:p>
      <w:pPr>
        <w:pStyle w:val="Heading2"/>
        <w:spacing w:after="120" w:before="280" w:line="312"/>
      </w:pPr>
      <w:bookmarkStart w:id="100012" w:name="_Toc100012"/>
      <w:r>
        <w:rPr>
          <w:rFonts w:ascii="Arial" w:eastAsia="SimHei"/>
          <w:b/>
          <w:bCs/>
          <w:color w:val="1A1A1A"/>
          <w:sz w:val="28"/>
          <w:szCs w:val="28"/>
        </w:rPr>
        <w:t xml:space="preserve">5.1 The Testing Pyramid and Its Modern Adaptations</w:t>
      </w:r>
      <w:bookmarkEnd w:id="100012"/>
    </w:p>
    <w:p>
      <w:pPr>
        <w:spacing w:after="120" w:line="312"/>
        <w:ind w:firstLine="360"/>
        <w:jc w:val="both"/>
      </w:pPr>
      <w:r>
        <w:rPr>
          <w:rFonts w:ascii="Times New Roman" w:eastAsia="SimSun"/>
          <w:color w:val="000000"/>
          <w:sz w:val="24"/>
          <w:szCs w:val="24"/>
        </w:rPr>
        <w:t xml:space="preserve">The testing pyramid, introduced by Mike Cohn, is the model that specifies a broad base of fast, inexpensive unit tests, a middle layer of integration tests, and a small top of slow, expensive end-to-end tests. The pyramid remains the conceptual foundation in 2026, but practitioner sources note that modern architectures, including microservices, serverless functions, and event-driven systems, have made the pyramid unreliable as a solo strategy, and that teams now use adaptive models such as the Testing Trophy, the Testing Honeycomb, and risk-based testing to match how software is actually built. The AI builder should be directed to adopt the pyramid as the starting point and to adapt it to the system's architecture, with the adaptation documented in the testing strategy.</w:t>
      </w:r>
    </w:p>
    <w:p>
      <w:pPr>
        <w:keepNext/>
        <w:spacing w:after="100" w:before="200" w:line="312"/>
        <w:jc w:val="left"/>
      </w:pPr>
      <w:r>
        <w:rPr>
          <w:rFonts w:ascii="Arial" w:eastAsia="SimHei"/>
          <w:b/>
          <w:bCs/>
          <w:color w:val="1A1A1A"/>
          <w:sz w:val="22"/>
          <w:szCs w:val="22"/>
        </w:rPr>
        <w:t xml:space="preserve">Table 2: The Testing Strategy by Test Type</w:t>
      </w:r>
    </w:p>
    <w:tbl>
      <w:tblPr>
        <w:tblW w:type="pct" w:w="100%"/>
        <w:tblBorders>
          <w:top w:val="single" w:color="C9A84C" w:sz="6"/>
          <w:left w:val="none" w:color="FFFFFF" w:sz="0"/>
          <w:bottom w:val="single" w:color="C9A84C" w:sz="6"/>
          <w:right w:val="none" w:color="FFFFFF" w:sz="0"/>
          <w:insideH w:val="single" w:color="DDD5C0" w:sz="1"/>
          <w:insideV w:val="none" w:color="FFFFFF" w:sz="0"/>
        </w:tblBorders>
        <w:tblLayout w:type="fixed"/>
      </w:tblPr>
      <w:tblGrid>
        <w:gridCol w:w="100"/>
        <w:gridCol w:w="100"/>
        <w:gridCol w:w="100"/>
        <w:gridCol w:w="100"/>
      </w:tblGrid>
      <w:tr>
        <w:trPr>
          <w:cantSplit/>
          <w:tblHeader/>
        </w:trPr>
        <w:tc>
          <w:tcPr>
            <w:tcW w:type="pct" w:w="18%"/>
            <w:shd w:fill="C9A84C" w:val="clear"/>
            <w:tcMar>
              <w:top w:type="dxa" w:w="80"/>
              <w:left w:type="dxa" w:w="120"/>
              <w:bottom w:type="dxa" w:w="80"/>
              <w:right w:type="dxa" w:w="120"/>
            </w:tcMar>
          </w:tcPr>
          <w:p>
            <w:pPr>
              <w:spacing w:line="276"/>
              <w:jc w:val="left"/>
            </w:pPr>
            <w:r>
              <w:rPr>
                <w:rFonts w:ascii="Arial" w:eastAsia="SimHei"/>
                <w:b/>
                <w:bCs/>
                <w:color w:val="1A1A1A"/>
                <w:sz w:val="21"/>
                <w:szCs w:val="21"/>
              </w:rPr>
              <w:t xml:space="preserve">Test Type</w:t>
            </w:r>
          </w:p>
        </w:tc>
        <w:tc>
          <w:tcPr>
            <w:tcW w:type="pct" w:w="30%"/>
            <w:shd w:fill="C9A84C" w:val="clear"/>
            <w:tcMar>
              <w:top w:type="dxa" w:w="80"/>
              <w:left w:type="dxa" w:w="120"/>
              <w:bottom w:type="dxa" w:w="80"/>
              <w:right w:type="dxa" w:w="120"/>
            </w:tcMar>
          </w:tcPr>
          <w:p>
            <w:pPr>
              <w:spacing w:line="276"/>
              <w:jc w:val="left"/>
            </w:pPr>
            <w:r>
              <w:rPr>
                <w:rFonts w:ascii="Arial" w:eastAsia="SimHei"/>
                <w:b/>
                <w:bCs/>
                <w:color w:val="1A1A1A"/>
                <w:sz w:val="21"/>
                <w:szCs w:val="21"/>
              </w:rPr>
              <w:t xml:space="preserve">What It Verifies</w:t>
            </w:r>
          </w:p>
        </w:tc>
        <w:tc>
          <w:tcPr>
            <w:tcW w:type="pct" w:w="26%"/>
            <w:shd w:fill="C9A84C" w:val="clear"/>
            <w:tcMar>
              <w:top w:type="dxa" w:w="80"/>
              <w:left w:type="dxa" w:w="120"/>
              <w:bottom w:type="dxa" w:w="80"/>
              <w:right w:type="dxa" w:w="120"/>
            </w:tcMar>
          </w:tcPr>
          <w:p>
            <w:pPr>
              <w:spacing w:line="276"/>
              <w:jc w:val="left"/>
            </w:pPr>
            <w:r>
              <w:rPr>
                <w:rFonts w:ascii="Arial" w:eastAsia="SimHei"/>
                <w:b/>
                <w:bCs/>
                <w:color w:val="1A1A1A"/>
                <w:sz w:val="21"/>
                <w:szCs w:val="21"/>
              </w:rPr>
              <w:t xml:space="preserve">Tool Examples</w:t>
            </w:r>
          </w:p>
        </w:tc>
        <w:tc>
          <w:tcPr>
            <w:tcW w:type="pct" w:w="26%"/>
            <w:shd w:fill="C9A84C" w:val="clear"/>
            <w:tcMar>
              <w:top w:type="dxa" w:w="80"/>
              <w:left w:type="dxa" w:w="120"/>
              <w:bottom w:type="dxa" w:w="80"/>
              <w:right w:type="dxa" w:w="120"/>
            </w:tcMar>
          </w:tcPr>
          <w:p>
            <w:pPr>
              <w:spacing w:line="276"/>
              <w:jc w:val="left"/>
            </w:pPr>
            <w:r>
              <w:rPr>
                <w:rFonts w:ascii="Arial" w:eastAsia="SimHei"/>
                <w:b/>
                <w:bCs/>
                <w:color w:val="1A1A1A"/>
                <w:sz w:val="21"/>
                <w:szCs w:val="21"/>
              </w:rPr>
              <w:t xml:space="preserve">Coverage Target</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Unit</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Individual functions and modules in isolation</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Jest, Vitest</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70-80% of code</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Integration</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Interaction between components (API to DB, etc.)</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Jest, Supertest</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Critical paths 100%</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End-to-End (E2E)</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Full user journeys through the real system</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Playwright, Cypress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Top 10 user journeys</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Contract</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API contract between services (consumer-driven)</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Pact</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All public API endpoints</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Performance/Load</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Latency and throughput under load</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k6, Artillery</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Peak load 10x average</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Security</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Vulnerabilities, dependencies, SAST/DAST</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Snyk, OWASP ZAP, Semgrep</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Zero critical/high</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Accessibility</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WCAG 2.2 conformance</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axe-core, Pa11y, manual SR</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Zero violations</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Visual Regression</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UI appearance across changes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Chromatic, Percy</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All component states</w:t>
            </w:r>
          </w:p>
        </w:tc>
      </w:tr>
    </w:tbl>
    <w:p>
      <w:pPr>
        <w:spacing w:after="200" w:before="80" w:line="312"/>
        <w:jc w:val="center"/>
      </w:pPr>
      <w:r>
        <w:rPr>
          <w:rFonts w:ascii="Times New Roman" w:eastAsia="SimSun"/>
          <w:i/>
          <w:iCs/>
          <w:color w:val="606060"/>
          <w:sz w:val="20"/>
          <w:szCs w:val="20"/>
        </w:rPr>
        <w:t xml:space="preserve">Table 2: The testing strategy by test type, what each verifies, the tool examples, and the coverage target. The AI builder should be directed to implement the tests for each type and to enforce the coverage targets in the CI pipeline.</w:t>
      </w:r>
    </w:p>
    <w:p>
      <w:pPr>
        <w:pStyle w:val="Heading2"/>
        <w:spacing w:after="120" w:before="280" w:line="312"/>
      </w:pPr>
      <w:bookmarkStart w:id="100013" w:name="_Toc100013"/>
      <w:r>
        <w:rPr>
          <w:rFonts w:ascii="Arial" w:eastAsia="SimHei"/>
          <w:b/>
          <w:bCs/>
          <w:color w:val="1A1A1A"/>
          <w:sz w:val="28"/>
          <w:szCs w:val="28"/>
        </w:rPr>
        <w:t xml:space="preserve">5.2 Contract Testing for the Integration Contract</w:t>
      </w:r>
      <w:bookmarkEnd w:id="100013"/>
    </w:p>
    <w:p>
      <w:pPr>
        <w:spacing w:after="120" w:line="312"/>
        <w:ind w:firstLine="360"/>
        <w:jc w:val="both"/>
      </w:pPr>
      <w:r>
        <w:rPr>
          <w:rFonts w:ascii="Times New Roman" w:eastAsia="SimSun"/>
          <w:color w:val="000000"/>
          <w:sz w:val="24"/>
          <w:szCs w:val="24"/>
        </w:rPr>
        <w:t xml:space="preserve">Contract testing is the test type that verifies the integration contract between the frontend and the backend, and it is the test type that most directly addresses the integration conflicts the builder is concerned about. In a contract test, the consumer, the frontend, defines the expected shape of the API response, and the provider, the backend, verifies that it produces that shape. The contract test catches the mismatch at build time, before the runtime disagreement manifests as a defect. The AI builder should be directed to implement contract tests for every API endpoint, using a tool such as Pact for consumer-driven contract testing or the type-inferred contract of tRPC for the internal communication. The contract test is the verification gate for the integration contract, and it is the gate that prevents the conflicts.</w:t>
      </w:r>
    </w:p>
    <w:p>
      <w:pPr>
        <w:pStyle w:val="Heading2"/>
        <w:spacing w:after="120" w:before="280" w:line="312"/>
      </w:pPr>
      <w:bookmarkStart w:id="100014" w:name="_Toc100014"/>
      <w:r>
        <w:rPr>
          <w:rFonts w:ascii="Arial" w:eastAsia="SimHei"/>
          <w:b/>
          <w:bCs/>
          <w:color w:val="1A1A1A"/>
          <w:sz w:val="28"/>
          <w:szCs w:val="28"/>
        </w:rPr>
        <w:t xml:space="preserve">5.3 Test Data Management</w:t>
      </w:r>
      <w:bookmarkEnd w:id="100014"/>
    </w:p>
    <w:p>
      <w:pPr>
        <w:spacing w:after="120" w:line="312"/>
        <w:ind w:firstLine="360"/>
        <w:jc w:val="both"/>
      </w:pPr>
      <w:r>
        <w:rPr>
          <w:rFonts w:ascii="Times New Roman" w:eastAsia="SimSun"/>
          <w:color w:val="000000"/>
          <w:sz w:val="24"/>
          <w:szCs w:val="24"/>
        </w:rPr>
        <w:t xml:space="preserve">Test data management is the discipline of providing the data that the tests need, and it is a discipline that is often neglected and that produces tests that are flaky, slow, or unreliable. The test data strategy should specify how the test database is seeded, how the test data is reset between tests, and how the sensitive data is handled. The recommended pattern is to use a transaction-per-test approach, where each test runs in a database transaction that is rolled back at the end, so that the database is left clean for the next test. For tests that require specific data, the seed scripts should be versioned and should be runnable independently. The AI builder should be directed to implement the test data strategy as part of the testing strategy, and the strategy should be documented in the testing strategy document.</w:t>
      </w:r>
    </w:p>
    <w:p>
      <w:pPr>
        <w:pStyle w:val="Heading1"/>
        <w:spacing w:after="160" w:before="360" w:line="312"/>
      </w:pPr>
      <w:bookmarkStart w:id="100015" w:name="_Toc100015"/>
      <w:r>
        <w:rPr>
          <w:rFonts w:ascii="Arial" w:eastAsia="SimHei"/>
          <w:b/>
          <w:bCs/>
          <w:color w:val="1A1A1A"/>
          <w:sz w:val="32"/>
          <w:szCs w:val="32"/>
        </w:rPr>
        <w:t xml:space="preserve">6. DevOps and Infrastructure as Code</w:t>
      </w:r>
      <w:bookmarkEnd w:id="100015"/>
    </w:p>
    <w:p>
      <w:pPr>
        <w:spacing w:after="120" w:line="312"/>
        <w:ind w:firstLine="360"/>
        <w:jc w:val="both"/>
      </w:pPr>
      <w:r>
        <w:rPr>
          <w:rFonts w:ascii="Times New Roman" w:eastAsia="SimSun"/>
          <w:color w:val="000000"/>
          <w:sz w:val="24"/>
          <w:szCs w:val="24"/>
        </w:rPr>
        <w:t xml:space="preserve">DevOps and Infrastructure as Code, abbreviated IaC, are the disciplines that govern the provisioning of the infrastructure and the deployment of the application, and they are the disciplines that produce the reproducible environments and the automated deployment pipeline that a real-world system requires. The three existing documents mention deployment and environment parity but do not specify the IaC tooling or the CI/CD pipeline design; this section does. The IaC practice treats infrastructure the way software engineers treat application code, with version control, code review, testing, and CI/CD, and it is the practice that replaces the click-through-the-console and SSH-into-servers approach that produces unreproducible environments and manual deployment errors.</w:t>
      </w:r>
    </w:p>
    <w:p>
      <w:pPr>
        <w:pStyle w:val="Heading2"/>
        <w:spacing w:after="120" w:before="280" w:line="312"/>
      </w:pPr>
      <w:bookmarkStart w:id="100016" w:name="_Toc100016"/>
      <w:r>
        <w:rPr>
          <w:rFonts w:ascii="Arial" w:eastAsia="SimHei"/>
          <w:b/>
          <w:bCs/>
          <w:color w:val="1A1A1A"/>
          <w:sz w:val="28"/>
          <w:szCs w:val="28"/>
        </w:rPr>
        <w:t xml:space="preserve">6.1 Infrastructure as Code Tool Selection</w:t>
      </w:r>
      <w:bookmarkEnd w:id="100016"/>
    </w:p>
    <w:p>
      <w:pPr>
        <w:spacing w:after="120" w:line="312"/>
        <w:ind w:firstLine="360"/>
        <w:jc w:val="both"/>
      </w:pPr>
      <w:r>
        <w:rPr>
          <w:rFonts w:ascii="Times New Roman" w:eastAsia="SimSun"/>
          <w:color w:val="000000"/>
          <w:sz w:val="24"/>
          <w:szCs w:val="24"/>
        </w:rPr>
        <w:t xml:space="preserve">The IaC tool landscape in 2026 is a competitive ecosystem with several strong solutions. Terraform, the long-dominant tool, remains widely used but its 2023 license change opened the door for alternatives; OpenTofu is the open-source fork; Pulumi allows infrastructure to be written in TypeScript, Python, Go, and other general-purpose languages, which is a significant advantage for a team that wants to apply software engineering practices to its infrastructure; the AWS Cloud Development Kit, CDK, is the AWS-native option; and the cloud-vendor templates, CloudFormation, ARM, and Bicep, remain relevant for teams committed to a single cloud. The recommendation for a new system is Pulumi, because it allows the infrastructure to be written in the same language as the application, because it has the broadest multi-cloud coverage, and because it is the most AI-agent-ready, meaning the AI builder can generate and verify the infrastructure code with the same toolchain as the application code.</w:t>
      </w:r>
    </w:p>
    <w:p>
      <w:pPr>
        <w:pStyle w:val="Heading2"/>
        <w:spacing w:after="120" w:before="280" w:line="312"/>
      </w:pPr>
      <w:bookmarkStart w:id="100017" w:name="_Toc100017"/>
      <w:r>
        <w:rPr>
          <w:rFonts w:ascii="Arial" w:eastAsia="SimHei"/>
          <w:b/>
          <w:bCs/>
          <w:color w:val="1A1A1A"/>
          <w:sz w:val="28"/>
          <w:szCs w:val="28"/>
        </w:rPr>
        <w:t xml:space="preserve">6.2 The CI/CD Pipeline Design</w:t>
      </w:r>
      <w:bookmarkEnd w:id="100017"/>
    </w:p>
    <w:p>
      <w:pPr>
        <w:spacing w:after="120" w:line="312"/>
        <w:ind w:firstLine="360"/>
        <w:jc w:val="both"/>
      </w:pPr>
      <w:r>
        <w:rPr>
          <w:rFonts w:ascii="Times New Roman" w:eastAsia="SimSun"/>
          <w:color w:val="000000"/>
          <w:sz w:val="24"/>
          <w:szCs w:val="24"/>
        </w:rPr>
        <w:t xml:space="preserve">The CI/CD pipeline is the automated system that runs the verification gates and that deploys the application, and its design is the design that most determines the team's velocity and the system's reliability. The pipeline should be structured as a sequence of stages, each with a defined entry condition, a defined action, and a defined exit condition. The stages typically include: source, triggered by a pull request or a merge; build, which compiles the application and the infrastructure; test, which runs the full testing strategy from unit through end-to-end; security, which runs the dependency scan, the SAST, and the DAST; deploy-to-staging, which deploys to the staging environment; integration-test, which runs the contract tests and the end-to-end tests against staging; deploy-to-production, which deploys to production using the chosen deployment strategy; and post-deploy-verification, which monitors the metrics and rolls back if a regression is detected. The AI builder should be directed to implement the pipeline as code, using a tool such as GitHub Actions, GitLab CI, or CircleCI, and the pipeline should be version-controlled and reviewed like any other code.</w:t>
      </w:r>
    </w:p>
    <w:p>
      <w:pPr>
        <w:pStyle w:val="Heading2"/>
        <w:spacing w:after="120" w:before="280" w:line="312"/>
      </w:pPr>
      <w:bookmarkStart w:id="100018" w:name="_Toc100018"/>
      <w:r>
        <w:rPr>
          <w:rFonts w:ascii="Arial" w:eastAsia="SimHei"/>
          <w:b/>
          <w:bCs/>
          <w:color w:val="1A1A1A"/>
          <w:sz w:val="28"/>
          <w:szCs w:val="28"/>
        </w:rPr>
        <w:t xml:space="preserve">6.3 Environment Management and Parity</w:t>
      </w:r>
      <w:bookmarkEnd w:id="100018"/>
    </w:p>
    <w:p>
      <w:pPr>
        <w:spacing w:after="120" w:line="312"/>
        <w:ind w:firstLine="360"/>
        <w:jc w:val="both"/>
      </w:pPr>
      <w:r>
        <w:rPr>
          <w:rFonts w:ascii="Times New Roman" w:eastAsia="SimSun"/>
          <w:color w:val="000000"/>
          <w:sz w:val="24"/>
          <w:szCs w:val="24"/>
        </w:rPr>
        <w:t xml:space="preserve">Environment parity is the property that the local, staging, and production environments run the same components in the same configuration, and it is the property that prevents the defects that arise when code works locally but fails in production. The environments should be provisioned by the same IaC code, with the differences limited to the configuration, such as the instance sizes and the credentials. The local environment should be a Docker Compose configuration that runs the same PostgreSQL, Redis, and other components as the staging and production environments. The staging environment should be a scaled-down replica of production, with the same data schema and the same configuration. The production environment is the full deployment. The AI builder should be directed to provision all three environments from the same IaC code, and the environment parity should be verified by the integration tests that run against staging.</w:t>
      </w:r>
    </w:p>
    <w:p>
      <w:pPr>
        <w:pStyle w:val="Heading1"/>
        <w:spacing w:after="160" w:before="360" w:line="312"/>
      </w:pPr>
      <w:bookmarkStart w:id="100019" w:name="_Toc100019"/>
      <w:r>
        <w:rPr>
          <w:rFonts w:ascii="Arial" w:eastAsia="SimHei"/>
          <w:b/>
          <w:bCs/>
          <w:color w:val="1A1A1A"/>
          <w:sz w:val="32"/>
          <w:szCs w:val="32"/>
        </w:rPr>
        <w:t xml:space="preserve">7. Site Reliability Engineering and Incident Response</w:t>
      </w:r>
      <w:bookmarkEnd w:id="100019"/>
    </w:p>
    <w:p>
      <w:pPr>
        <w:spacing w:after="120" w:line="312"/>
        <w:ind w:firstLine="360"/>
        <w:jc w:val="both"/>
      </w:pPr>
      <w:r>
        <w:rPr>
          <w:rFonts w:ascii="Times New Roman" w:eastAsia="SimSun"/>
          <w:color w:val="000000"/>
          <w:sz w:val="24"/>
          <w:szCs w:val="24"/>
        </w:rPr>
        <w:t xml:space="preserve">Site Reliability Engineering, abbreviated SRE, is the discipline of operating a system in production, and it encompasses the on-call rotation, the alerting, the incident response, and the blameless postmortem. The three existing documents cover the monitoring KPIs and the SLO definition but do not cover the incident response process or the postmortem culture; this section does. The SRE discipline is what allows a small team to operate a system at scale without burning out, and it is the discipline that converts the monitoring data into the improvements that make the system more reliable over time.</w:t>
      </w:r>
    </w:p>
    <w:p>
      <w:pPr>
        <w:pStyle w:val="Heading2"/>
        <w:spacing w:after="120" w:before="280" w:line="312"/>
      </w:pPr>
      <w:bookmarkStart w:id="100020" w:name="_Toc100020"/>
      <w:r>
        <w:rPr>
          <w:rFonts w:ascii="Arial" w:eastAsia="SimHei"/>
          <w:b/>
          <w:bCs/>
          <w:color w:val="1A1A1A"/>
          <w:sz w:val="28"/>
          <w:szCs w:val="28"/>
        </w:rPr>
        <w:t xml:space="preserve">7.1 The On-Call Rotation and Alerting</w:t>
      </w:r>
      <w:bookmarkEnd w:id="100020"/>
    </w:p>
    <w:p>
      <w:pPr>
        <w:spacing w:after="120" w:line="312"/>
        <w:ind w:firstLine="360"/>
        <w:jc w:val="both"/>
      </w:pPr>
      <w:r>
        <w:rPr>
          <w:rFonts w:ascii="Times New Roman" w:eastAsia="SimSun"/>
          <w:color w:val="000000"/>
          <w:sz w:val="24"/>
          <w:szCs w:val="24"/>
        </w:rPr>
        <w:t xml:space="preserve">The on-call rotation is the schedule that assigns a specific engineer to be the first responder to any incident, and it is the rotation that ensures the team can respond at any hour. The rotation should be a primary and a secondary on-call, with the primary as the first responder and the secondary as the escalation, and the rotation should rotate weekly to avoid fatigue. The alerting is the system that notifies the on-call engineer of an incident, and it must be calibrated to alert on the user-visible degradation rather than on the raw resource utilization, to avoid the alert fatigue that causes engineers to ignore the alerts. The alerting should be driven by the SLOs, with an alert fired when the error budget is being consumed at a rate that will exhaust it before the end of the window. The AI builder should be directed to implement the alerting rules, the on-call schedule, and the escalation policy, and to document them in the runbook.</w:t>
      </w:r>
    </w:p>
    <w:p>
      <w:pPr>
        <w:pStyle w:val="Heading2"/>
        <w:spacing w:after="120" w:before="280" w:line="312"/>
      </w:pPr>
      <w:bookmarkStart w:id="100021" w:name="_Toc100021"/>
      <w:r>
        <w:rPr>
          <w:rFonts w:ascii="Arial" w:eastAsia="SimHei"/>
          <w:b/>
          <w:bCs/>
          <w:color w:val="1A1A1A"/>
          <w:sz w:val="28"/>
          <w:szCs w:val="28"/>
        </w:rPr>
        <w:t xml:space="preserve">7.2 The Incident Response Process</w:t>
      </w:r>
      <w:bookmarkEnd w:id="100021"/>
    </w:p>
    <w:p>
      <w:pPr>
        <w:spacing w:after="120" w:line="312"/>
        <w:ind w:firstLine="360"/>
        <w:jc w:val="both"/>
      </w:pPr>
      <w:r>
        <w:rPr>
          <w:rFonts w:ascii="Times New Roman" w:eastAsia="SimSun"/>
          <w:color w:val="000000"/>
          <w:sz w:val="24"/>
          <w:szCs w:val="24"/>
        </w:rPr>
        <w:t xml:space="preserve">The incident response process is the structured sequence of actions that the on-call engineer follows when an incident occurs, and it is the process that reduces the mean time to resolution. Practitioner sources report that the average cost of downtime is approximately 5,600 dollars per minute, and that a structured incident response process significantly reduces the mean time to resolution. The process typically includes: detection, through an alert or a user report; acknowledgment, by the on-call engineer; assessment, of the severity and the impact; communication, to the stakeholders and the users; mitigation, to restore service; resolution, to fix the root cause; and post-incident review, to learn and to improve. The AI builder should be directed to document the incident response process in the runbook, to define the severity levels and the communication templates, and to practice the process through game-day exercises before a real incident occurs.</w:t>
      </w:r>
    </w:p>
    <w:p>
      <w:pPr>
        <w:pStyle w:val="Heading2"/>
        <w:spacing w:after="120" w:before="280" w:line="312"/>
      </w:pPr>
      <w:bookmarkStart w:id="100022" w:name="_Toc100022"/>
      <w:r>
        <w:rPr>
          <w:rFonts w:ascii="Arial" w:eastAsia="SimHei"/>
          <w:b/>
          <w:bCs/>
          <w:color w:val="1A1A1A"/>
          <w:sz w:val="28"/>
          <w:szCs w:val="28"/>
        </w:rPr>
        <w:t xml:space="preserve">7.3 The Blameless Postmortem</w:t>
      </w:r>
      <w:bookmarkEnd w:id="100022"/>
    </w:p>
    <w:p>
      <w:pPr>
        <w:spacing w:after="120" w:line="312"/>
        <w:ind w:firstLine="360"/>
        <w:jc w:val="both"/>
      </w:pPr>
      <w:r>
        <w:rPr>
          <w:rFonts w:ascii="Times New Roman" w:eastAsia="SimSun"/>
          <w:color w:val="000000"/>
          <w:sz w:val="24"/>
          <w:szCs w:val="24"/>
        </w:rPr>
        <w:t xml:space="preserve">The blameless postmortem is the practice of reviewing an incident after it is resolved, with the assumption that everyone involved had good intentions and did the right thing with the information they had, and with the focus on the systematic reasons why the incident occurred rather than on the individuals who were involved. The Google SRE book, the authoritative reference on the practice, states that a blameless culture is essential because it makes the truth easier to surface than fear, and that the postmortem's purpose is to fix the systems and the processes, not the people. The postmortem should produce a written document that describes the incident, the timeline, the impact, the root cause, the action items, and the lessons learned, and the action items should be tracked to completion. The AI builder should be directed to produce the postmortem template, to facilitate the postmortem meeting, and to track the action items in the issue tracker.</w:t>
      </w:r>
    </w:p>
    <w:p>
      <w:pPr>
        <w:pStyle w:val="Heading1"/>
        <w:spacing w:after="160" w:before="360" w:line="312"/>
      </w:pPr>
      <w:bookmarkStart w:id="100023" w:name="_Toc100023"/>
      <w:r>
        <w:rPr>
          <w:rFonts w:ascii="Arial" w:eastAsia="SimHei"/>
          <w:b/>
          <w:bCs/>
          <w:color w:val="1A1A1A"/>
          <w:sz w:val="32"/>
          <w:szCs w:val="32"/>
        </w:rPr>
        <w:t xml:space="preserve">8. Threat Modeling and Security Architecture</w:t>
      </w:r>
      <w:bookmarkEnd w:id="100023"/>
    </w:p>
    <w:p>
      <w:pPr>
        <w:spacing w:after="120" w:line="312"/>
        <w:ind w:firstLine="360"/>
        <w:jc w:val="both"/>
      </w:pPr>
      <w:r>
        <w:rPr>
          <w:rFonts w:ascii="Times New Roman" w:eastAsia="SimSun"/>
          <w:color w:val="000000"/>
          <w:sz w:val="24"/>
          <w:szCs w:val="24"/>
        </w:rPr>
        <w:t xml:space="preserve">Threat modeling is the discipline of identifying and mitigating security threats at the design stage, before the code is written, and it is the discipline that the OWASP Top Ten controls, which the three existing documents cover, complement but do not replace. The three documents specify the security controls; this section specifies the threat modeling that identifies the threats the controls must address. The dominant threat modeling framework is STRIDE, developed by Microsoft, which classifies threats into six categories: Spoofing, Tampering, Repudiation, Information disclosure, Denial of service, and Elevation of privilege. The AI builder should be directed to conduct a STRIDE threat model for each system at the design stage, and the threat model should be the input to the security controls selection.</w:t>
      </w:r>
    </w:p>
    <w:p>
      <w:pPr>
        <w:pStyle w:val="Heading2"/>
        <w:spacing w:after="120" w:before="280" w:line="312"/>
      </w:pPr>
      <w:bookmarkStart w:id="100024" w:name="_Toc100024"/>
      <w:r>
        <w:rPr>
          <w:rFonts w:ascii="Arial" w:eastAsia="SimHei"/>
          <w:b/>
          <w:bCs/>
          <w:color w:val="1A1A1A"/>
          <w:sz w:val="28"/>
          <w:szCs w:val="28"/>
        </w:rPr>
        <w:t xml:space="preserve">8.1 The STRIDE Threat Modeling Process</w:t>
      </w:r>
      <w:bookmarkEnd w:id="100024"/>
    </w:p>
    <w:p>
      <w:pPr>
        <w:spacing w:after="120" w:line="312"/>
        <w:ind w:firstLine="360"/>
        <w:jc w:val="both"/>
      </w:pPr>
      <w:r>
        <w:rPr>
          <w:rFonts w:ascii="Times New Roman" w:eastAsia="SimSun"/>
          <w:color w:val="000000"/>
          <w:sz w:val="24"/>
          <w:szCs w:val="24"/>
        </w:rPr>
        <w:t xml:space="preserve">The STRIDE threat modeling process involves decomposing the system into its components, analyzing each component for susceptibility to each of the six threat categories, and mitigating the identified threats. The decomposition produces a data flow diagram that shows the data sources, the processes, the data flows, and the interactions with the users. Each component is then analyzed: a data store might be susceptible to tampering and information disclosure; a process might be susceptible to spoofing, repudiation, and elevation of privilege; a data flow might be susceptible to information disclosure and denial of service. The analysis produces a list of threats, each with a mitigation, and the mitigations become the security controls that the implementation must enforce. The AI builder should be directed to conduct the STRIDE analysis for each system, to document it in the threat model, and to verify the mitigations in the security testing.</w:t>
      </w:r>
    </w:p>
    <w:p>
      <w:pPr>
        <w:pStyle w:val="Heading2"/>
        <w:spacing w:after="120" w:before="280" w:line="312"/>
      </w:pPr>
      <w:bookmarkStart w:id="100025" w:name="_Toc100025"/>
      <w:r>
        <w:rPr>
          <w:rFonts w:ascii="Arial" w:eastAsia="SimHei"/>
          <w:b/>
          <w:bCs/>
          <w:color w:val="1A1A1A"/>
          <w:sz w:val="28"/>
          <w:szCs w:val="28"/>
        </w:rPr>
        <w:t xml:space="preserve">8.2 Security Architecture Review</w:t>
      </w:r>
      <w:bookmarkEnd w:id="100025"/>
    </w:p>
    <w:p>
      <w:pPr>
        <w:spacing w:after="120" w:line="312"/>
        <w:ind w:firstLine="360"/>
        <w:jc w:val="both"/>
      </w:pPr>
      <w:r>
        <w:rPr>
          <w:rFonts w:ascii="Times New Roman" w:eastAsia="SimSun"/>
          <w:color w:val="000000"/>
          <w:sz w:val="24"/>
          <w:szCs w:val="24"/>
        </w:rPr>
        <w:t xml:space="preserve">The security architecture review is the practice of reviewing the system's architecture for security flaws before the implementation begins, and it is the practice that catches the design-level vulnerabilities that the code-level testing cannot detect. The review should be conducted by a security engineer, or by the AI builder directed to adopt the security engineer's perspective, and it should examine the authentication, the authorization, the data protection, the communication security, and the configuration security. The review should produce a list of findings, each with a severity and a recommendation, and the findings should be addressed before the implementation proceeds. The AI builder should be directed to conduct the security architecture review as part of the design phase, and the review should be a gate that the implementation must pass.</w:t>
      </w:r>
    </w:p>
    <w:p>
      <w:pPr>
        <w:pStyle w:val="Heading2"/>
        <w:spacing w:after="120" w:before="280" w:line="312"/>
      </w:pPr>
      <w:bookmarkStart w:id="100026" w:name="_Toc100026"/>
      <w:r>
        <w:rPr>
          <w:rFonts w:ascii="Arial" w:eastAsia="SimHei"/>
          <w:b/>
          <w:bCs/>
          <w:color w:val="1A1A1A"/>
          <w:sz w:val="28"/>
          <w:szCs w:val="28"/>
        </w:rPr>
        <w:t xml:space="preserve">8.3 The Secure SDLC</w:t>
      </w:r>
      <w:bookmarkEnd w:id="100026"/>
    </w:p>
    <w:p>
      <w:pPr>
        <w:spacing w:after="120" w:line="312"/>
        <w:ind w:firstLine="360"/>
        <w:jc w:val="both"/>
      </w:pPr>
      <w:r>
        <w:rPr>
          <w:rFonts w:ascii="Times New Roman" w:eastAsia="SimSun"/>
          <w:color w:val="000000"/>
          <w:sz w:val="24"/>
          <w:szCs w:val="24"/>
        </w:rPr>
        <w:t xml:space="preserve">The Secure Software Development Life Cycle, abbreviated Secure SDLC, is the practice of integrating security activities into every phase of the SDLC, rather than treating security as a final-phase audit. In the planning phase, the security requirements are specified; in the design phase, the threat model is conducted; in the development phase, the secure coding standards are enforced and the SAST is run; in the testing phase, the DAST and the penetration testing are conducted; in the deployment phase, the security configuration is verified; and in the maintenance phase, the vulnerabilities are patched and the security advisories are monitored. The AI builder should be directed to follow the Secure SDLC, and the security activities should be gates that each phase must pass before the next begins.</w:t>
      </w:r>
    </w:p>
    <w:p>
      <w:pPr>
        <w:pStyle w:val="Heading1"/>
        <w:spacing w:after="160" w:before="360" w:line="312"/>
      </w:pPr>
      <w:bookmarkStart w:id="100027" w:name="_Toc100027"/>
      <w:r>
        <w:rPr>
          <w:rFonts w:ascii="Arial" w:eastAsia="SimHei"/>
          <w:b/>
          <w:bCs/>
          <w:color w:val="1A1A1A"/>
          <w:sz w:val="32"/>
          <w:szCs w:val="32"/>
        </w:rPr>
        <w:t xml:space="preserve">9. Compliance Operationalization</w:t>
      </w:r>
      <w:bookmarkEnd w:id="100027"/>
    </w:p>
    <w:p>
      <w:pPr>
        <w:spacing w:after="120" w:line="312"/>
        <w:ind w:firstLine="360"/>
        <w:jc w:val="both"/>
      </w:pPr>
      <w:r>
        <w:rPr>
          <w:rFonts w:ascii="Times New Roman" w:eastAsia="SimSun"/>
          <w:color w:val="000000"/>
          <w:sz w:val="24"/>
          <w:szCs w:val="24"/>
        </w:rPr>
        <w:t xml:space="preserve">Compliance operationalization is the discipline of treating compliance, whether SOC 2, GDPR, HIPAA, or another framework, as an ongoing process rather than as a one-time audit. Practitioner sources report that in 2026, SOC 2 compliance is no longer a one-time project but a continuous discipline, with auditors evaluating the continuity of controls and enterprise buyers requesting SOC 2 Type II reports before signing contracts. The three existing documents mention the compliance frameworks; this section specifies how to operationalize them as a continuous practice. The discipline is what allows a system to pass an audit at any time, without the scramble that produces errors and that erodes the controls' credibility.</w:t>
      </w:r>
    </w:p>
    <w:p>
      <w:pPr>
        <w:pStyle w:val="Heading2"/>
        <w:spacing w:after="120" w:before="280" w:line="312"/>
      </w:pPr>
      <w:bookmarkStart w:id="100028" w:name="_Toc100028"/>
      <w:r>
        <w:rPr>
          <w:rFonts w:ascii="Arial" w:eastAsia="SimHei"/>
          <w:b/>
          <w:bCs/>
          <w:color w:val="1A1A1A"/>
          <w:sz w:val="28"/>
          <w:szCs w:val="28"/>
        </w:rPr>
        <w:t xml:space="preserve">9.1 SOC 2 Continuous Compliance</w:t>
      </w:r>
      <w:bookmarkEnd w:id="100028"/>
    </w:p>
    <w:p>
      <w:pPr>
        <w:spacing w:after="120" w:line="312"/>
        <w:ind w:firstLine="360"/>
        <w:jc w:val="both"/>
      </w:pPr>
      <w:r>
        <w:rPr>
          <w:rFonts w:ascii="Times New Roman" w:eastAsia="SimSun"/>
          <w:color w:val="000000"/>
          <w:sz w:val="24"/>
          <w:szCs w:val="24"/>
        </w:rPr>
        <w:t xml:space="preserve">SOC 2, the Service Organization Control 2 framework, is the compliance standard that validates how a service organization protects sensitive customer data, and it is the standard that has become table stakes for B2B SaaS companies selling to enterprise customers. SOC 2 is built on five Trust Service Criteria: security, availability, processing integrity, confidentiality, and privacy, and the attestation, which is the technically correct term for what is often called certification, is conducted by a CPA firm over a defined audit window, typically 12 months. The continuous compliance approach maintains the controls and the evidence throughout the window, so that the audit is a verification of the ongoing practice rather than a scramble to produce evidence. The AI builder should be directed to implement the SOC 2 controls, to collect the evidence continuously through automation, and to conduct the internal audits quarterly to verify the controls are in place.</w:t>
      </w:r>
    </w:p>
    <w:p>
      <w:pPr>
        <w:pStyle w:val="Heading2"/>
        <w:spacing w:after="120" w:before="280" w:line="312"/>
      </w:pPr>
      <w:bookmarkStart w:id="100029" w:name="_Toc100029"/>
      <w:r>
        <w:rPr>
          <w:rFonts w:ascii="Arial" w:eastAsia="SimHei"/>
          <w:b/>
          <w:bCs/>
          <w:color w:val="1A1A1A"/>
          <w:sz w:val="28"/>
          <w:szCs w:val="28"/>
        </w:rPr>
        <w:t xml:space="preserve">9.2 GDPR and Data Subject Rights</w:t>
      </w:r>
      <w:bookmarkEnd w:id="100029"/>
    </w:p>
    <w:p>
      <w:pPr>
        <w:spacing w:after="120" w:line="312"/>
        <w:ind w:firstLine="360"/>
        <w:jc w:val="both"/>
      </w:pPr>
      <w:r>
        <w:rPr>
          <w:rFonts w:ascii="Times New Roman" w:eastAsia="SimSun"/>
          <w:color w:val="000000"/>
          <w:sz w:val="24"/>
          <w:szCs w:val="24"/>
        </w:rPr>
        <w:t xml:space="preserve">The General Data Protection Regulation, GDPR, is the European Union regulation that governs the processing of personal data, and it requires the system to support the data subject rights, including the right of access, the right to rectification, the right to erasure, the right to restrict processing, the right to data portability, and the right to object. The operationalization of GDPR requires the system to maintain a data map that identifies where personal data is stored, to provide the APIs and the processes that fulfill the data subject requests within the 30-day response window, and to maintain the data processing agreements with the subprocessors. The AI builder should be directed to implement the data subject access request process, to document the data map, and to maintain the data processing agreements, and the process should be tested through a simulated request before launch.</w:t>
      </w:r>
    </w:p>
    <w:p>
      <w:pPr>
        <w:pStyle w:val="Heading2"/>
        <w:spacing w:after="120" w:before="280" w:line="312"/>
      </w:pPr>
      <w:bookmarkStart w:id="100030" w:name="_Toc100030"/>
      <w:r>
        <w:rPr>
          <w:rFonts w:ascii="Arial" w:eastAsia="SimHei"/>
          <w:b/>
          <w:bCs/>
          <w:color w:val="1A1A1A"/>
          <w:sz w:val="28"/>
          <w:szCs w:val="28"/>
        </w:rPr>
        <w:t xml:space="preserve">9.3 The Compliance Evidence Pipeline</w:t>
      </w:r>
      <w:bookmarkEnd w:id="100030"/>
    </w:p>
    <w:p>
      <w:pPr>
        <w:spacing w:after="120" w:line="312"/>
        <w:ind w:firstLine="360"/>
        <w:jc w:val="both"/>
      </w:pPr>
      <w:r>
        <w:rPr>
          <w:rFonts w:ascii="Times New Roman" w:eastAsia="SimSun"/>
          <w:color w:val="000000"/>
          <w:sz w:val="24"/>
          <w:szCs w:val="24"/>
        </w:rPr>
        <w:t xml:space="preserve">The compliance evidence pipeline is the automated system that collects and stores the evidence that the auditors require, and it is the system that converts the compliance from a manual scramble to a continuous practice. The pipeline should automatically collect the access reviews, the change logs, the vulnerability scans, the patch records, and the other evidence that the controls require, and it should store the evidence in a tamper-evident repository. The pipeline should produce the audit-ready reports on demand, so that an auditor's request can be fulfilled in hours rather than weeks. The AI builder should be directed to implement the evidence pipeline, and the pipeline should be a component of the CI/CD infrastructure that runs continuously.</w:t>
      </w:r>
    </w:p>
    <w:p>
      <w:pPr>
        <w:pStyle w:val="Heading1"/>
        <w:spacing w:after="160" w:before="360" w:line="312"/>
      </w:pPr>
      <w:bookmarkStart w:id="100031" w:name="_Toc100031"/>
      <w:r>
        <w:rPr>
          <w:rFonts w:ascii="Arial" w:eastAsia="SimHei"/>
          <w:b/>
          <w:bCs/>
          <w:color w:val="1A1A1A"/>
          <w:sz w:val="32"/>
          <w:szCs w:val="32"/>
        </w:rPr>
        <w:t xml:space="preserve">10. Performance Engineering</w:t>
      </w:r>
      <w:bookmarkEnd w:id="100031"/>
    </w:p>
    <w:p>
      <w:pPr>
        <w:spacing w:after="120" w:line="312"/>
        <w:ind w:firstLine="360"/>
        <w:jc w:val="both"/>
      </w:pPr>
      <w:r>
        <w:rPr>
          <w:rFonts w:ascii="Times New Roman" w:eastAsia="SimSun"/>
          <w:color w:val="000000"/>
          <w:sz w:val="24"/>
          <w:szCs w:val="24"/>
        </w:rPr>
        <w:t xml:space="preserve">Performance engineering is the discipline of designing and tuning the system to meet its performance targets, and it is the discipline that the non-functional requirements specify but that the implementation must achieve. The three existing documents specify the performance targets, such as the p95 latency and the throughput; this section specifies the engineering practices that achieve them. Performance engineering is not an afterthought; it is a discipline that begins at the design stage and that continues through the launch and the operation, and it is the discipline that prevents the slow system that loses users and conversions.</w:t>
      </w:r>
    </w:p>
    <w:p>
      <w:pPr>
        <w:pStyle w:val="Heading2"/>
        <w:spacing w:after="120" w:before="280" w:line="312"/>
      </w:pPr>
      <w:bookmarkStart w:id="100032" w:name="_Toc100032"/>
      <w:r>
        <w:rPr>
          <w:rFonts w:ascii="Arial" w:eastAsia="SimHei"/>
          <w:b/>
          <w:bCs/>
          <w:color w:val="1A1A1A"/>
          <w:sz w:val="28"/>
          <w:szCs w:val="28"/>
        </w:rPr>
        <w:t xml:space="preserve">10.1 Performance Budgets</w:t>
      </w:r>
      <w:bookmarkEnd w:id="100032"/>
    </w:p>
    <w:p>
      <w:pPr>
        <w:spacing w:after="120" w:line="312"/>
        <w:ind w:firstLine="360"/>
        <w:jc w:val="both"/>
      </w:pPr>
      <w:r>
        <w:rPr>
          <w:rFonts w:ascii="Times New Roman" w:eastAsia="SimSun"/>
          <w:color w:val="000000"/>
          <w:sz w:val="24"/>
          <w:szCs w:val="24"/>
        </w:rPr>
        <w:t xml:space="preserve">A performance budget is a defined limit on a performance metric, such as the page load time, the time to interactive, the bundle size, or the database query count, and it is the budget that the team commits to respecting. The performance budget should be specified at the design stage, should be enforced by the CI pipeline, and should be monitored in production. A budget that is not enforced is aspirational; a budget that is enforced is a constraint that produces a fast system. The AI builder should be directed to specify the performance budgets for each system, to implement the CI checks that enforce them, and to monitor the metrics in production with alerting on budget breach.</w:t>
      </w:r>
    </w:p>
    <w:p>
      <w:pPr>
        <w:pStyle w:val="Heading2"/>
        <w:spacing w:after="120" w:before="280" w:line="312"/>
      </w:pPr>
      <w:bookmarkStart w:id="100033" w:name="_Toc100033"/>
      <w:r>
        <w:rPr>
          <w:rFonts w:ascii="Arial" w:eastAsia="SimHei"/>
          <w:b/>
          <w:bCs/>
          <w:color w:val="1A1A1A"/>
          <w:sz w:val="28"/>
          <w:szCs w:val="28"/>
        </w:rPr>
        <w:t xml:space="preserve">10.2 Capacity Planning</w:t>
      </w:r>
      <w:bookmarkEnd w:id="100033"/>
    </w:p>
    <w:p>
      <w:pPr>
        <w:spacing w:after="120" w:line="312"/>
        <w:ind w:firstLine="360"/>
        <w:jc w:val="both"/>
      </w:pPr>
      <w:r>
        <w:rPr>
          <w:rFonts w:ascii="Times New Roman" w:eastAsia="SimSun"/>
          <w:color w:val="000000"/>
          <w:sz w:val="24"/>
          <w:szCs w:val="24"/>
        </w:rPr>
        <w:t xml:space="preserve">Capacity planning is the discipline of forecasting the system's resource needs based on the expected load, and it is the discipline that prevents the scale failures that occur when the system exceeds its capacity. The capacity planning should model the expected growth in users, in data, and in traffic, and should project the resource needs, such as the database storage, the cache memory, and the compute instances, over the forecast horizon. The plan should identify the scaling triggers, the points at which additional resources must be provisioned, and the lead times for provisioning, so that the resources are in place before they are needed. The AI builder should be directed to produce the capacity plan, to monitor the utilization against the plan, and to alert when the utilization approaches the capacity.</w:t>
      </w:r>
    </w:p>
    <w:p>
      <w:pPr>
        <w:pStyle w:val="Heading2"/>
        <w:spacing w:after="120" w:before="280" w:line="312"/>
      </w:pPr>
      <w:bookmarkStart w:id="100034" w:name="_Toc100034"/>
      <w:r>
        <w:rPr>
          <w:rFonts w:ascii="Arial" w:eastAsia="SimHei"/>
          <w:b/>
          <w:bCs/>
          <w:color w:val="1A1A1A"/>
          <w:sz w:val="28"/>
          <w:szCs w:val="28"/>
        </w:rPr>
        <w:t xml:space="preserve">10.3 Profiling and Optimization</w:t>
      </w:r>
      <w:bookmarkEnd w:id="100034"/>
    </w:p>
    <w:p>
      <w:pPr>
        <w:spacing w:after="120" w:line="312"/>
        <w:ind w:firstLine="360"/>
        <w:jc w:val="both"/>
      </w:pPr>
      <w:r>
        <w:rPr>
          <w:rFonts w:ascii="Times New Roman" w:eastAsia="SimSun"/>
          <w:color w:val="000000"/>
          <w:sz w:val="24"/>
          <w:szCs w:val="24"/>
        </w:rPr>
        <w:t xml:space="preserve">Profiling is the practice of measuring the system's performance in detail, to identify the bottlenecks that limit the overall performance, and optimization is the practice of addressing those bottlenecks. The profiling should be conducted at the application level, to identify the slow functions and the hot paths; at the database level, to identify the slow queries and the missing indexes; and at the network level, to identify the latency and the bandwidth limitations. The optimization should be prioritized by the impact, addressing the bottleneck that produces the largest improvement first, and should be verified by re-profiling after the optimization to confirm the improvement. The AI builder should be directed to profile the system at each milestone, to optimize the identified bottlenecks, and to document the profiling results and the optimizations in the performance report.</w:t>
      </w:r>
    </w:p>
    <w:p>
      <w:pPr>
        <w:pStyle w:val="Heading1"/>
        <w:spacing w:after="160" w:before="360" w:line="312"/>
      </w:pPr>
      <w:bookmarkStart w:id="100035" w:name="_Toc100035"/>
      <w:r>
        <w:rPr>
          <w:rFonts w:ascii="Arial" w:eastAsia="SimHei"/>
          <w:b/>
          <w:bCs/>
          <w:color w:val="1A1A1A"/>
          <w:sz w:val="32"/>
          <w:szCs w:val="32"/>
        </w:rPr>
        <w:t xml:space="preserve">11. Architecture Decision Records</w:t>
      </w:r>
      <w:bookmarkEnd w:id="100035"/>
    </w:p>
    <w:p>
      <w:pPr>
        <w:spacing w:after="120" w:line="312"/>
        <w:ind w:firstLine="360"/>
        <w:jc w:val="both"/>
      </w:pPr>
      <w:r>
        <w:rPr>
          <w:rFonts w:ascii="Times New Roman" w:eastAsia="SimSun"/>
          <w:color w:val="000000"/>
          <w:sz w:val="24"/>
          <w:szCs w:val="24"/>
        </w:rPr>
        <w:t xml:space="preserve">The Architecture Decision Record, abbreviated ADR, is the document that describes a significant architectural decision, its context, and its consequences, and it is the document that preserves the reasoning behind the decision so that it can be understood and revisited later. The three existing documents mention the ADR as a practice but do not specify the ADR process or the template; this section does. The ADR is the artifact that prevents the relitigation of decisions, that enables the safe evolution of the system, and that onboard new team members by providing the context they need to understand the system's design.</w:t>
      </w:r>
    </w:p>
    <w:p>
      <w:pPr>
        <w:pStyle w:val="Heading2"/>
        <w:spacing w:after="120" w:before="280" w:line="312"/>
      </w:pPr>
      <w:bookmarkStart w:id="100036" w:name="_Toc100036"/>
      <w:r>
        <w:rPr>
          <w:rFonts w:ascii="Arial" w:eastAsia="SimHei"/>
          <w:b/>
          <w:bCs/>
          <w:color w:val="1A1A1A"/>
          <w:sz w:val="28"/>
          <w:szCs w:val="28"/>
        </w:rPr>
        <w:t xml:space="preserve">11.1 The ADR Template and Process</w:t>
      </w:r>
      <w:bookmarkEnd w:id="100036"/>
    </w:p>
    <w:p>
      <w:pPr>
        <w:spacing w:after="120" w:line="312"/>
        <w:ind w:firstLine="360"/>
        <w:jc w:val="both"/>
      </w:pPr>
      <w:r>
        <w:rPr>
          <w:rFonts w:ascii="Times New Roman" w:eastAsia="SimSun"/>
          <w:color w:val="000000"/>
          <w:sz w:val="24"/>
          <w:szCs w:val="24"/>
        </w:rPr>
        <w:t xml:space="preserve">The ADR template, as specified by the AWS Prescriptive Guidance and the broader practitioner community, includes the following sections: the title, which names the decision; the context, which describes the forces at play; the decision, which states the choice; the status, which tracks the lifecycle from proposed through accepted to deprecated; and the consequences, which describe the resulting context after the decision is made. The ADR process produces a collection of records, the decision log, which provides the project context and the detailed design information. The ADRs are version-controlled, are reviewed, and once accepted become immutable, with any change requiring a new ADR that supersedes the old. The AI builder should be directed to produce an ADR for every significant decision, to maintain the decision log, and to reference the ADRs in the code and the documentation.</w:t>
      </w:r>
    </w:p>
    <w:p>
      <w:pPr>
        <w:pStyle w:val="Heading2"/>
        <w:spacing w:after="120" w:before="280" w:line="312"/>
      </w:pPr>
      <w:bookmarkStart w:id="100037" w:name="_Toc100037"/>
      <w:r>
        <w:rPr>
          <w:rFonts w:ascii="Arial" w:eastAsia="SimHei"/>
          <w:b/>
          <w:bCs/>
          <w:color w:val="1A1A1A"/>
          <w:sz w:val="28"/>
          <w:szCs w:val="28"/>
        </w:rPr>
        <w:t xml:space="preserve">11.2 What Decisions Require an ADR</w:t>
      </w:r>
      <w:bookmarkEnd w:id="100037"/>
    </w:p>
    <w:p>
      <w:pPr>
        <w:spacing w:after="120" w:line="312"/>
        <w:ind w:firstLine="360"/>
        <w:jc w:val="both"/>
      </w:pPr>
      <w:r>
        <w:rPr>
          <w:rFonts w:ascii="Times New Roman" w:eastAsia="SimSun"/>
          <w:color w:val="000000"/>
          <w:sz w:val="24"/>
          <w:szCs w:val="24"/>
        </w:rPr>
        <w:t xml:space="preserve">Not every decision requires an ADR; the ADR is for the significant decisions, the ones that are expensive to reverse and that have lasting consequences. The decisions that require an ADR include: the choice of database, the choice of API style, the choice of authentication platform, the choice of deployment strategy, the choice of the front-end framework, the choice of the cache or the queue, and any decision that introduces a new dependency or a new infrastructure component. The decisions that do not require an ADR include the choice of a utility library, the choice of a code formatting tool, and any decision that is easily reversible and that has no lasting consequence. The AI builder should be directed to produce an ADR for the significant decisions and to use the team's judgment for the rest, and the ADR log should be reviewed at each milestone to ensure it is current.</w:t>
      </w:r>
    </w:p>
    <w:p>
      <w:pPr>
        <w:pStyle w:val="Heading1"/>
        <w:spacing w:after="160" w:before="360" w:line="312"/>
      </w:pPr>
      <w:bookmarkStart w:id="100038" w:name="_Toc100038"/>
      <w:r>
        <w:rPr>
          <w:rFonts w:ascii="Arial" w:eastAsia="SimHei"/>
          <w:b/>
          <w:bCs/>
          <w:color w:val="1A1A1A"/>
          <w:sz w:val="32"/>
          <w:szCs w:val="32"/>
        </w:rPr>
        <w:t xml:space="preserve">12. Go-to-Market and Launch Planning</w:t>
      </w:r>
      <w:bookmarkEnd w:id="100038"/>
    </w:p>
    <w:p>
      <w:pPr>
        <w:spacing w:after="120" w:line="312"/>
        <w:ind w:firstLine="360"/>
        <w:jc w:val="both"/>
      </w:pPr>
      <w:r>
        <w:rPr>
          <w:rFonts w:ascii="Times New Roman" w:eastAsia="SimSun"/>
          <w:color w:val="000000"/>
          <w:sz w:val="24"/>
          <w:szCs w:val="24"/>
        </w:rPr>
        <w:t xml:space="preserve">The go-to-market and the launch planning is the discipline that converts the built system into a product that reaches customers, and it is the discipline that the three existing documents touch on in the business-viability sections but do not develop in depth. The three documents specify the business case; this section specifies the launch process. The launch is the moment when the system meets the market, and the planning that precedes it determines whether the launch produces the feedback and the revenue that justify the build or whether it produces silence and churn.</w:t>
      </w:r>
    </w:p>
    <w:p>
      <w:pPr>
        <w:pStyle w:val="Heading2"/>
        <w:spacing w:after="120" w:before="280" w:line="312"/>
      </w:pPr>
      <w:bookmarkStart w:id="100039" w:name="_Toc100039"/>
      <w:r>
        <w:rPr>
          <w:rFonts w:ascii="Arial" w:eastAsia="SimHei"/>
          <w:b/>
          <w:bCs/>
          <w:color w:val="1A1A1A"/>
          <w:sz w:val="28"/>
          <w:szCs w:val="28"/>
        </w:rPr>
        <w:t xml:space="preserve">12.1 The Beta and the Design Partner Program</w:t>
      </w:r>
      <w:bookmarkEnd w:id="100039"/>
    </w:p>
    <w:p>
      <w:pPr>
        <w:spacing w:after="120" w:line="312"/>
        <w:ind w:firstLine="360"/>
        <w:jc w:val="both"/>
      </w:pPr>
      <w:r>
        <w:rPr>
          <w:rFonts w:ascii="Times New Roman" w:eastAsia="SimSun"/>
          <w:color w:val="000000"/>
          <w:sz w:val="24"/>
          <w:szCs w:val="24"/>
        </w:rPr>
        <w:t xml:space="preserve">The beta and the design partner program is the practice of releasing the system to a small number of friendly customers before the general launch, to gather the feedback that the final polishing requires. The design partners are the customers who are willing to use the system in its incomplete state, who provide the feedback, and who become the reference customers at the launch. The program should be structured with a defined timeline, a defined feedback process, and a defined set of success criteria, and the design partners should be selected for their willingness to provide candid feedback and for their representativeness of the target market. The AI builder should be directed to produce the design partner program plan, the feedback collection templates, and the success criteria, and the builder should execute the program before the general launch.</w:t>
      </w:r>
    </w:p>
    <w:p>
      <w:pPr>
        <w:pStyle w:val="Heading2"/>
        <w:spacing w:after="120" w:before="280" w:line="312"/>
      </w:pPr>
      <w:bookmarkStart w:id="100040" w:name="_Toc100040"/>
      <w:r>
        <w:rPr>
          <w:rFonts w:ascii="Arial" w:eastAsia="SimHei"/>
          <w:b/>
          <w:bCs/>
          <w:color w:val="1A1A1A"/>
          <w:sz w:val="28"/>
          <w:szCs w:val="28"/>
        </w:rPr>
        <w:t xml:space="preserve">12.2 Feature Flags and Gradual Rollout</w:t>
      </w:r>
      <w:bookmarkEnd w:id="100040"/>
    </w:p>
    <w:p>
      <w:pPr>
        <w:spacing w:after="120" w:line="312"/>
        <w:ind w:firstLine="360"/>
        <w:jc w:val="both"/>
      </w:pPr>
      <w:r>
        <w:rPr>
          <w:rFonts w:ascii="Times New Roman" w:eastAsia="SimSun"/>
          <w:color w:val="000000"/>
          <w:sz w:val="24"/>
          <w:szCs w:val="24"/>
        </w:rPr>
        <w:t xml:space="preserve">Feature flags are the mechanism that allows the system's features to be turned on or off per user, per tenant, or per cohort, and they are the mechanism that enables the gradual rollout that limits the risk of a defective release. The gradual rollout releases a new feature to a small fraction of users first, monitors the metrics, and progressively increases the fraction if the metrics are within tolerance. The feature flags should be implemented as a first-class capability of the system, with the flags stored in a configuration service, evaluated at runtime, and changed without a deployment. The AI builder should be directed to implement the feature flag system, to use it for every new feature, and to monitor the metrics during each rollout.</w:t>
      </w:r>
    </w:p>
    <w:p>
      <w:pPr>
        <w:pStyle w:val="Heading2"/>
        <w:spacing w:after="120" w:before="280" w:line="312"/>
      </w:pPr>
      <w:bookmarkStart w:id="100041" w:name="_Toc100041"/>
      <w:r>
        <w:rPr>
          <w:rFonts w:ascii="Arial" w:eastAsia="SimHei"/>
          <w:b/>
          <w:bCs/>
          <w:color w:val="1A1A1A"/>
          <w:sz w:val="28"/>
          <w:szCs w:val="28"/>
        </w:rPr>
        <w:t xml:space="preserve">12.3 Product Analytics and the Feedback Loop</w:t>
      </w:r>
      <w:bookmarkEnd w:id="100041"/>
    </w:p>
    <w:p>
      <w:pPr>
        <w:spacing w:after="120" w:line="312"/>
        <w:ind w:firstLine="360"/>
        <w:jc w:val="both"/>
      </w:pPr>
      <w:r>
        <w:rPr>
          <w:rFonts w:ascii="Times New Roman" w:eastAsia="SimSun"/>
          <w:color w:val="000000"/>
          <w:sz w:val="24"/>
          <w:szCs w:val="24"/>
        </w:rPr>
        <w:t xml:space="preserve">Product analytics is the practice of instrumenting the system to measure how the users use it, and it is the practice that produces the feedback loop that drives the iteration after the launch. The analytics should measure the activation, the retention, the engagement, and the conversion, and the metrics should be reviewed regularly to identify the features that are used and the features that are not. The feedback loop connects the analytics to the product decisions, so that the iteration is driven by the data rather than by the opinions. The AI builder should be directed to implement the product analytics, to define the metrics and the dashboards, and to review the metrics with the product team on a regular cadence.</w:t>
      </w:r>
    </w:p>
    <w:p>
      <w:pPr>
        <w:pStyle w:val="Heading1"/>
        <w:spacing w:after="160" w:before="360" w:line="312"/>
      </w:pPr>
      <w:bookmarkStart w:id="100042" w:name="_Toc100042"/>
      <w:r>
        <w:rPr>
          <w:rFonts w:ascii="Arial" w:eastAsia="SimHei"/>
          <w:b/>
          <w:bCs/>
          <w:color w:val="1A1A1A"/>
          <w:sz w:val="32"/>
          <w:szCs w:val="32"/>
        </w:rPr>
        <w:t xml:space="preserve">13. Unit Economics and Cost Management</w:t>
      </w:r>
      <w:bookmarkEnd w:id="100042"/>
    </w:p>
    <w:p>
      <w:pPr>
        <w:spacing w:after="120" w:line="312"/>
        <w:ind w:firstLine="360"/>
        <w:jc w:val="both"/>
      </w:pPr>
      <w:r>
        <w:rPr>
          <w:rFonts w:ascii="Times New Roman" w:eastAsia="SimSun"/>
          <w:color w:val="000000"/>
          <w:sz w:val="24"/>
          <w:szCs w:val="24"/>
        </w:rPr>
        <w:t xml:space="preserve">Unit economics is the discipline of measuring the financial mechanics that determine whether the business model works, and it is the discipline that the three existing documents touch on in the cost-estimation section but do not develop in depth. The three documents specify the build cost; this section specifies the ongoing unit economics that determine whether the business is sustainable. Unit economics is the discipline that separates the SaaS companies that grow profitably from the ones that burn cash with every new customer, and it is the discipline that the builder must master to ensure that the system generates revenue rather than consumes it.</w:t>
      </w:r>
    </w:p>
    <w:p>
      <w:pPr>
        <w:pStyle w:val="Heading2"/>
        <w:spacing w:after="120" w:before="280" w:line="312"/>
      </w:pPr>
      <w:bookmarkStart w:id="100043" w:name="_Toc100043"/>
      <w:r>
        <w:rPr>
          <w:rFonts w:ascii="Arial" w:eastAsia="SimHei"/>
          <w:b/>
          <w:bCs/>
          <w:color w:val="1A1A1A"/>
          <w:sz w:val="28"/>
          <w:szCs w:val="28"/>
        </w:rPr>
        <w:t xml:space="preserve">13.1 The Core Unit Economics Metrics</w:t>
      </w:r>
      <w:bookmarkEnd w:id="100043"/>
    </w:p>
    <w:p>
      <w:pPr>
        <w:spacing w:after="120" w:line="312"/>
        <w:ind w:firstLine="360"/>
        <w:jc w:val="both"/>
      </w:pPr>
      <w:r>
        <w:rPr>
          <w:rFonts w:ascii="Times New Roman" w:eastAsia="SimSun"/>
          <w:color w:val="000000"/>
          <w:sz w:val="24"/>
          <w:szCs w:val="24"/>
        </w:rPr>
        <w:t xml:space="preserve">The core unit economics metrics for a SaaS business are the Customer Acquisition Cost, CAC, the Lifetime Value, LTV, the Cost of Goods Sold, COGS, the gross margin, and the payback period. The CAC is the total cost of acquiring a customer, including the sales and the marketing spend; the LTV is the total revenue a customer generates over their lifetime; the COGS is the direct cost of serving the customer, including the hosting, the support, and the third-party services; the gross margin is the revenue minus the COGS, expressed as a percentage; and the payback period is the time it takes for the customer's gross profit to cover the CAC. The healthy ratios are an LTV to CAC ratio of 3 or higher, a gross margin of 70 percent or higher, and a payback period of 12 months or less. The AI builder should be directed to instrument the system to measure these metrics, to produce the unit economics report, and to review the metrics with the business team monthly.</w:t>
      </w:r>
    </w:p>
    <w:p>
      <w:pPr>
        <w:keepNext/>
        <w:spacing w:after="100" w:before="200" w:line="312"/>
        <w:jc w:val="left"/>
      </w:pPr>
      <w:r>
        <w:rPr>
          <w:rFonts w:ascii="Arial" w:eastAsia="SimHei"/>
          <w:b/>
          <w:bCs/>
          <w:color w:val="1A1A1A"/>
          <w:sz w:val="22"/>
          <w:szCs w:val="22"/>
        </w:rPr>
        <w:t xml:space="preserve">Table 3: The Core Unit Economics Metrics and Healthy Targets</w:t>
      </w:r>
    </w:p>
    <w:tbl>
      <w:tblPr>
        <w:tblW w:type="pct" w:w="100%"/>
        <w:tblBorders>
          <w:top w:val="single" w:color="C9A84C" w:sz="6"/>
          <w:left w:val="none" w:color="FFFFFF" w:sz="0"/>
          <w:bottom w:val="single" w:color="C9A84C" w:sz="6"/>
          <w:right w:val="none" w:color="FFFFFF" w:sz="0"/>
          <w:insideH w:val="single" w:color="DDD5C0" w:sz="1"/>
          <w:insideV w:val="none" w:color="FFFFFF" w:sz="0"/>
        </w:tblBorders>
        <w:tblLayout w:type="fixed"/>
      </w:tblPr>
      <w:tblGrid>
        <w:gridCol w:w="100"/>
        <w:gridCol w:w="100"/>
        <w:gridCol w:w="100"/>
      </w:tblGrid>
      <w:tr>
        <w:trPr>
          <w:cantSplit/>
          <w:tblHeader/>
        </w:trPr>
        <w:tc>
          <w:tcPr>
            <w:tcW w:type="pct" w:w="30%"/>
            <w:shd w:fill="C9A84C" w:val="clear"/>
            <w:tcMar>
              <w:top w:type="dxa" w:w="80"/>
              <w:left w:type="dxa" w:w="120"/>
              <w:bottom w:type="dxa" w:w="80"/>
              <w:right w:type="dxa" w:w="120"/>
            </w:tcMar>
          </w:tcPr>
          <w:p>
            <w:pPr>
              <w:spacing w:line="276"/>
              <w:jc w:val="left"/>
            </w:pPr>
            <w:r>
              <w:rPr>
                <w:rFonts w:ascii="Arial" w:eastAsia="SimHei"/>
                <w:b/>
                <w:bCs/>
                <w:color w:val="1A1A1A"/>
                <w:sz w:val="21"/>
                <w:szCs w:val="21"/>
              </w:rPr>
              <w:t xml:space="preserve">Metric</w:t>
            </w:r>
          </w:p>
        </w:tc>
        <w:tc>
          <w:tcPr>
            <w:tcW w:type="pct" w:w="40%"/>
            <w:shd w:fill="C9A84C" w:val="clear"/>
            <w:tcMar>
              <w:top w:type="dxa" w:w="80"/>
              <w:left w:type="dxa" w:w="120"/>
              <w:bottom w:type="dxa" w:w="80"/>
              <w:right w:type="dxa" w:w="120"/>
            </w:tcMar>
          </w:tcPr>
          <w:p>
            <w:pPr>
              <w:spacing w:line="276"/>
              <w:jc w:val="left"/>
            </w:pPr>
            <w:r>
              <w:rPr>
                <w:rFonts w:ascii="Arial" w:eastAsia="SimHei"/>
                <w:b/>
                <w:bCs/>
                <w:color w:val="1A1A1A"/>
                <w:sz w:val="21"/>
                <w:szCs w:val="21"/>
              </w:rPr>
              <w:t xml:space="preserve">Definition</w:t>
            </w:r>
          </w:p>
        </w:tc>
        <w:tc>
          <w:tcPr>
            <w:tcW w:type="pct" w:w="30%"/>
            <w:shd w:fill="C9A84C" w:val="clear"/>
            <w:tcMar>
              <w:top w:type="dxa" w:w="80"/>
              <w:left w:type="dxa" w:w="120"/>
              <w:bottom w:type="dxa" w:w="80"/>
              <w:right w:type="dxa" w:w="120"/>
            </w:tcMar>
          </w:tcPr>
          <w:p>
            <w:pPr>
              <w:spacing w:line="276"/>
              <w:jc w:val="left"/>
            </w:pPr>
            <w:r>
              <w:rPr>
                <w:rFonts w:ascii="Arial" w:eastAsia="SimHei"/>
                <w:b/>
                <w:bCs/>
                <w:color w:val="1A1A1A"/>
                <w:sz w:val="21"/>
                <w:szCs w:val="21"/>
              </w:rPr>
              <w:t xml:space="preserve">Healthy Target</w:t>
            </w:r>
          </w:p>
        </w:tc>
      </w:tr>
      <w:tr>
        <w:trPr>
          <w:cantSplit/>
        </w:trPr>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CAC (Customer Acquisition Cost)</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Total sales + marketing spend / new customers</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&lt; 1/3 of LTV</w:t>
            </w:r>
          </w:p>
        </w:tc>
      </w:tr>
      <w:tr>
        <w:trPr>
          <w:cantSplit/>
        </w:trPr>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LTV (Lifetime Value)</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ARPU x gross margin x (1 / churn rate)</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3x CAC or higher</w:t>
            </w:r>
          </w:p>
        </w:tc>
      </w:tr>
      <w:tr>
        <w:trPr>
          <w:cantSplit/>
        </w:trPr>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COGS (Cost of Goods Sold)</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Hosting + support + third-party services per customer</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&lt; 30% of revenue</w:t>
            </w:r>
          </w:p>
        </w:tc>
      </w:tr>
      <w:tr>
        <w:trPr>
          <w:cantSplit/>
        </w:trPr>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Gross Margin</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(Revenue - COGS) / Revenue</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70% or higher</w:t>
            </w:r>
          </w:p>
        </w:tc>
      </w:tr>
      <w:tr>
        <w:trPr>
          <w:cantSplit/>
        </w:trPr>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Payback Period</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CAC / (monthly gross profit per customer)</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12 months or less</w:t>
            </w:r>
          </w:p>
        </w:tc>
      </w:tr>
      <w:tr>
        <w:trPr>
          <w:cantSplit/>
        </w:trPr>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Net Revenue Retention</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(Starting MRR + expansion - churn - contraction) / Starting MRR</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100% or higher</w:t>
            </w:r>
          </w:p>
        </w:tc>
      </w:tr>
      <w:tr>
        <w:trPr>
          <w:cantSplit/>
        </w:trPr>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Monthly Churn Rate</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Customers lost / customers at start of month</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&lt; 2% for SMB, &lt; 0.5% for enterprise</w:t>
            </w:r>
          </w:p>
        </w:tc>
      </w:tr>
    </w:tbl>
    <w:p>
      <w:pPr>
        <w:spacing w:after="200" w:before="80" w:line="312"/>
        <w:jc w:val="center"/>
      </w:pPr>
      <w:r>
        <w:rPr>
          <w:rFonts w:ascii="Times New Roman" w:eastAsia="SimSun"/>
          <w:i/>
          <w:iCs/>
          <w:color w:val="606060"/>
          <w:sz w:val="20"/>
          <w:szCs w:val="20"/>
        </w:rPr>
        <w:t xml:space="preserve">Table 3: The core unit economics metrics for a SaaS business, their definitions, and the healthy targets. The AI builder should be directed to instrument the system to measure these metrics and to produce the unit economics report monthly.</w:t>
      </w:r>
    </w:p>
    <w:p>
      <w:pPr>
        <w:pStyle w:val="Heading2"/>
        <w:spacing w:after="120" w:before="280" w:line="312"/>
      </w:pPr>
      <w:bookmarkStart w:id="100044" w:name="_Toc100044"/>
      <w:r>
        <w:rPr>
          <w:rFonts w:ascii="Arial" w:eastAsia="SimHei"/>
          <w:b/>
          <w:bCs/>
          <w:color w:val="1A1A1A"/>
          <w:sz w:val="28"/>
          <w:szCs w:val="28"/>
        </w:rPr>
        <w:t xml:space="preserve">13.2 COGS Composition for SaaS</w:t>
      </w:r>
      <w:bookmarkEnd w:id="100044"/>
    </w:p>
    <w:p>
      <w:pPr>
        <w:spacing w:after="120" w:line="312"/>
        <w:ind w:firstLine="360"/>
        <w:jc w:val="both"/>
      </w:pPr>
      <w:r>
        <w:rPr>
          <w:rFonts w:ascii="Times New Roman" w:eastAsia="SimSun"/>
          <w:color w:val="000000"/>
          <w:sz w:val="24"/>
          <w:szCs w:val="24"/>
        </w:rPr>
        <w:t xml:space="preserve">The COGS for a SaaS business includes the direct costs of serving the customer, and the composition is typically: the hosting and infrastructure, the database and the cache services, the third-party APIs and the services, the on-call and the incident response staff, and the customer support staff. The research and development staff are not included in COGS; they are an operating expense. The distinction matters because the COGS determines the gross margin, and the gross margin determines the profitability of the growth. The AI builder should be directed to track the COGS per customer, to optimize the infrastructure to reduce the COGS, and to maintain the gross margin above the 70 percent target. The FinOps Foundation, the practitioner authority on cloud financial operations, provides the framework for the unit economics measurement and the cost optimization.</w:t>
      </w:r>
    </w:p>
    <w:p>
      <w:pPr>
        <w:pStyle w:val="Heading2"/>
        <w:spacing w:after="120" w:before="280" w:line="312"/>
      </w:pPr>
      <w:bookmarkStart w:id="100045" w:name="_Toc100045"/>
      <w:r>
        <w:rPr>
          <w:rFonts w:ascii="Arial" w:eastAsia="SimHei"/>
          <w:b/>
          <w:bCs/>
          <w:color w:val="1A1A1A"/>
          <w:sz w:val="28"/>
          <w:szCs w:val="28"/>
        </w:rPr>
        <w:t xml:space="preserve">13.3 Pricing Strategy and the Revenue Model</w:t>
      </w:r>
      <w:bookmarkEnd w:id="100045"/>
    </w:p>
    <w:p>
      <w:pPr>
        <w:spacing w:after="120" w:line="312"/>
        <w:ind w:firstLine="360"/>
        <w:jc w:val="both"/>
      </w:pPr>
      <w:r>
        <w:rPr>
          <w:rFonts w:ascii="Times New Roman" w:eastAsia="SimSun"/>
          <w:color w:val="000000"/>
          <w:sz w:val="24"/>
          <w:szCs w:val="24"/>
        </w:rPr>
        <w:t xml:space="preserve">The pricing strategy is the decision of how much to charge and how to structure the charging, and it is the decision that most directly determines the revenue. The pricing should be value-based, meaning it is set relative to the value the customer receives rather than relative to the cost of the service, and it should be simple, meaning the customer can understand it without a sales call. The common pricing models for SaaS are the per-seat subscription, the tiered subscription, the usage-based pricing, and the hybrid. The choice depends on the system and the market, and the pricing should be tested with the customers and adjusted based on the conversion and the retention data. The AI builder should be directed to produce the pricing strategy document, to implement the billing system that supports the chosen model, and to instrument the metrics that allow the pricing to be evaluated.</w:t>
      </w:r>
    </w:p>
    <w:p>
      <w:pPr>
        <w:pStyle w:val="Heading1"/>
        <w:spacing w:after="160" w:before="360" w:line="312"/>
      </w:pPr>
      <w:bookmarkStart w:id="100046" w:name="_Toc100046"/>
      <w:r>
        <w:rPr>
          <w:rFonts w:ascii="Arial" w:eastAsia="SimHei"/>
          <w:b/>
          <w:bCs/>
          <w:color w:val="1A1A1A"/>
          <w:sz w:val="32"/>
          <w:szCs w:val="32"/>
        </w:rPr>
        <w:t xml:space="preserve">14. Synthesis: Mapping the Ten Areas to the System Lifecycle</w:t>
      </w:r>
      <w:bookmarkEnd w:id="100046"/>
    </w:p>
    <w:p>
      <w:pPr>
        <w:spacing w:after="120" w:line="312"/>
        <w:ind w:firstLine="360"/>
        <w:jc w:val="both"/>
      </w:pPr>
      <w:r>
        <w:rPr>
          <w:rFonts w:ascii="Times New Roman" w:eastAsia="SimSun"/>
          <w:color w:val="000000"/>
          <w:sz w:val="24"/>
          <w:szCs w:val="24"/>
        </w:rPr>
        <w:t xml:space="preserve">This section synthesizes the ten process areas by mapping them to the phases of the system lifecycle, so that the builder can see when each area is active and how the areas interact. The lifecycle is the SDLC defined in the foundation document, with the ten areas overlaid as the activities that occur within and across the phases. The mapping is the reference that the builder uses to plan the build and to ensure that no area is neglected.</w:t>
      </w:r>
    </w:p>
    <w:p>
      <w:pPr>
        <w:keepNext/>
        <w:spacing w:after="100" w:before="200" w:line="312"/>
        <w:jc w:val="left"/>
      </w:pPr>
      <w:r>
        <w:rPr>
          <w:rFonts w:ascii="Arial" w:eastAsia="SimHei"/>
          <w:b/>
          <w:bCs/>
          <w:color w:val="1A1A1A"/>
          <w:sz w:val="22"/>
          <w:szCs w:val="22"/>
        </w:rPr>
        <w:t xml:space="preserve">Table 4: The Ten Process Areas Mapped to the SDLC Phases</w:t>
      </w:r>
    </w:p>
    <w:tbl>
      <w:tblPr>
        <w:tblW w:type="pct" w:w="100%"/>
        <w:tblBorders>
          <w:top w:val="single" w:color="C9A84C" w:sz="6"/>
          <w:left w:val="none" w:color="FFFFFF" w:sz="0"/>
          <w:bottom w:val="single" w:color="C9A84C" w:sz="6"/>
          <w:right w:val="none" w:color="FFFFFF" w:sz="0"/>
          <w:insideH w:val="single" w:color="DDD5C0" w:sz="1"/>
          <w:insideV w:val="none" w:color="FFFFFF" w:sz="0"/>
        </w:tblBorders>
        <w:tblLayout w:type="fixed"/>
      </w:tblPr>
      <w:tblGrid>
        <w:gridCol w:w="100"/>
        <w:gridCol w:w="100"/>
        <w:gridCol w:w="100"/>
      </w:tblGrid>
      <w:tr>
        <w:trPr>
          <w:cantSplit/>
          <w:tblHeader/>
        </w:trPr>
        <w:tc>
          <w:tcPr>
            <w:tcW w:type="pct" w:w="18%"/>
            <w:shd w:fill="C9A84C" w:val="clear"/>
            <w:tcMar>
              <w:top w:type="dxa" w:w="80"/>
              <w:left w:type="dxa" w:w="120"/>
              <w:bottom w:type="dxa" w:w="80"/>
              <w:right w:type="dxa" w:w="120"/>
            </w:tcMar>
          </w:tcPr>
          <w:p>
            <w:pPr>
              <w:spacing w:line="276"/>
              <w:jc w:val="left"/>
            </w:pPr>
            <w:r>
              <w:rPr>
                <w:rFonts w:ascii="Arial" w:eastAsia="SimHei"/>
                <w:b/>
                <w:bCs/>
                <w:color w:val="1A1A1A"/>
                <w:sz w:val="21"/>
                <w:szCs w:val="21"/>
              </w:rPr>
              <w:t xml:space="preserve">SDLC Phase</w:t>
            </w:r>
          </w:p>
        </w:tc>
        <w:tc>
          <w:tcPr>
            <w:tcW w:type="pct" w:w="42%"/>
            <w:shd w:fill="C9A84C" w:val="clear"/>
            <w:tcMar>
              <w:top w:type="dxa" w:w="80"/>
              <w:left w:type="dxa" w:w="120"/>
              <w:bottom w:type="dxa" w:w="80"/>
              <w:right w:type="dxa" w:w="120"/>
            </w:tcMar>
          </w:tcPr>
          <w:p>
            <w:pPr>
              <w:spacing w:line="276"/>
              <w:jc w:val="left"/>
            </w:pPr>
            <w:r>
              <w:rPr>
                <w:rFonts w:ascii="Arial" w:eastAsia="SimHei"/>
                <w:b/>
                <w:bCs/>
                <w:color w:val="1A1A1A"/>
                <w:sz w:val="21"/>
                <w:szCs w:val="21"/>
              </w:rPr>
              <w:t xml:space="preserve">Primary Process Areas Active</w:t>
            </w:r>
          </w:p>
        </w:tc>
        <w:tc>
          <w:tcPr>
            <w:tcW w:type="pct" w:w="40%"/>
            <w:shd w:fill="C9A84C" w:val="clear"/>
            <w:tcMar>
              <w:top w:type="dxa" w:w="80"/>
              <w:left w:type="dxa" w:w="120"/>
              <w:bottom w:type="dxa" w:w="80"/>
              <w:right w:type="dxa" w:w="120"/>
            </w:tcMar>
          </w:tcPr>
          <w:p>
            <w:pPr>
              <w:spacing w:line="276"/>
              <w:jc w:val="left"/>
            </w:pPr>
            <w:r>
              <w:rPr>
                <w:rFonts w:ascii="Arial" w:eastAsia="SimHei"/>
                <w:b/>
                <w:bCs/>
                <w:color w:val="1A1A1A"/>
                <w:sz w:val="21"/>
                <w:szCs w:val="21"/>
              </w:rPr>
              <w:t xml:space="preserve">Key Artifacts Produced</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Planning</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Requirements Engineering; Unit Economics; Go-to-Market Planning</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Requirements spec; RTM; unit economics model; GTM plan</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Design</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Threat Modeling; Performance Engineering; Architecture Decision Records</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Threat model; performance budgets; ADRs; design system</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Development</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Testing Strategy (unit + integration); Secure SDLC</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Test suite; SAST; code review records</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Testing</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Testing Strategy (E2E + contract + security + a11y); Compliance Evidence</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Test report; penetration test; accessibility audit; evidence</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Deployment</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DevOps and IaC; Compliance Operationalization</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IaC code; CI/CD pipeline; evidence pipeline; deploy runbook</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Operations</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SRE and Incident Response; Performance Monitoring</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Runbooks; on-call schedule; postmortems; dashboards</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Maintenance</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All areas (continuous); Unit Economics review</w:t>
            </w:r>
          </w:p>
        </w:tc>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Updated artifacts; monthly unit economics report</w:t>
            </w:r>
          </w:p>
        </w:tc>
      </w:tr>
    </w:tbl>
    <w:p>
      <w:pPr>
        <w:spacing w:after="200" w:before="80" w:line="312"/>
        <w:jc w:val="center"/>
      </w:pPr>
      <w:r>
        <w:rPr>
          <w:rFonts w:ascii="Times New Roman" w:eastAsia="SimSun"/>
          <w:i/>
          <w:iCs/>
          <w:color w:val="606060"/>
          <w:sz w:val="20"/>
          <w:szCs w:val="20"/>
        </w:rPr>
        <w:t xml:space="preserve">Table 4: The ten process areas mapped to the SDLC phases. Each phase has primary process areas that are active and key artifacts that are produced. The mapping is the reference that the builder uses to plan the build and to ensure no area is neglected.</w:t>
      </w:r>
    </w:p>
    <w:p>
      <w:pPr>
        <w:spacing w:after="120" w:line="312"/>
        <w:ind w:firstLine="360"/>
        <w:jc w:val="both"/>
      </w:pPr>
      <w:r>
        <w:rPr>
          <w:rFonts w:ascii="Times New Roman" w:eastAsia="SimSun"/>
          <w:color w:val="000000"/>
          <w:sz w:val="24"/>
          <w:szCs w:val="24"/>
        </w:rPr>
        <w:t xml:space="preserve">The mapping shows that the ten areas are not sequential but concurrent, with several areas active in each phase and with the artifacts of one phase becoming the inputs of the next. The planning phase produces the requirements and the unit economics model that the design phase uses; the design phase produces the threat model and the performance budgets that the development phase implements; the development phase produces the test suite and the code that the testing phase verifies; the testing phase produces the test reports and the evidence that the deployment phase uses; the deployment phase produces the infrastructure and the pipeline that the operations phase runs; and the operations phase produces the postmortems and the dashboards that the maintenance phase uses to improve the system. The cycle is continuous, and the discipline of maintaining the artifacts and the practices across the cycle is the discipline that produces a real-world system.</w:t>
      </w:r>
    </w:p>
    <w:p>
      <w:pPr>
        <w:pStyle w:val="Heading1"/>
        <w:spacing w:after="160" w:before="360" w:line="312"/>
      </w:pPr>
      <w:bookmarkStart w:id="100047" w:name="_Toc100047"/>
      <w:r>
        <w:rPr>
          <w:rFonts w:ascii="Arial" w:eastAsia="SimHei"/>
          <w:b/>
          <w:bCs/>
          <w:color w:val="1A1A1A"/>
          <w:sz w:val="32"/>
          <w:szCs w:val="32"/>
        </w:rPr>
        <w:t xml:space="preserve">15. Counterarguments and Limitations</w:t>
      </w:r>
      <w:bookmarkEnd w:id="100047"/>
    </w:p>
    <w:p>
      <w:pPr>
        <w:spacing w:after="120" w:line="312"/>
        <w:ind w:firstLine="360"/>
        <w:jc w:val="both"/>
      </w:pPr>
      <w:r>
        <w:rPr>
          <w:rFonts w:ascii="Times New Roman" w:eastAsia="SimSun"/>
          <w:color w:val="000000"/>
          <w:sz w:val="24"/>
          <w:szCs w:val="24"/>
        </w:rPr>
        <w:t xml:space="preserve">The recommendations in this report are subject to several counterarguments and limitations. The first counterargument is that the ten process areas are excessive for a small build, and that a builder who attempts to apply all ten to a prototype or a minimum viable product will never ship. This argument is valid for the earliest stage of validation, where the goal is to test a hypothesis rather than to build a production system. The report's recommendations are calibrated to the commercial-sale threshold, not to the validation stage, and the builder should apply the areas selectively during validation and fully once the product moves toward commercial sale. The discipline of applying the ten areas is the discipline that distinguishes a commercial system from a prototype, and the cost of the discipline is paid back in the avoided rework, the avoided incidents, and the avoided compliance failures.</w:t>
      </w:r>
    </w:p>
    <w:p>
      <w:pPr>
        <w:spacing w:after="120" w:line="312"/>
        <w:ind w:firstLine="360"/>
        <w:jc w:val="both"/>
      </w:pPr>
      <w:r>
        <w:rPr>
          <w:rFonts w:ascii="Times New Roman" w:eastAsia="SimSun"/>
          <w:color w:val="000000"/>
          <w:sz w:val="24"/>
          <w:szCs w:val="24"/>
        </w:rPr>
        <w:t xml:space="preserve">The second counterargument is that the ten areas require expertise that a small team or a solo builder does not have, and that the builder cannot be a requirements engineer, a test engineer, a DevOps engineer, an SRE, a security engineer, a compliance officer, a performance engineer, an architect, a product manager, and a financial analyst simultaneously. This argument is valid, and the report acknowledges that the ten areas are the disciplines of a full engineering organization, not of a single builder. The AI builder agent, however, is the component that allows a small team or a solo builder to apply the ten areas, because the agent can be directed to execute the artifacts and the gates of each area, with the human builder providing the review and the judgment. The ten areas are the specification of what the agent must produce, and the agent is the means by which a small team can produce it.</w:t>
      </w:r>
    </w:p>
    <w:p>
      <w:pPr>
        <w:spacing w:after="120" w:line="312"/>
        <w:ind w:firstLine="360"/>
        <w:jc w:val="both"/>
      </w:pPr>
      <w:r>
        <w:rPr>
          <w:rFonts w:ascii="Times New Roman" w:eastAsia="SimSun"/>
          <w:color w:val="000000"/>
          <w:sz w:val="24"/>
          <w:szCs w:val="24"/>
        </w:rPr>
        <w:t xml:space="preserve">The third counterargument is that the ten areas are documented elsewhere, in the SRE book, in the testing literature, in the security frameworks, and in the product management literature, and that this document is redundant. This argument would be valid if the existing documentation were integrated and directed at the AI builder, but it is not. The existing documentation is scattered across the disciplines, written for human specialists, and not integrated with the prompt architecture or the stack selection that the AI builder requires. This document integrates the ten areas into a single playbook, directed at the AI builder, and connected to the three existing documents. The integration is the value, and the integration is what makes the playbook complete. A limitation is that this document is necessarily a summary of each area, and the builder who needs the depth should consult the specialist literature, with the references providing the starting points.</w:t>
      </w:r>
    </w:p>
    <w:p>
      <w:pPr>
        <w:pStyle w:val="Heading1"/>
        <w:spacing w:after="160" w:before="360" w:line="312"/>
      </w:pPr>
      <w:bookmarkStart w:id="100048" w:name="_Toc100048"/>
      <w:r>
        <w:rPr>
          <w:rFonts w:ascii="Arial" w:eastAsia="SimHei"/>
          <w:b/>
          <w:bCs/>
          <w:color w:val="1A1A1A"/>
          <w:sz w:val="32"/>
          <w:szCs w:val="32"/>
        </w:rPr>
        <w:t xml:space="preserve">16. Conclusion and Strategic Implications</w:t>
      </w:r>
      <w:bookmarkEnd w:id="100048"/>
    </w:p>
    <w:p>
      <w:pPr>
        <w:spacing w:after="120" w:line="312"/>
        <w:ind w:firstLine="360"/>
        <w:jc w:val="both"/>
      </w:pPr>
      <w:r>
        <w:rPr>
          <w:rFonts w:ascii="Times New Roman" w:eastAsia="SimSun"/>
          <w:color w:val="000000"/>
          <w:sz w:val="24"/>
          <w:szCs w:val="24"/>
        </w:rPr>
        <w:t xml:space="preserve">The question that opened this report was what other processes, foundations, planning, and decisions are needed beyond the three existing documents to meet real-world standards when building systems through AI builder agents. The gap analysis identified ten missing process areas: requirements engineering, testing strategy, DevOps and infrastructure as code, site reliability engineering, threat modeling, compliance operationalization, performance engineering, architecture decision records, go-to-market and launch, and unit economics. Each area is a discipline that governs a specific aspect of the system's quality, operability, security, compliance, performance, documentation, launch, or finances, and each is a discipline that the three existing documents do not cover in depth. This document has specified each area with the artifacts, the gates, and the prompts that the AI builder needs to execute it.</w:t>
      </w:r>
    </w:p>
    <w:p>
      <w:pPr>
        <w:spacing w:after="120" w:line="312"/>
        <w:ind w:firstLine="360"/>
        <w:jc w:val="both"/>
      </w:pPr>
      <w:r>
        <w:rPr>
          <w:rFonts w:ascii="Times New Roman" w:eastAsia="SimSun"/>
          <w:color w:val="000000"/>
          <w:sz w:val="24"/>
          <w:szCs w:val="24"/>
        </w:rPr>
        <w:t xml:space="preserve">The strategic implication is that the four documents, the foundation, the prompt guide, the stack guide, and this operational excellence guide, together constitute the complete playbook for building a real-world system through an AI builder agent. The foundation provides the architecture and the data models; the prompt guide provides the prompt architecture; the stack guide provides the technology selection and the integration contract; and this guide provides the quality, operability, security, compliance, performance, documentation, launch, and financial disciplines. A builder who loads the relevant sections of all four documents as context, and who directs the agent with the prompt architecture, will produce a system that meets the real-world standard across all the dimensions, not just the architectural and the integration dimensions.</w:t>
      </w:r>
    </w:p>
    <w:p>
      <w:pPr>
        <w:spacing w:after="120" w:line="312"/>
        <w:ind w:firstLine="360"/>
        <w:jc w:val="both"/>
      </w:pPr>
      <w:r>
        <w:rPr>
          <w:rFonts w:ascii="Times New Roman" w:eastAsia="SimSun"/>
          <w:color w:val="000000"/>
          <w:sz w:val="24"/>
          <w:szCs w:val="24"/>
        </w:rPr>
        <w:t xml:space="preserve">The closing recommendation is therefore the following. A builder who intends to direct an AI builder agent to construct a production-grade system should load all four documents as the complete context, should follow the prompt architecture from the prompt guide, should select the technologies per the stack guide, and should execute the ten process areas specified in this guide. The builder should treat the ten areas not as optional additions but as the disciplines that distinguish a real-world system from a prototype, and should apply them fully once the product moves toward commercial sale. The discipline of the four documents is the discipline that produces a system that meets the real-world standard, that does not exhibit the integration conflicts, that does not fail the security audits, that does not lose the customers through the performance or the reliability failures, and that generates the revenue that justifies the build. The four documents are the complete playbook, and this document is the fourth that completes it.</w:t>
      </w:r>
    </w:p>
    <w:p>
      <w:pPr>
        <w:pStyle w:val="Heading1"/>
        <w:spacing w:after="160" w:before="360" w:line="312"/>
      </w:pPr>
      <w:bookmarkStart w:id="100049" w:name="_Toc100049"/>
      <w:r>
        <w:rPr>
          <w:rFonts w:ascii="Arial" w:eastAsia="SimHei"/>
          <w:b/>
          <w:bCs/>
          <w:color w:val="1A1A1A"/>
          <w:sz w:val="32"/>
          <w:szCs w:val="32"/>
        </w:rPr>
        <w:t xml:space="preserve">17. References</w:t>
      </w:r>
      <w:bookmarkEnd w:id="100049"/>
    </w:p>
    <w:p>
      <w:pPr>
        <w:spacing w:after="120" w:line="312"/>
        <w:ind w:firstLine="360"/>
        <w:jc w:val="both"/>
      </w:pPr>
      <w:r>
        <w:rPr>
          <w:rFonts w:ascii="Times New Roman" w:eastAsia="SimSun"/>
          <w:color w:val="000000"/>
          <w:sz w:val="24"/>
          <w:szCs w:val="24"/>
        </w:rPr>
        <w:t xml:space="preserve">The following sources informed the analysis presented in this report. Sources are listed in the order of first citation. All URLs were accessible at the time of writing; readers verifying specific claims should consult the cited source directly.</w:t>
      </w:r>
    </w:p>
    <w:p>
      <w:pPr>
        <w:spacing w:after="100" w:line="312"/>
        <w:ind w:left="480" w:hanging="480"/>
      </w:pPr>
      <w:r>
        <w:rPr>
          <w:rFonts w:ascii="Times New Roman" w:eastAsia="SimSun"/>
          <w:b/>
          <w:bCs/>
          <w:color w:val="000000"/>
          <w:sz w:val="22"/>
          <w:szCs w:val="22"/>
        </w:rPr>
        <w:t xml:space="preserve">[1] </w:t>
      </w:r>
      <w:r>
        <w:rPr>
          <w:rFonts w:ascii="Times New Roman" w:eastAsia="SimSun"/>
          <w:color w:val="000000"/>
          <w:sz w:val="22"/>
          <w:szCs w:val="22"/>
        </w:rPr>
        <w:t xml:space="preserve">SodiusWillert. Requirements Traceability: A Practical Implementation Guide. </w:t>
      </w:r>
      <w:hyperlink w:history="1" r:id="rIdw1gmcwstjkin7vmgzncyt">
        <w:r>
          <w:rPr>
            <w:rFonts w:ascii="Times New Roman" w:eastAsia="SimSun"/>
            <w:color w:val="A0842F"/>
            <w:sz w:val="20"/>
            <w:szCs w:val="20"/>
            <w:u w:val="single"/>
          </w:rPr>
          <w:t xml:space="preserve">https://www.sodiuswillert.com/en/blog/implementing-requirements-traceability-in-systems-software-engineering</w:t>
        </w:r>
      </w:hyperlink>
    </w:p>
    <w:p>
      <w:pPr>
        <w:spacing w:after="100" w:line="312"/>
        <w:ind w:left="480" w:hanging="480"/>
      </w:pPr>
      <w:r>
        <w:rPr>
          <w:rFonts w:ascii="Times New Roman" w:eastAsia="SimSun"/>
          <w:b/>
          <w:bCs/>
          <w:color w:val="000000"/>
          <w:sz w:val="22"/>
          <w:szCs w:val="22"/>
        </w:rPr>
        <w:t xml:space="preserve">[2] </w:t>
      </w:r>
      <w:r>
        <w:rPr>
          <w:rFonts w:ascii="Times New Roman" w:eastAsia="SimSun"/>
          <w:color w:val="000000"/>
          <w:sz w:val="22"/>
          <w:szCs w:val="22"/>
        </w:rPr>
        <w:t xml:space="preserve">Aqua Cloud. Requirements Analysis: Importance, Steps &amp; Best Tools (2026). </w:t>
      </w:r>
      <w:hyperlink w:history="1" r:id="rIdmwh0suuda2hddhur9j_av">
        <w:r>
          <w:rPr>
            <w:rFonts w:ascii="Times New Roman" w:eastAsia="SimSun"/>
            <w:color w:val="A0842F"/>
            <w:sz w:val="20"/>
            <w:szCs w:val="20"/>
            <w:u w:val="single"/>
          </w:rPr>
          <w:t xml:space="preserve">https://aqua-cloud.io/requirements-analysis-software-development-ultimate-guide</w:t>
        </w:r>
      </w:hyperlink>
    </w:p>
    <w:p>
      <w:pPr>
        <w:spacing w:after="100" w:line="312"/>
        <w:ind w:left="480" w:hanging="480"/>
      </w:pPr>
      <w:r>
        <w:rPr>
          <w:rFonts w:ascii="Times New Roman" w:eastAsia="SimSun"/>
          <w:b/>
          <w:bCs/>
          <w:color w:val="000000"/>
          <w:sz w:val="22"/>
          <w:szCs w:val="22"/>
        </w:rPr>
        <w:t xml:space="preserve">[3] </w:t>
      </w:r>
      <w:r>
        <w:rPr>
          <w:rFonts w:ascii="Times New Roman" w:eastAsia="SimSun"/>
          <w:color w:val="000000"/>
          <w:sz w:val="22"/>
          <w:szCs w:val="22"/>
        </w:rPr>
        <w:t xml:space="preserve">QASKills. BDD Test Management Tools 2026: Cucumber Studio &amp; More. </w:t>
      </w:r>
      <w:hyperlink w:history="1" r:id="rIdgz0uasa22sgagvq0mhzmj">
        <w:r>
          <w:rPr>
            <w:rFonts w:ascii="Times New Roman" w:eastAsia="SimSun"/>
            <w:color w:val="A0842F"/>
            <w:sz w:val="20"/>
            <w:szCs w:val="20"/>
            <w:u w:val="single"/>
          </w:rPr>
          <w:t xml:space="preserve">https://qaskills.sh/blog/bdd-test-management-tools-2026</w:t>
        </w:r>
      </w:hyperlink>
    </w:p>
    <w:p>
      <w:pPr>
        <w:spacing w:after="100" w:line="312"/>
        <w:ind w:left="480" w:hanging="480"/>
      </w:pPr>
      <w:r>
        <w:rPr>
          <w:rFonts w:ascii="Times New Roman" w:eastAsia="SimSun"/>
          <w:b/>
          <w:bCs/>
          <w:color w:val="000000"/>
          <w:sz w:val="22"/>
          <w:szCs w:val="22"/>
        </w:rPr>
        <w:t xml:space="preserve">[4] </w:t>
      </w:r>
      <w:r>
        <w:rPr>
          <w:rFonts w:ascii="Times New Roman" w:eastAsia="SimSun"/>
          <w:color w:val="000000"/>
          <w:sz w:val="22"/>
          <w:szCs w:val="22"/>
        </w:rPr>
        <w:t xml:space="preserve">CircleCI. The Testing Pyramid: Strategic Software Testing for Agile Teams. </w:t>
      </w:r>
      <w:hyperlink w:history="1" r:id="rIdmhsf12fip_zqhlsf9kbb5">
        <w:r>
          <w:rPr>
            <w:rFonts w:ascii="Times New Roman" w:eastAsia="SimSun"/>
            <w:color w:val="A0842F"/>
            <w:sz w:val="20"/>
            <w:szCs w:val="20"/>
            <w:u w:val="single"/>
          </w:rPr>
          <w:t xml:space="preserve">https://circleci.com/blog/testing-pyramid</w:t>
        </w:r>
      </w:hyperlink>
    </w:p>
    <w:p>
      <w:pPr>
        <w:spacing w:after="100" w:line="312"/>
        <w:ind w:left="480" w:hanging="480"/>
      </w:pPr>
      <w:r>
        <w:rPr>
          <w:rFonts w:ascii="Times New Roman" w:eastAsia="SimSun"/>
          <w:b/>
          <w:bCs/>
          <w:color w:val="000000"/>
          <w:sz w:val="22"/>
          <w:szCs w:val="22"/>
        </w:rPr>
        <w:t xml:space="preserve">[5] </w:t>
      </w:r>
      <w:r>
        <w:rPr>
          <w:rFonts w:ascii="Times New Roman" w:eastAsia="SimSun"/>
          <w:color w:val="000000"/>
          <w:sz w:val="22"/>
          <w:szCs w:val="22"/>
        </w:rPr>
        <w:t xml:space="preserve">Momentic. The Software Testing Pyramid: Unit, Integration, and E2E (2026). </w:t>
      </w:r>
      <w:hyperlink w:history="1" r:id="rIdanbr5szzsnsq7gwu9hu9b">
        <w:r>
          <w:rPr>
            <w:rFonts w:ascii="Times New Roman" w:eastAsia="SimSun"/>
            <w:color w:val="A0842F"/>
            <w:sz w:val="20"/>
            <w:szCs w:val="20"/>
            <w:u w:val="single"/>
          </w:rPr>
          <w:t xml:space="preserve">https://momentic.ai/blog/software-testing-pyramid-guide</w:t>
        </w:r>
      </w:hyperlink>
    </w:p>
    <w:p>
      <w:pPr>
        <w:spacing w:after="100" w:line="312"/>
        <w:ind w:left="480" w:hanging="480"/>
      </w:pPr>
      <w:r>
        <w:rPr>
          <w:rFonts w:ascii="Times New Roman" w:eastAsia="SimSun"/>
          <w:b/>
          <w:bCs/>
          <w:color w:val="000000"/>
          <w:sz w:val="22"/>
          <w:szCs w:val="22"/>
        </w:rPr>
        <w:t xml:space="preserve">[6] </w:t>
      </w:r>
      <w:r>
        <w:rPr>
          <w:rFonts w:ascii="Times New Roman" w:eastAsia="SimSun"/>
          <w:color w:val="000000"/>
          <w:sz w:val="22"/>
          <w:szCs w:val="22"/>
        </w:rPr>
        <w:t xml:space="preserve">Project Supply. The Testing Pyramid in 2026: A Modern Balance. </w:t>
      </w:r>
      <w:hyperlink w:history="1" r:id="rIdmq571vordwigy3eauzhc0">
        <w:r>
          <w:rPr>
            <w:rFonts w:ascii="Times New Roman" w:eastAsia="SimSun"/>
            <w:color w:val="A0842F"/>
            <w:sz w:val="20"/>
            <w:szCs w:val="20"/>
            <w:u w:val="single"/>
          </w:rPr>
          <w:t xml:space="preserve">https://projectsupply.in/blog/testing-pyramid-2026-guide</w:t>
        </w:r>
      </w:hyperlink>
    </w:p>
    <w:p>
      <w:pPr>
        <w:spacing w:after="100" w:line="312"/>
        <w:ind w:left="480" w:hanging="480"/>
      </w:pPr>
      <w:r>
        <w:rPr>
          <w:rFonts w:ascii="Times New Roman" w:eastAsia="SimSun"/>
          <w:b/>
          <w:bCs/>
          <w:color w:val="000000"/>
          <w:sz w:val="22"/>
          <w:szCs w:val="22"/>
        </w:rPr>
        <w:t xml:space="preserve">[7] </w:t>
      </w:r>
      <w:r>
        <w:rPr>
          <w:rFonts w:ascii="Times New Roman" w:eastAsia="SimSun"/>
          <w:color w:val="000000"/>
          <w:sz w:val="22"/>
          <w:szCs w:val="22"/>
        </w:rPr>
        <w:t xml:space="preserve">Pulumi. Best Infrastructure as Code (IaC) Tools for 2026. </w:t>
      </w:r>
      <w:hyperlink w:history="1" r:id="rId_br5fuwuxpmydknco4bpt">
        <w:r>
          <w:rPr>
            <w:rFonts w:ascii="Times New Roman" w:eastAsia="SimSun"/>
            <w:color w:val="A0842F"/>
            <w:sz w:val="20"/>
            <w:szCs w:val="20"/>
            <w:u w:val="single"/>
          </w:rPr>
          <w:t xml:space="preserve">https://www.pulumi.com/blog/infrastructure-as-code-tools</w:t>
        </w:r>
      </w:hyperlink>
    </w:p>
    <w:p>
      <w:pPr>
        <w:spacing w:after="100" w:line="312"/>
        <w:ind w:left="480" w:hanging="480"/>
      </w:pPr>
      <w:r>
        <w:rPr>
          <w:rFonts w:ascii="Times New Roman" w:eastAsia="SimSun"/>
          <w:b/>
          <w:bCs/>
          <w:color w:val="000000"/>
          <w:sz w:val="22"/>
          <w:szCs w:val="22"/>
        </w:rPr>
        <w:t xml:space="preserve">[8] </w:t>
      </w:r>
      <w:r>
        <w:rPr>
          <w:rFonts w:ascii="Times New Roman" w:eastAsia="SimSun"/>
          <w:color w:val="000000"/>
          <w:sz w:val="22"/>
          <w:szCs w:val="22"/>
        </w:rPr>
        <w:t xml:space="preserve">Spacelift. 16 Most Useful Infrastructure as Code (IaC) Tools for 2026. </w:t>
      </w:r>
      <w:hyperlink w:history="1" r:id="rId_8pnglrsdanclwepqblxs">
        <w:r>
          <w:rPr>
            <w:rFonts w:ascii="Times New Roman" w:eastAsia="SimSun"/>
            <w:color w:val="A0842F"/>
            <w:sz w:val="20"/>
            <w:szCs w:val="20"/>
            <w:u w:val="single"/>
          </w:rPr>
          <w:t xml:space="preserve">https://spacelift.io/blog/infrastructure-as-code-tools</w:t>
        </w:r>
      </w:hyperlink>
    </w:p>
    <w:p>
      <w:pPr>
        <w:spacing w:after="100" w:line="312"/>
        <w:ind w:left="480" w:hanging="480"/>
      </w:pPr>
      <w:r>
        <w:rPr>
          <w:rFonts w:ascii="Times New Roman" w:eastAsia="SimSun"/>
          <w:b/>
          <w:bCs/>
          <w:color w:val="000000"/>
          <w:sz w:val="22"/>
          <w:szCs w:val="22"/>
        </w:rPr>
        <w:t xml:space="preserve">[9] </w:t>
      </w:r>
      <w:r>
        <w:rPr>
          <w:rFonts w:ascii="Times New Roman" w:eastAsia="SimSun"/>
          <w:color w:val="000000"/>
          <w:sz w:val="22"/>
          <w:szCs w:val="22"/>
        </w:rPr>
        <w:t xml:space="preserve">Alpacked. Infrastructure as Code in 2026: Choosing the Right Tool. </w:t>
      </w:r>
      <w:hyperlink w:history="1" r:id="rIduxfb4s81mtvopswjs0pso">
        <w:r>
          <w:rPr>
            <w:rFonts w:ascii="Times New Roman" w:eastAsia="SimSun"/>
            <w:color w:val="A0842F"/>
            <w:sz w:val="20"/>
            <w:szCs w:val="20"/>
            <w:u w:val="single"/>
          </w:rPr>
          <w:t xml:space="preserve">https://alpacked.io/blog/infrastructure-as-code-tools-2026</w:t>
        </w:r>
      </w:hyperlink>
    </w:p>
    <w:p>
      <w:pPr>
        <w:spacing w:after="100" w:line="312"/>
        <w:ind w:left="480" w:hanging="480"/>
      </w:pPr>
      <w:r>
        <w:rPr>
          <w:rFonts w:ascii="Times New Roman" w:eastAsia="SimSun"/>
          <w:b/>
          <w:bCs/>
          <w:color w:val="000000"/>
          <w:sz w:val="22"/>
          <w:szCs w:val="22"/>
        </w:rPr>
        <w:t xml:space="preserve">[10] </w:t>
      </w:r>
      <w:r>
        <w:rPr>
          <w:rFonts w:ascii="Times New Roman" w:eastAsia="SimSun"/>
          <w:color w:val="000000"/>
          <w:sz w:val="22"/>
          <w:szCs w:val="22"/>
        </w:rPr>
        <w:t xml:space="preserve">Incident.io. Incident Management Best Practices: Complete Guide 2026. </w:t>
      </w:r>
      <w:hyperlink w:history="1" r:id="rIdxzmbqg3i5gkpmitrtkj-m">
        <w:r>
          <w:rPr>
            <w:rFonts w:ascii="Times New Roman" w:eastAsia="SimSun"/>
            <w:color w:val="A0842F"/>
            <w:sz w:val="20"/>
            <w:szCs w:val="20"/>
            <w:u w:val="single"/>
          </w:rPr>
          <w:t xml:space="preserve">https://incident.io/blog/incident-management-best-practices-2026</w:t>
        </w:r>
      </w:hyperlink>
    </w:p>
    <w:p>
      <w:pPr>
        <w:spacing w:after="100" w:line="312"/>
        <w:ind w:left="480" w:hanging="480"/>
      </w:pPr>
      <w:r>
        <w:rPr>
          <w:rFonts w:ascii="Times New Roman" w:eastAsia="SimSun"/>
          <w:b/>
          <w:bCs/>
          <w:color w:val="000000"/>
          <w:sz w:val="22"/>
          <w:szCs w:val="22"/>
        </w:rPr>
        <w:t xml:space="preserve">[11] </w:t>
      </w:r>
      <w:r>
        <w:rPr>
          <w:rFonts w:ascii="Times New Roman" w:eastAsia="SimSun"/>
          <w:color w:val="000000"/>
          <w:sz w:val="22"/>
          <w:szCs w:val="22"/>
        </w:rPr>
        <w:t xml:space="preserve">Google SRE. Blameless Postmortem for System Resilience (SRE Book). </w:t>
      </w:r>
      <w:hyperlink w:history="1" r:id="rIddhujswvm3-mlnrcgeuooc">
        <w:r>
          <w:rPr>
            <w:rFonts w:ascii="Times New Roman" w:eastAsia="SimSun"/>
            <w:color w:val="A0842F"/>
            <w:sz w:val="20"/>
            <w:szCs w:val="20"/>
            <w:u w:val="single"/>
          </w:rPr>
          <w:t xml:space="preserve">https://sre.google/sre-book/postmortem-culture</w:t>
        </w:r>
      </w:hyperlink>
    </w:p>
    <w:p>
      <w:pPr>
        <w:spacing w:after="100" w:line="312"/>
        <w:ind w:left="480" w:hanging="480"/>
      </w:pPr>
      <w:r>
        <w:rPr>
          <w:rFonts w:ascii="Times New Roman" w:eastAsia="SimSun"/>
          <w:b/>
          <w:bCs/>
          <w:color w:val="000000"/>
          <w:sz w:val="22"/>
          <w:szCs w:val="22"/>
        </w:rPr>
        <w:t xml:space="preserve">[12] </w:t>
      </w:r>
      <w:r>
        <w:rPr>
          <w:rFonts w:ascii="Times New Roman" w:eastAsia="SimSun"/>
          <w:color w:val="000000"/>
          <w:sz w:val="22"/>
          <w:szCs w:val="22"/>
        </w:rPr>
        <w:t xml:space="preserve">Rootly. SRE Incident Management Best Practices to Cut Downtime. </w:t>
      </w:r>
      <w:hyperlink w:history="1" r:id="rIda8sajfjpdj_kbcc8jnn3p">
        <w:r>
          <w:rPr>
            <w:rFonts w:ascii="Times New Roman" w:eastAsia="SimSun"/>
            <w:color w:val="A0842F"/>
            <w:sz w:val="20"/>
            <w:szCs w:val="20"/>
            <w:u w:val="single"/>
          </w:rPr>
          <w:t xml:space="preserve">https://rootly.com/sre/sre-incident-management-best-practices-cut-downtime-62da9</w:t>
        </w:r>
      </w:hyperlink>
    </w:p>
    <w:p>
      <w:pPr>
        <w:spacing w:after="100" w:line="312"/>
        <w:ind w:left="480" w:hanging="480"/>
      </w:pPr>
      <w:r>
        <w:rPr>
          <w:rFonts w:ascii="Times New Roman" w:eastAsia="SimSun"/>
          <w:b/>
          <w:bCs/>
          <w:color w:val="000000"/>
          <w:sz w:val="22"/>
          <w:szCs w:val="22"/>
        </w:rPr>
        <w:t xml:space="preserve">[13] </w:t>
      </w:r>
      <w:r>
        <w:rPr>
          <w:rFonts w:ascii="Times New Roman" w:eastAsia="SimSun"/>
          <w:color w:val="000000"/>
          <w:sz w:val="22"/>
          <w:szCs w:val="22"/>
        </w:rPr>
        <w:t xml:space="preserve">Sherlocks. Blameless Postmortems Explained: Lessons From Real Outages. </w:t>
      </w:r>
      <w:hyperlink w:history="1" r:id="rIdyvizebibreczqfcu7vwlg">
        <w:r>
          <w:rPr>
            <w:rFonts w:ascii="Times New Roman" w:eastAsia="SimSun"/>
            <w:color w:val="A0842F"/>
            <w:sz w:val="20"/>
            <w:szCs w:val="20"/>
            <w:u w:val="single"/>
          </w:rPr>
          <w:t xml:space="preserve">https://www.sherlocks.ai/blog/blameless-postmortems-explained-lessons-from-real-outages</w:t>
        </w:r>
      </w:hyperlink>
    </w:p>
    <w:p>
      <w:pPr>
        <w:spacing w:after="100" w:line="312"/>
        <w:ind w:left="480" w:hanging="480"/>
      </w:pPr>
      <w:r>
        <w:rPr>
          <w:rFonts w:ascii="Times New Roman" w:eastAsia="SimSun"/>
          <w:b/>
          <w:bCs/>
          <w:color w:val="000000"/>
          <w:sz w:val="22"/>
          <w:szCs w:val="22"/>
        </w:rPr>
        <w:t xml:space="preserve">[14] </w:t>
      </w:r>
      <w:r>
        <w:rPr>
          <w:rFonts w:ascii="Times New Roman" w:eastAsia="SimSun"/>
          <w:color w:val="000000"/>
          <w:sz w:val="22"/>
          <w:szCs w:val="22"/>
        </w:rPr>
        <w:t xml:space="preserve">Practical DevSecOps. STRIDE Threat Model - Simplified - Real Attack Examples (2026). </w:t>
      </w:r>
      <w:hyperlink w:history="1" r:id="rIdgipsge1t_dkgsvy4kmpcn">
        <w:r>
          <w:rPr>
            <w:rFonts w:ascii="Times New Roman" w:eastAsia="SimSun"/>
            <w:color w:val="A0842F"/>
            <w:sz w:val="20"/>
            <w:szCs w:val="20"/>
            <w:u w:val="single"/>
          </w:rPr>
          <w:t xml:space="preserve">https://www.practical-devsecops.com/what-is-stride-threat-model/</w:t>
        </w:r>
      </w:hyperlink>
    </w:p>
    <w:p>
      <w:pPr>
        <w:spacing w:after="100" w:line="312"/>
        <w:ind w:left="480" w:hanging="480"/>
      </w:pPr>
      <w:r>
        <w:rPr>
          <w:rFonts w:ascii="Times New Roman" w:eastAsia="SimSun"/>
          <w:b/>
          <w:bCs/>
          <w:color w:val="000000"/>
          <w:sz w:val="22"/>
          <w:szCs w:val="22"/>
        </w:rPr>
        <w:t xml:space="preserve">[15] </w:t>
      </w:r>
      <w:r>
        <w:rPr>
          <w:rFonts w:ascii="Times New Roman" w:eastAsia="SimSun"/>
          <w:color w:val="000000"/>
          <w:sz w:val="22"/>
          <w:szCs w:val="22"/>
        </w:rPr>
        <w:t xml:space="preserve">OWASP Foundation. Threat Modeling Process. </w:t>
      </w:r>
      <w:hyperlink w:history="1" r:id="rIdkzdntukbgl852ix5reren">
        <w:r>
          <w:rPr>
            <w:rFonts w:ascii="Times New Roman" w:eastAsia="SimSun"/>
            <w:color w:val="A0842F"/>
            <w:sz w:val="20"/>
            <w:szCs w:val="20"/>
            <w:u w:val="single"/>
          </w:rPr>
          <w:t xml:space="preserve">https://owasp.org/www-community/Threat_Modeling_Process</w:t>
        </w:r>
      </w:hyperlink>
    </w:p>
    <w:p>
      <w:pPr>
        <w:spacing w:after="100" w:line="312"/>
        <w:ind w:left="480" w:hanging="480"/>
      </w:pPr>
      <w:r>
        <w:rPr>
          <w:rFonts w:ascii="Times New Roman" w:eastAsia="SimSun"/>
          <w:b/>
          <w:bCs/>
          <w:color w:val="000000"/>
          <w:sz w:val="22"/>
          <w:szCs w:val="22"/>
        </w:rPr>
        <w:t xml:space="preserve">[16] </w:t>
      </w:r>
      <w:r>
        <w:rPr>
          <w:rFonts w:ascii="Times New Roman" w:eastAsia="SimSun"/>
          <w:color w:val="000000"/>
          <w:sz w:val="22"/>
          <w:szCs w:val="22"/>
        </w:rPr>
        <w:t xml:space="preserve">Software Secured. STRIDE Threat Model: The Complete Framework Guide (2026). </w:t>
      </w:r>
      <w:hyperlink w:history="1" r:id="rIdl0slexweprczlaiczuyxk">
        <w:r>
          <w:rPr>
            <w:rFonts w:ascii="Times New Roman" w:eastAsia="SimSun"/>
            <w:color w:val="A0842F"/>
            <w:sz w:val="20"/>
            <w:szCs w:val="20"/>
            <w:u w:val="single"/>
          </w:rPr>
          <w:t xml:space="preserve">https://www.softwaresecured.com/post/stride-threat-modelling</w:t>
        </w:r>
      </w:hyperlink>
    </w:p>
    <w:p>
      <w:pPr>
        <w:spacing w:after="100" w:line="312"/>
        <w:ind w:left="480" w:hanging="480"/>
      </w:pPr>
      <w:r>
        <w:rPr>
          <w:rFonts w:ascii="Times New Roman" w:eastAsia="SimSun"/>
          <w:b/>
          <w:bCs/>
          <w:color w:val="000000"/>
          <w:sz w:val="22"/>
          <w:szCs w:val="22"/>
        </w:rPr>
        <w:t xml:space="preserve">[17] </w:t>
      </w:r>
      <w:r>
        <w:rPr>
          <w:rFonts w:ascii="Times New Roman" w:eastAsia="SimSun"/>
          <w:color w:val="000000"/>
          <w:sz w:val="22"/>
          <w:szCs w:val="22"/>
        </w:rPr>
        <w:t xml:space="preserve">Microsoft Learn. Uncover Security Design Flaws Using The STRIDE Approach. </w:t>
      </w:r>
      <w:hyperlink w:history="1" r:id="rId69fhowo4_ipem6zgy89i3">
        <w:r>
          <w:rPr>
            <w:rFonts w:ascii="Times New Roman" w:eastAsia="SimSun"/>
            <w:color w:val="A0842F"/>
            <w:sz w:val="20"/>
            <w:szCs w:val="20"/>
            <w:u w:val="single"/>
          </w:rPr>
          <w:t xml:space="preserve">https://learn.microsoft.com/en-us/archive/msdn-magazine/2006/november/uncover-security-design-flaws-using-the-stride-approach</w:t>
        </w:r>
      </w:hyperlink>
    </w:p>
    <w:p>
      <w:pPr>
        <w:spacing w:after="100" w:line="312"/>
        <w:ind w:left="480" w:hanging="480"/>
      </w:pPr>
      <w:r>
        <w:rPr>
          <w:rFonts w:ascii="Times New Roman" w:eastAsia="SimSun"/>
          <w:b/>
          <w:bCs/>
          <w:color w:val="000000"/>
          <w:sz w:val="22"/>
          <w:szCs w:val="22"/>
        </w:rPr>
        <w:t xml:space="preserve">[18] </w:t>
      </w:r>
      <w:r>
        <w:rPr>
          <w:rFonts w:ascii="Times New Roman" w:eastAsia="SimSun"/>
          <w:color w:val="000000"/>
          <w:sz w:val="22"/>
          <w:szCs w:val="22"/>
        </w:rPr>
        <w:t xml:space="preserve">Scytale. Maintaining SOC 2 Compliance in 2026. </w:t>
      </w:r>
      <w:hyperlink w:history="1" r:id="rIdiektuixdrncqx36pzspm5">
        <w:r>
          <w:rPr>
            <w:rFonts w:ascii="Times New Roman" w:eastAsia="SimSun"/>
            <w:color w:val="A0842F"/>
            <w:sz w:val="20"/>
            <w:szCs w:val="20"/>
            <w:u w:val="single"/>
          </w:rPr>
          <w:t xml:space="preserve">https://scytale.ai/resources/maintaining-soc-2-compliance</w:t>
        </w:r>
      </w:hyperlink>
    </w:p>
    <w:p>
      <w:pPr>
        <w:spacing w:after="100" w:line="312"/>
        <w:ind w:left="480" w:hanging="480"/>
      </w:pPr>
      <w:r>
        <w:rPr>
          <w:rFonts w:ascii="Times New Roman" w:eastAsia="SimSun"/>
          <w:b/>
          <w:bCs/>
          <w:color w:val="000000"/>
          <w:sz w:val="22"/>
          <w:szCs w:val="22"/>
        </w:rPr>
        <w:t xml:space="preserve">[19] </w:t>
      </w:r>
      <w:r>
        <w:rPr>
          <w:rFonts w:ascii="Times New Roman" w:eastAsia="SimSun"/>
          <w:color w:val="000000"/>
          <w:sz w:val="22"/>
          <w:szCs w:val="22"/>
        </w:rPr>
        <w:t xml:space="preserve">Konfirmity. What Changed in SOC 2 for 2026? New Criteria &amp; Audit. </w:t>
      </w:r>
      <w:hyperlink w:history="1" r:id="rIdguinrtiqexsjplo0bi8d-">
        <w:r>
          <w:rPr>
            <w:rFonts w:ascii="Times New Roman" w:eastAsia="SimSun"/>
            <w:color w:val="A0842F"/>
            <w:sz w:val="20"/>
            <w:szCs w:val="20"/>
            <w:u w:val="single"/>
          </w:rPr>
          <w:t xml:space="preserve">https://www.konfirmity.com/blog/soc-2-what-changed-in-2026</w:t>
        </w:r>
      </w:hyperlink>
    </w:p>
    <w:p>
      <w:pPr>
        <w:spacing w:after="100" w:line="312"/>
        <w:ind w:left="480" w:hanging="480"/>
      </w:pPr>
      <w:r>
        <w:rPr>
          <w:rFonts w:ascii="Times New Roman" w:eastAsia="SimSun"/>
          <w:b/>
          <w:bCs/>
          <w:color w:val="000000"/>
          <w:sz w:val="22"/>
          <w:szCs w:val="22"/>
        </w:rPr>
        <w:t xml:space="preserve">[20] </w:t>
      </w:r>
      <w:r>
        <w:rPr>
          <w:rFonts w:ascii="Times New Roman" w:eastAsia="SimSun"/>
          <w:color w:val="000000"/>
          <w:sz w:val="22"/>
          <w:szCs w:val="22"/>
        </w:rPr>
        <w:t xml:space="preserve">Ztek Cyber. SOC 2 Compliance in 2026: What's Changed. </w:t>
      </w:r>
      <w:hyperlink w:history="1" r:id="rIdpfevpwiqzs6wrxurlxgml">
        <w:r>
          <w:rPr>
            <w:rFonts w:ascii="Times New Roman" w:eastAsia="SimSun"/>
            <w:color w:val="A0842F"/>
            <w:sz w:val="20"/>
            <w:szCs w:val="20"/>
            <w:u w:val="single"/>
          </w:rPr>
          <w:t xml:space="preserve">https://www.ztekcyber.com/resources/soc-2-compliance-2026-guide</w:t>
        </w:r>
      </w:hyperlink>
    </w:p>
    <w:p>
      <w:pPr>
        <w:spacing w:after="100" w:line="312"/>
        <w:ind w:left="480" w:hanging="480"/>
      </w:pPr>
      <w:r>
        <w:rPr>
          <w:rFonts w:ascii="Times New Roman" w:eastAsia="SimSun"/>
          <w:b/>
          <w:bCs/>
          <w:color w:val="000000"/>
          <w:sz w:val="22"/>
          <w:szCs w:val="22"/>
        </w:rPr>
        <w:t xml:space="preserve">[21] </w:t>
      </w:r>
      <w:r>
        <w:rPr>
          <w:rFonts w:ascii="Times New Roman" w:eastAsia="SimSun"/>
          <w:color w:val="000000"/>
          <w:sz w:val="22"/>
          <w:szCs w:val="22"/>
        </w:rPr>
        <w:t xml:space="preserve">FinOps Foundation. Capability: Unit Economics. </w:t>
      </w:r>
      <w:hyperlink w:history="1" r:id="rIdqcid5gwttb9c1lwapnry7">
        <w:r>
          <w:rPr>
            <w:rFonts w:ascii="Times New Roman" w:eastAsia="SimSun"/>
            <w:color w:val="A0842F"/>
            <w:sz w:val="20"/>
            <w:szCs w:val="20"/>
            <w:u w:val="single"/>
          </w:rPr>
          <w:t xml:space="preserve">https://www.finops.org/framework/capabilities/unit-economics</w:t>
        </w:r>
      </w:hyperlink>
    </w:p>
    <w:p>
      <w:pPr>
        <w:spacing w:after="100" w:line="312"/>
        <w:ind w:left="480" w:hanging="480"/>
      </w:pPr>
      <w:r>
        <w:rPr>
          <w:rFonts w:ascii="Times New Roman" w:eastAsia="SimSun"/>
          <w:b/>
          <w:bCs/>
          <w:color w:val="000000"/>
          <w:sz w:val="22"/>
          <w:szCs w:val="22"/>
        </w:rPr>
        <w:t xml:space="preserve">[22] </w:t>
      </w:r>
      <w:r>
        <w:rPr>
          <w:rFonts w:ascii="Times New Roman" w:eastAsia="SimSun"/>
          <w:color w:val="000000"/>
          <w:sz w:val="22"/>
          <w:szCs w:val="22"/>
        </w:rPr>
        <w:t xml:space="preserve">G2 Squared CFO. SaaS Unit Economics: The Metrics Investors and Operators Need. </w:t>
      </w:r>
      <w:hyperlink w:history="1" r:id="rIdajheqo5lwxxbxzu1l3vbd">
        <w:r>
          <w:rPr>
            <w:rFonts w:ascii="Times New Roman" w:eastAsia="SimSun"/>
            <w:color w:val="A0842F"/>
            <w:sz w:val="20"/>
            <w:szCs w:val="20"/>
            <w:u w:val="single"/>
          </w:rPr>
          <w:t xml:space="preserve">https://www.gsquaredcfo.com/blog/saas-unit-economics</w:t>
        </w:r>
      </w:hyperlink>
    </w:p>
    <w:p>
      <w:pPr>
        <w:spacing w:after="100" w:line="312"/>
        <w:ind w:left="480" w:hanging="480"/>
      </w:pPr>
      <w:r>
        <w:rPr>
          <w:rFonts w:ascii="Times New Roman" w:eastAsia="SimSun"/>
          <w:b/>
          <w:bCs/>
          <w:color w:val="000000"/>
          <w:sz w:val="22"/>
          <w:szCs w:val="22"/>
        </w:rPr>
        <w:t xml:space="preserve">[23] </w:t>
      </w:r>
      <w:r>
        <w:rPr>
          <w:rFonts w:ascii="Times New Roman" w:eastAsia="SimSun"/>
          <w:color w:val="000000"/>
          <w:sz w:val="22"/>
          <w:szCs w:val="22"/>
        </w:rPr>
        <w:t xml:space="preserve">SaaS Capital. What Should be Included in COGS for My SaaS Business. </w:t>
      </w:r>
      <w:hyperlink w:history="1" r:id="rIduxgumyrx1ngg8bgqpasea">
        <w:r>
          <w:rPr>
            <w:rFonts w:ascii="Times New Roman" w:eastAsia="SimSun"/>
            <w:color w:val="A0842F"/>
            <w:sz w:val="20"/>
            <w:szCs w:val="20"/>
            <w:u w:val="single"/>
          </w:rPr>
          <w:t xml:space="preserve">https://www.saas-capital.com/blog-posts/what-should-be-included-in-cogs-for-my-saas-business</w:t>
        </w:r>
      </w:hyperlink>
    </w:p>
    <w:p>
      <w:pPr>
        <w:spacing w:after="100" w:line="312"/>
        <w:ind w:left="480" w:hanging="480"/>
      </w:pPr>
      <w:r>
        <w:rPr>
          <w:rFonts w:ascii="Times New Roman" w:eastAsia="SimSun"/>
          <w:b/>
          <w:bCs/>
          <w:color w:val="000000"/>
          <w:sz w:val="22"/>
          <w:szCs w:val="22"/>
        </w:rPr>
        <w:t xml:space="preserve">[24] </w:t>
      </w:r>
      <w:r>
        <w:rPr>
          <w:rFonts w:ascii="Times New Roman" w:eastAsia="SimSun"/>
          <w:color w:val="000000"/>
          <w:sz w:val="22"/>
          <w:szCs w:val="22"/>
        </w:rPr>
        <w:t xml:space="preserve">AWS Prescriptive Guidance. Architectural Decision Record (ADR) Process. </w:t>
      </w:r>
      <w:hyperlink w:history="1" r:id="rIdypjmp-mckigxp4p6trjtk">
        <w:r>
          <w:rPr>
            <w:rFonts w:ascii="Times New Roman" w:eastAsia="SimSun"/>
            <w:color w:val="A0842F"/>
            <w:sz w:val="20"/>
            <w:szCs w:val="20"/>
            <w:u w:val="single"/>
          </w:rPr>
          <w:t xml:space="preserve">https://docs.aws.amazon.com/prescriptive-guidance/latest/architectural-decision-records/adr-process.html</w:t>
        </w:r>
      </w:hyperlink>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System Analysis, Quality Engineering &amp; Operational Excellence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System Analysis, Quality Engineering &amp; Operational Excellence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eastAsia="SimHei"/>
      <w:b/>
      <w:bCs/>
      <w:color w:val="1A1A1A"/>
      <w:sz w:val="32"/>
      <w:szCs w:val="32"/>
    </w:rPr>
  </w:style>
  <w:style w:type="paragraph" w:styleId="Heading2">
    <w:name w:val="Heading 2"/>
    <w:basedOn w:val="Normal"/>
    <w:next w:val="Normal"/>
    <w:qFormat/>
    <w:pPr>
      <w:spacing w:after="120" w:before="280" w:line="312"/>
      <w:outlineLvl w:val="1"/>
    </w:pPr>
    <w:rPr>
      <w:rFonts w:ascii="Arial" w:eastAsia="SimHei"/>
      <w:b/>
      <w:bCs/>
      <w:color w:val="1A1A1A"/>
      <w:sz w:val="28"/>
      <w:szCs w:val="28"/>
    </w:rPr>
  </w:style>
  <w:style w:type="paragraph" w:styleId="Heading3">
    <w:name w:val="Heading 3"/>
    <w:basedOn w:val="Normal"/>
    <w:next w:val="Normal"/>
    <w:qFormat/>
    <w:pPr>
      <w:spacing w:after="100" w:before="220" w:line="312"/>
      <w:outlineLvl w:val="2"/>
    </w:pPr>
    <w:rPr>
      <w:rFonts w:ascii="Arial" w:eastAsia="SimHei"/>
      <w:b/>
      <w:bCs/>
      <w:color w:val="1A1A1A"/>
      <w:sz w:val="24"/>
      <w:szCs w:val="24"/>
    </w:rPr>
  </w:style>
  <w:style w:type="paragraph" w:styleId="Heading4">
    <w:name w:val="Heading 4"/>
    <w:basedOn w:val="Normal"/>
    <w:next w:val="Normal"/>
    <w:qFormat/>
    <w:pPr>
      <w:spacing w:after="80" w:before="180" w:line="312"/>
      <w:outlineLvl w:val="3"/>
    </w:pPr>
    <w:rPr>
      <w:rFonts w:ascii="Arial" w:eastAsia="SimHei"/>
      <w:b/>
      <w:bCs/>
      <w:color w:val="A0842F"/>
      <w:sz w:val="22"/>
      <w:szCs w:val="22"/>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w1gmcwstjkin7vmgzncyt" Type="http://schemas.openxmlformats.org/officeDocument/2006/relationships/hyperlink" Target="https://www.sodiuswillert.com/en/blog/implementing-requirements-traceability-in-systems-software-engineering" TargetMode="External"/><Relationship Id="rIdmwh0suuda2hddhur9j_av" Type="http://schemas.openxmlformats.org/officeDocument/2006/relationships/hyperlink" Target="https://aqua-cloud.io/requirements-analysis-software-development-ultimate-guide" TargetMode="External"/><Relationship Id="rIdgz0uasa22sgagvq0mhzmj" Type="http://schemas.openxmlformats.org/officeDocument/2006/relationships/hyperlink" Target="https://qaskills.sh/blog/bdd-test-management-tools-2026" TargetMode="External"/><Relationship Id="rIdmhsf12fip_zqhlsf9kbb5" Type="http://schemas.openxmlformats.org/officeDocument/2006/relationships/hyperlink" Target="https://circleci.com/blog/testing-pyramid" TargetMode="External"/><Relationship Id="rIdanbr5szzsnsq7gwu9hu9b" Type="http://schemas.openxmlformats.org/officeDocument/2006/relationships/hyperlink" Target="https://momentic.ai/blog/software-testing-pyramid-guide" TargetMode="External"/><Relationship Id="rIdmq571vordwigy3eauzhc0" Type="http://schemas.openxmlformats.org/officeDocument/2006/relationships/hyperlink" Target="https://projectsupply.in/blog/testing-pyramid-2026-guide" TargetMode="External"/><Relationship Id="rId_br5fuwuxpmydknco4bpt" Type="http://schemas.openxmlformats.org/officeDocument/2006/relationships/hyperlink" Target="https://www.pulumi.com/blog/infrastructure-as-code-tools" TargetMode="External"/><Relationship Id="rId_8pnglrsdanclwepqblxs" Type="http://schemas.openxmlformats.org/officeDocument/2006/relationships/hyperlink" Target="https://spacelift.io/blog/infrastructure-as-code-tools" TargetMode="External"/><Relationship Id="rIduxfb4s81mtvopswjs0pso" Type="http://schemas.openxmlformats.org/officeDocument/2006/relationships/hyperlink" Target="https://alpacked.io/blog/infrastructure-as-code-tools-2026" TargetMode="External"/><Relationship Id="rIdxzmbqg3i5gkpmitrtkj-m" Type="http://schemas.openxmlformats.org/officeDocument/2006/relationships/hyperlink" Target="https://incident.io/blog/incident-management-best-practices-2026" TargetMode="External"/><Relationship Id="rIddhujswvm3-mlnrcgeuooc" Type="http://schemas.openxmlformats.org/officeDocument/2006/relationships/hyperlink" Target="https://sre.google/sre-book/postmortem-culture" TargetMode="External"/><Relationship Id="rIda8sajfjpdj_kbcc8jnn3p" Type="http://schemas.openxmlformats.org/officeDocument/2006/relationships/hyperlink" Target="https://rootly.com/sre/sre-incident-management-best-practices-cut-downtime-62da9" TargetMode="External"/><Relationship Id="rIdyvizebibreczqfcu7vwlg" Type="http://schemas.openxmlformats.org/officeDocument/2006/relationships/hyperlink" Target="https://www.sherlocks.ai/blog/blameless-postmortems-explained-lessons-from-real-outages" TargetMode="External"/><Relationship Id="rIdgipsge1t_dkgsvy4kmpcn" Type="http://schemas.openxmlformats.org/officeDocument/2006/relationships/hyperlink" Target="https://www.practical-devsecops.com/what-is-stride-threat-model/" TargetMode="External"/><Relationship Id="rIdkzdntukbgl852ix5reren" Type="http://schemas.openxmlformats.org/officeDocument/2006/relationships/hyperlink" Target="https://owasp.org/www-community/Threat_Modeling_Process" TargetMode="External"/><Relationship Id="rIdl0slexweprczlaiczuyxk" Type="http://schemas.openxmlformats.org/officeDocument/2006/relationships/hyperlink" Target="https://www.softwaresecured.com/post/stride-threat-modelling" TargetMode="External"/><Relationship Id="rId69fhowo4_ipem6zgy89i3" Type="http://schemas.openxmlformats.org/officeDocument/2006/relationships/hyperlink" Target="https://learn.microsoft.com/en-us/archive/msdn-magazine/2006/november/uncover-security-design-flaws-using-the-stride-approach" TargetMode="External"/><Relationship Id="rIdiektuixdrncqx36pzspm5" Type="http://schemas.openxmlformats.org/officeDocument/2006/relationships/hyperlink" Target="https://scytale.ai/resources/maintaining-soc-2-compliance" TargetMode="External"/><Relationship Id="rIdguinrtiqexsjplo0bi8d-" Type="http://schemas.openxmlformats.org/officeDocument/2006/relationships/hyperlink" Target="https://www.konfirmity.com/blog/soc-2-what-changed-in-2026" TargetMode="External"/><Relationship Id="rIdpfevpwiqzs6wrxurlxgml" Type="http://schemas.openxmlformats.org/officeDocument/2006/relationships/hyperlink" Target="https://www.ztekcyber.com/resources/soc-2-compliance-2026-guide" TargetMode="External"/><Relationship Id="rIdqcid5gwttb9c1lwapnry7" Type="http://schemas.openxmlformats.org/officeDocument/2006/relationships/hyperlink" Target="https://www.finops.org/framework/capabilities/unit-economics" TargetMode="External"/><Relationship Id="rIdajheqo5lwxxbxzu1l3vbd" Type="http://schemas.openxmlformats.org/officeDocument/2006/relationships/hyperlink" Target="https://www.gsquaredcfo.com/blog/saas-unit-economics" TargetMode="External"/><Relationship Id="rIduxgumyrx1ngg8bgqpasea" Type="http://schemas.openxmlformats.org/officeDocument/2006/relationships/hyperlink" Target="https://www.saas-capital.com/blog-posts/what-should-be-included-in-cogs-for-my-saas-business" TargetMode="External"/><Relationship Id="rIdypjmp-mckigxp4p6trjtk" Type="http://schemas.openxmlformats.org/officeDocument/2006/relationships/hyperlink" Target="https://docs.aws.amazon.com/prescriptive-guidance/latest/architectural-decision-records/adr-process.html"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2026-08-27T13:24:01.071Z</dcterms:created>
  <dcterms:modified xsi:type="dcterms:W3CDTF">2026-08-27T13:24:01.071Z</dcterms:modified>
</cp:coreProperties>
</file>

<file path=docProps/custom.xml><?xml version="1.0" encoding="utf-8"?>
<Properties xmlns="http://schemas.openxmlformats.org/officeDocument/2006/custom-properties" xmlns:vt="http://schemas.openxmlformats.org/officeDocument/2006/docPropsVTypes"/>
</file>