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151"/>
            </w:pPr>
          </w:p>
          <w:p>
            <w:pPr>
              <w:pBdr>
                <w:bottom w:val="single" w:color="D4875A" w:sz="6" w:space="8"/>
              </w:pBdr>
              <w:spacing w:after="500"/>
              <w:ind w:left="1200" w:right="800"/>
            </w:pPr>
            <w:r>
              <w:rPr>
                <w:rFonts w:ascii="Calibri" w:eastAsia="SimHei"/>
                <w:color w:val="D4875A"/>
                <w:spacing w:val="40"/>
                <w:sz w:val="18"/>
                <w:szCs w:val="18"/>
              </w:rPr>
              <w:t xml:space="preserve">B  U  S  I  N  E  S  S     P  R  O  F  E  S  S  I  O  N  A  L     R  E  S  E  A  R  C  H</w:t>
            </w:r>
          </w:p>
          <w:p>
            <w:pPr>
              <w:spacing w:after="100" w:line="690" w:lineRule="atLeast"/>
              <w:ind w:left="1200"/>
            </w:pPr>
            <w:r>
              <w:rPr>
                <w:rFonts w:ascii="Arial" w:eastAsia="SimHei"/>
                <w:b/>
                <w:bCs/>
                <w:color w:val="FFFFFF"/>
                <w:sz w:val="60"/>
                <w:szCs w:val="60"/>
              </w:rPr>
              <w:t xml:space="preserve">Technical Stack and Frontend-</w:t>
            </w:r>
          </w:p>
          <w:p>
            <w:pPr>
              <w:spacing w:after="300" w:line="690" w:lineRule="atLeast"/>
              <w:ind w:left="1200"/>
            </w:pPr>
            <w:r>
              <w:rPr>
                <w:rFonts w:ascii="Arial" w:eastAsia="SimHei"/>
                <w:b/>
                <w:bCs/>
                <w:color w:val="FFFFFF"/>
                <w:sz w:val="60"/>
                <w:szCs w:val="60"/>
              </w:rPr>
              <w:t xml:space="preserve">Backend Integration Guide</w:t>
            </w:r>
          </w:p>
          <w:p>
            <w:pPr>
              <w:spacing w:after="800"/>
              <w:ind w:left="1200"/>
            </w:pPr>
            <w:r>
              <w:rPr>
                <w:rFonts w:ascii="Arial" w:eastAsia="Microsoft YaHei"/>
                <w:color w:val="B0B8C0"/>
                <w:sz w:val="22"/>
                <w:szCs w:val="22"/>
              </w:rPr>
              <w:t xml:space="preserve">A Companion to the Production-Ready Full-Stack Systems Foundation: Database, Cache, Queue, Search, Storage, API, and Authentication Decisions with Per-System Recommendations and Problem-Solution-Revenue Mapping</w:t>
            </w:r>
          </w:p>
          <w:p>
            <w:pPr>
              <w:pBdr>
                <w:left w:val="single" w:color="D4875A" w:sz="8" w:space="12"/>
              </w:pBdr>
              <w:spacing w:after="80"/>
              <w:ind w:left="1400"/>
            </w:pPr>
            <w:r>
              <w:rPr>
                <w:rFonts w:ascii="Arial" w:eastAsia="Microsoft YaHei"/>
                <w:color w:val="90989F"/>
                <w:sz w:val="22"/>
                <w:szCs w:val="22"/>
              </w:rPr>
              <w:t xml:space="preserve">Document Type: In-Depth Research Report</w:t>
            </w:r>
          </w:p>
          <w:p>
            <w:pPr>
              <w:pBdr>
                <w:left w:val="single" w:color="D4875A" w:sz="8" w:space="12"/>
              </w:pBdr>
              <w:spacing w:after="80"/>
              <w:ind w:left="1400"/>
            </w:pPr>
            <w:r>
              <w:rPr>
                <w:rFonts w:ascii="Arial" w:eastAsia="Microsoft YaHei"/>
                <w:color w:val="90989F"/>
                <w:sz w:val="22"/>
                <w:szCs w:val="22"/>
              </w:rPr>
              <w:t xml:space="preserve">Style: Business Professional</w:t>
            </w:r>
          </w:p>
          <w:p>
            <w:pPr>
              <w:pBdr>
                <w:left w:val="single" w:color="D4875A" w:sz="8" w:space="12"/>
              </w:pBdr>
              <w:spacing w:after="80"/>
              <w:ind w:left="1400"/>
            </w:pPr>
            <w:r>
              <w:rPr>
                <w:rFonts w:ascii="Arial" w:eastAsia="Microsoft YaHei"/>
                <w:color w:val="90989F"/>
                <w:sz w:val="22"/>
                <w:szCs w:val="22"/>
              </w:rPr>
              <w:t xml:space="preserve">Scope: Stack Selection, API Integration, Problem-Solution-Revenue</w:t>
            </w:r>
          </w:p>
          <w:p>
            <w:pPr>
              <w:pBdr>
                <w:left w:val="single" w:color="D4875A" w:sz="8" w:space="12"/>
              </w:pBdr>
              <w:spacing w:after="80"/>
              <w:ind w:left="1400"/>
            </w:pPr>
            <w:r>
              <w:rPr>
                <w:rFonts w:ascii="Arial" w:eastAsia="Microsoft YaHei"/>
                <w:color w:val="90989F"/>
                <w:sz w:val="22"/>
                <w:szCs w:val="22"/>
              </w:rPr>
              <w:t xml:space="preserve">Prepared by: Super Z Research</w:t>
            </w:r>
          </w:p>
          <w:p>
            <w:pPr>
              <w:pBdr>
                <w:left w:val="single" w:color="D4875A" w:sz="8" w:space="12"/>
              </w:pBdr>
              <w:spacing w:after="80"/>
              <w:ind w:left="1400"/>
            </w:pPr>
            <w:r>
              <w:rPr>
                <w:rFonts w:ascii="Arial" w:eastAsia="Microsoft YaHei"/>
                <w:color w:val="90989F"/>
                <w:sz w:val="22"/>
                <w:szCs w:val="22"/>
              </w:rPr>
              <w:t xml:space="preserve">Date: August 27, 2026</w:t>
            </w:r>
          </w:p>
          <w:p>
            <w:pPr>
              <w:spacing w:before="4151"/>
            </w:pPr>
          </w:p>
          <w:p>
            <w:pPr>
              <w:pBdr>
                <w:top w:val="single" w:color="D4875A" w:sz="2" w:space="8"/>
              </w:pBdr>
              <w:spacing w:before="200"/>
              <w:ind w:left="1200" w:right="800"/>
            </w:pPr>
            <w:r>
              <w:rPr>
                <w:rFonts w:ascii="Arial"/>
                <w:color w:val="687078"/>
                <w:sz w:val="16"/>
                <w:szCs w:val="16"/>
              </w:rPr>
              <w:t xml:space="preserve">Confidential — For Strategic Planning</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1A233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Opening Hook and Thesis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Background and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The XAMPP Question and the Production Database Landscape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The Integration Problem</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The Problem-Solution-Revenue Mapping</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Database Selection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The Database Decision Matrix</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The XAMPP and Local-Development Stack</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The ORM Choice: Prisma Versus Drizzle</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5. Cache, Queue, Search, and Storage Selection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5.1 The Cache Layer</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5.2 The Message Queue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5.3 The Search Infrastructure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5.4 Object Storage</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6. Authentication Platform Selection</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7. The API Style Selection</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8. The Type-Safe Toolchain</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8.1 Zod for Schema Validation</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8.2 Prisma or Drizzle for Database Type Safety</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8.3 tRPC for API Type Safety</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8.4 TanStack Query for Frontend Data Fetching</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8.5 The Integration Contract in Code</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9. Error Handling, Pagination, and Optimistic Updates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9.1 Error Handling</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9.2 Pagination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9.3 Optimistic Updates</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10. Per-System Data Flow: Frontend, API, and Database</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10.1 Multi-Tenant SaaS: The Tenant Provisioning Flow</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10.2 E-Commerce: The Checkout Flow</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10.3 CRM: The Lead-to-Opportunity Conversion Flow</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10.4 ERP: The Order-to-Cash Flow</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10.5 Real-Time Analytics: The Dashboard Update Flow</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10.6 AI Application: The Conversation Flow</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10.7 Booking: The Slot Booking Flow</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10.8 LMS: The Assessment Submission Flow</w:t>
            </w:r>
            <w:r>
              <w:tab/>
            </w:r>
            <w:r>
              <w:fldChar w:fldCharType="begin"/>
            </w:r>
            <w:r>
              <w:instrText xml:space="preserve"> PAGEREF _Toc100035 \h </w:instrText>
            </w:r>
            <w:r>
              <w:fldChar w:fldCharType="separate"/>
            </w:r>
            <w:r>
              <w:t>12</w:t>
            </w:r>
            <w:r>
              <w:fldChar w:fldCharType="end"/>
            </w:r>
          </w:hyperlink>
        </w:p>
        <w:p>
          <w:pPr>
            <w:pStyle w:val="9"/>
            <w:tabs>
              <w:tab w:val="right" w:leader="dot" w:pos="9026"/>
            </w:tabs>
            <w:spacing w:before="120" w:after="60"/>
          </w:pPr>
          <w:hyperlink w:anchor="_Toc100036" w:history="1">
            <w:r>
              <w:rPr>
                <w:rStyle w:val="Hyperlink"/>
              </w:rPr>
              <w:t>11. Problem, Solution, Impact, and Revenue Mapping</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11.1 The Revenue Realization Path</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12. Counterarguments and Limitations</w:t>
            </w:r>
            <w:r>
              <w:tab/>
            </w:r>
            <w:r>
              <w:fldChar w:fldCharType="begin"/>
            </w:r>
            <w:r>
              <w:instrText xml:space="preserve"> PAGEREF _Toc100038 \h </w:instrText>
            </w:r>
            <w:r>
              <w:fldChar w:fldCharType="separate"/>
            </w:r>
            <w:r>
              <w:t>13</w:t>
            </w:r>
            <w:r>
              <w:fldChar w:fldCharType="end"/>
            </w:r>
          </w:hyperlink>
        </w:p>
        <w:p>
          <w:pPr>
            <w:pStyle w:val="9"/>
            <w:tabs>
              <w:tab w:val="right" w:leader="dot" w:pos="9026"/>
            </w:tabs>
            <w:spacing w:before="120" w:after="60"/>
          </w:pPr>
          <w:hyperlink w:anchor="_Toc100039" w:history="1">
            <w:r>
              <w:rPr>
                <w:rStyle w:val="Hyperlink"/>
              </w:rPr>
              <w:t>13. Conclusion and Strategic Implications</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14. References</w:t>
            </w:r>
            <w:r>
              <w:tab/>
            </w:r>
            <w:r>
              <w:fldChar w:fldCharType="begin"/>
            </w:r>
            <w:r>
              <w:instrText xml:space="preserve"> PAGEREF _Toc100040 \h </w:instrText>
            </w:r>
            <w:r>
              <w:fldChar w:fldCharType="separate"/>
            </w:r>
            <w:r>
              <w:t>15</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1A2330"/>
          <w:sz w:val="32"/>
          <w:szCs w:val="32"/>
        </w:rPr>
        <w:t xml:space="preserve">1. Executive Summary</w:t>
      </w:r>
      <w:bookmarkEnd w:id="100000"/>
    </w:p>
    <w:p>
      <w:pPr>
        <w:spacing w:after="120" w:line="312"/>
        <w:ind w:firstLine="360"/>
        <w:jc w:val="both"/>
      </w:pPr>
      <w:r>
        <w:rPr>
          <w:rFonts w:ascii="Times New Roman" w:eastAsia="SimSun"/>
          <w:color w:val="000000"/>
          <w:sz w:val="24"/>
          <w:szCs w:val="24"/>
        </w:rPr>
        <w:t xml:space="preserve">This report is the technical-stack and frontend-backend integration companion to the Production-Ready Full-Stack Systems for Business foundation document. The foundation document specifies the architecture, the data models, and the process flows for eight commercially validated system categories; this companion specifies the concrete technology choices, the integration patterns, and the problem-solution-revenue mapping that an AI builder agent needs to construct each system without missing data, missing features, or integration conflicts. The document exists because the foundation's high-level recommendation of PostgreSQL, Redis, and Next.js, while correct as a default, does not give the AI builder the decision framework for when to deviate, nor does it specify how the frontend calls the API, how the API talks to the database, or how each system converts its problem-solving into revenue.</w:t>
      </w:r>
    </w:p>
    <w:p>
      <w:pPr>
        <w:spacing w:after="120" w:line="312"/>
        <w:ind w:firstLine="360"/>
        <w:jc w:val="both"/>
      </w:pPr>
      <w:r>
        <w:rPr>
          <w:rFonts w:ascii="Times New Roman" w:eastAsia="SimSun"/>
          <w:color w:val="000000"/>
          <w:sz w:val="24"/>
          <w:szCs w:val="24"/>
        </w:rPr>
        <w:t xml:space="preserve">The analysis is organized into five parts. Part I covers the stack selection decisions: the database choice, including a direct comparison of PostgreSQL, MySQL, MongoDB, and SQLite and an explicit treatment of why the XAMPP stack, while useful for local development, is not a production target; the cache layer; the message queue; the search infrastructure; the object storage; and the authentication platform. Each decision is presented as a matrix with a clear recommendation per system type. Part II covers the frontend-backend integration contract: the API style choice among REST, tRPC, GraphQL, and gRPC; the type-safe toolchain combining Zod, Prisma or Drizzle, and TanStack Query; and the patterns for error handling, pagination, and optimistic updates that prevent the integration conflicts the user is concerned about. Part III presents the per-system data flow for each of the eight systems, showing how the frontend, the API, and the database interact for the primary user journey. Part IV maps each system to the problem it solves, the positive and negative impacts, and the monetization model that converts the problem-solving into revenue. Part V covers the counterarguments, the conclusion, and the references.</w:t>
      </w:r>
    </w:p>
    <w:p>
      <w:pPr>
        <w:spacing w:after="120" w:line="312"/>
        <w:ind w:firstLine="360"/>
        <w:jc w:val="both"/>
      </w:pPr>
      <w:r>
        <w:rPr>
          <w:rFonts w:ascii="Times New Roman" w:eastAsia="SimSun"/>
          <w:color w:val="000000"/>
          <w:sz w:val="24"/>
          <w:szCs w:val="24"/>
        </w:rPr>
        <w:t xml:space="preserve">The central finding is that the integration conflicts and the missing-data problems that plague AI-built systems are not caused by the model's capability but by the absence of a documented integration contract between the frontend and the backend. An AI agent that is told to build a feature without a specified API contract, a specified type-safe toolchain, and a specified error-handling pattern will produce a frontend and a backend that do not agree on the shapes of the data they exchange, and the disagreement will manifest as runtime errors that are expensive to diagnose. The discipline of specifying the integration contract before the implementation begins, and of enforcing it through type-safe code generation, is the discipline that prevents these conflicts. This document provides that contract specification and the toolchain that enforces it.</w:t>
      </w:r>
    </w:p>
    <w:p>
      <w:pPr>
        <w:pStyle w:val="Heading1"/>
        <w:spacing w:after="160" w:before="360" w:line="312"/>
      </w:pPr>
      <w:bookmarkStart w:id="100001" w:name="_Toc100001"/>
      <w:r>
        <w:rPr>
          <w:rFonts w:ascii="Arial" w:eastAsia="SimHei"/>
          <w:b/>
          <w:bCs/>
          <w:color w:val="1A2330"/>
          <w:sz w:val="32"/>
          <w:szCs w:val="32"/>
        </w:rPr>
        <w:t xml:space="preserve">2. Opening Hook and Thesis</w:t>
      </w:r>
      <w:bookmarkEnd w:id="100001"/>
    </w:p>
    <w:p>
      <w:pPr>
        <w:spacing w:after="120" w:line="312"/>
        <w:ind w:firstLine="360"/>
        <w:jc w:val="both"/>
      </w:pPr>
      <w:r>
        <w:rPr>
          <w:rFonts w:ascii="Times New Roman" w:eastAsia="SimSun"/>
          <w:color w:val="000000"/>
          <w:sz w:val="24"/>
          <w:szCs w:val="24"/>
        </w:rPr>
        <w:t xml:space="preserve">The user's question, asked plainly, is whether the foundation document is sufficient for an AI builder to construct a complete system without missing data, missing features, missing backend database, or integration conflicts between the frontend and the backend. The honest answer, established in the gap analysis that opened this work, is that the foundation document specifies the what, the architecture, the data model, and the process flows, but does not specify the which, the concrete database, cache, queue, search, storage, and authentication technologies, nor the how, the integration contract that governs the frontend-backend communication. An AI builder directed by the foundation alone will make reasonable default choices, but the defaults will not always be correct for the specific system, and the absence of an integration contract will produce the runtime disagreements that the user is concerned about.</w:t>
      </w:r>
    </w:p>
    <w:p>
      <w:pPr>
        <w:spacing w:after="120" w:line="312"/>
        <w:ind w:firstLine="360"/>
        <w:jc w:val="both"/>
      </w:pPr>
      <w:r>
        <w:rPr>
          <w:rFonts w:ascii="Times New Roman" w:eastAsia="SimSun"/>
          <w:color w:val="000000"/>
          <w:sz w:val="24"/>
          <w:szCs w:val="24"/>
        </w:rPr>
        <w:t xml:space="preserve">The XAMPP stack that the user mentioned is a useful framing for the gap. XAMPP, which bundles Apache, MySQL, PHP, and Perl, is a local-development environment that has been widely used for two decades, and it remains a reasonable choice for a developer learning web development on a personal machine. It is not, however, a production target for the systems this report addresses. The production systems of 2026 are built on managed cloud databases, on containerized application runtimes, and on type-safe API contracts that XAMPP's PHP-and-MySQL model does not provide. A builder who treats XAMPP as a production target will produce a system that cannot scale, that cannot meet the security standards, and that cannot support the type-safe integration that the modern frontend requires. The question is not whether to use XAMPP, but which production database, which production cache, and which production integration pattern to use instead, and this document answers that question.</w:t>
      </w:r>
    </w:p>
    <w:p>
      <w:pPr>
        <w:spacing w:after="120" w:line="312"/>
        <w:ind w:firstLine="360"/>
        <w:jc w:val="both"/>
      </w:pPr>
      <w:r>
        <w:rPr>
          <w:rFonts w:ascii="Times New Roman" w:eastAsia="SimSun"/>
          <w:color w:val="000000"/>
          <w:sz w:val="24"/>
          <w:szCs w:val="24"/>
        </w:rPr>
        <w:t xml:space="preserve">The thesis is therefore the following. An AI builder constructs a complete, conflict-free system only when it is directed by a documented stack selection that names the specific database, cache, queue, search, storage, and authentication technologies, and by a documented integration contract that specifies the API style, the type-safe toolchain, and the error-handling patterns. The foundation document provides the architectural context; this companion provides the stack selection and the integration contract; together they give the AI builder the complete specification it needs to build without missing data or integration conflicts. The remainder of the document provides the selection matrices, the integration patterns, the per-system data flows, and the problem-solution-revenue mapping that constitute the complete specification.</w:t>
      </w:r>
    </w:p>
    <w:p>
      <w:pPr>
        <w:pStyle w:val="Heading1"/>
        <w:spacing w:after="160" w:before="360" w:line="312"/>
      </w:pPr>
      <w:bookmarkStart w:id="100002" w:name="_Toc100002"/>
      <w:r>
        <w:rPr>
          <w:rFonts w:ascii="Arial" w:eastAsia="SimHei"/>
          <w:b/>
          <w:bCs/>
          <w:color w:val="1A2330"/>
          <w:sz w:val="32"/>
          <w:szCs w:val="32"/>
        </w:rPr>
        <w:t xml:space="preserve">3. Background and Context</w:t>
      </w:r>
      <w:bookmarkEnd w:id="100002"/>
    </w:p>
    <w:p>
      <w:pPr>
        <w:pStyle w:val="Heading2"/>
        <w:spacing w:after="120" w:before="280" w:line="312"/>
      </w:pPr>
      <w:bookmarkStart w:id="100003" w:name="_Toc100003"/>
      <w:r>
        <w:rPr>
          <w:rFonts w:ascii="Arial" w:eastAsia="SimHei"/>
          <w:b/>
          <w:bCs/>
          <w:color w:val="1A2330"/>
          <w:sz w:val="28"/>
          <w:szCs w:val="28"/>
        </w:rPr>
        <w:t xml:space="preserve">3.1 The XAMPP Question and the Production Database Landscape</w:t>
      </w:r>
      <w:bookmarkEnd w:id="100003"/>
    </w:p>
    <w:p>
      <w:pPr>
        <w:spacing w:after="120" w:line="312"/>
        <w:ind w:firstLine="360"/>
        <w:jc w:val="both"/>
      </w:pPr>
      <w:r>
        <w:rPr>
          <w:rFonts w:ascii="Times New Roman" w:eastAsia="SimSun"/>
          <w:color w:val="000000"/>
          <w:sz w:val="24"/>
          <w:szCs w:val="24"/>
        </w:rPr>
        <w:t xml:space="preserve">XAMPP, an acronym for Cross-Platform Apache MySQL PHP Perl, is a local-development environment that bundles the components needed to run a PHP and MySQL application on a developer's machine. It is a legitimate and useful tool for learning, for prototyping, and for maintaining legacy PHP applications. It is not, however, a production target for the systems this report addresses, for three reasons. First, the MySQL version bundled with XAMPP is typically not the version that a managed cloud database provides, and the differences in configuration, in performance characteristics, and in feature support between a local MySQL and a managed PostgreSQL or MySQL are significant enough that code that works locally may fail in production. Second, the PHP-and-MySQL model that XAMPP implies does not provide the type safety, the async runtime, or the modern framework support that the systems in this report require, which are built on TypeScript, on Node.js or a comparable runtime, and on a framework such as Next.js. Third, XAMPP provides no managed cache, no managed queue, no managed search, and no managed object storage, all of which the production systems require.</w:t>
      </w:r>
    </w:p>
    <w:p>
      <w:pPr>
        <w:spacing w:after="120" w:line="312"/>
        <w:ind w:firstLine="360"/>
        <w:jc w:val="both"/>
      </w:pPr>
      <w:r>
        <w:rPr>
          <w:rFonts w:ascii="Times New Roman" w:eastAsia="SimSun"/>
          <w:color w:val="000000"/>
          <w:sz w:val="24"/>
          <w:szCs w:val="24"/>
        </w:rPr>
        <w:t xml:space="preserve">The production database landscape in 2026 is dominated by PostgreSQL, MySQL, and MongoDB, with SQLite occupying a specific niche for embedded and edge workloads. PostgreSQL is the consensus choice for new SaaS systems because it provides transactional integrity, mature operational tooling, native JSON support through the JSONB type, full-text search through built-in extensions, vector search through the pgvector extension, and row-level security for multi-tenant isolation. Practitioner sources who have run both PostgreSQL and MongoDB in production report that PostgreSQL's JSONB handles schema-fluid data well enough that the traditional MongoDB use case, schema-flexible document storage, is now served by PostgreSQL for most applications, and that MongoDB retains a legitimate advantage only for workloads where the schema pivots faster than migrations can be written. MySQL remains a capable database, particularly for read-heavy workloads and for organizations with existing MySQL expertise, but it lacks the extension ecosystem and the row-level security of PostgreSQL. SQLite is the right choice for embedded and edge workloads, where the database runs in-process with the application, but it is not suited for the multi-tenant, concurrent-write workloads of a SaaS system.</w:t>
      </w:r>
    </w:p>
    <w:p>
      <w:pPr>
        <w:pStyle w:val="Heading2"/>
        <w:spacing w:after="120" w:before="280" w:line="312"/>
      </w:pPr>
      <w:bookmarkStart w:id="100004" w:name="_Toc100004"/>
      <w:r>
        <w:rPr>
          <w:rFonts w:ascii="Arial" w:eastAsia="SimHei"/>
          <w:b/>
          <w:bCs/>
          <w:color w:val="1A2330"/>
          <w:sz w:val="28"/>
          <w:szCs w:val="28"/>
        </w:rPr>
        <w:t xml:space="preserve">3.2 The Integration Problem</w:t>
      </w:r>
      <w:bookmarkEnd w:id="100004"/>
    </w:p>
    <w:p>
      <w:pPr>
        <w:spacing w:after="120" w:line="312"/>
        <w:ind w:firstLine="360"/>
        <w:jc w:val="both"/>
      </w:pPr>
      <w:r>
        <w:rPr>
          <w:rFonts w:ascii="Times New Roman" w:eastAsia="SimSun"/>
          <w:color w:val="000000"/>
          <w:sz w:val="24"/>
          <w:szCs w:val="24"/>
        </w:rPr>
        <w:t xml:space="preserve">The integration problem that the user is concerned about is real and is the most common cause of runtime defects in AI-built systems. The problem arises when the frontend and the backend are built independently, without a shared contract that specifies the shapes of the data they exchange. The frontend developer, or the AI agent building the frontend, assumes that the API returns a user object with a given set of fields; the backend developer, or the AI agent building the backend, implements the API to return a user object with a slightly different set of fields, perhaps with a field renamed, perhaps with a field omitted, perhaps with a nested object flattened. The disagreement is not detected at build time, because the frontend and the backend are separate compilation units, and it manifests at runtime as a defect that is expensive to diagnose because the symptom, a missing field, is far from the cause, a contract disagreement.</w:t>
      </w:r>
    </w:p>
    <w:p>
      <w:pPr>
        <w:spacing w:after="120" w:line="312"/>
        <w:ind w:firstLine="360"/>
        <w:jc w:val="both"/>
      </w:pPr>
      <w:r>
        <w:rPr>
          <w:rFonts w:ascii="Times New Roman" w:eastAsia="SimSun"/>
          <w:color w:val="000000"/>
          <w:sz w:val="24"/>
          <w:szCs w:val="24"/>
        </w:rPr>
        <w:t xml:space="preserve">The solution to the integration problem is the type-safe integration contract, a single source of truth that defines the shapes of the data exchanged between the frontend and the backend, and that is enforced at build time on both sides. The contract can be implemented in several ways: through a schema language such as OpenAPI or GraphQL SDL, with code generation on both sides; through a type-inferred protocol such as tRPC, where the backend's TypeScript types are directly available to the frontend; or through a shared validation library such as Zod, where the schemas are defined once and used both to validate inputs on the backend and to type responses on the frontend. Each approach has its tradeoffs, and Part II of this document specifies which approach to use for which system type. The key point is that the contract must exist, must be the single source of truth, and must be enforced at build time; an AI builder that is not directed to use a contract will produce a system without one, and the system will have the integration conflicts the user is concerned about.</w:t>
      </w:r>
    </w:p>
    <w:p>
      <w:pPr>
        <w:pStyle w:val="Heading2"/>
        <w:spacing w:after="120" w:before="280" w:line="312"/>
      </w:pPr>
      <w:bookmarkStart w:id="100005" w:name="_Toc100005"/>
      <w:r>
        <w:rPr>
          <w:rFonts w:ascii="Arial" w:eastAsia="SimHei"/>
          <w:b/>
          <w:bCs/>
          <w:color w:val="1A2330"/>
          <w:sz w:val="28"/>
          <w:szCs w:val="28"/>
        </w:rPr>
        <w:t xml:space="preserve">3.3 The Problem-Solution-Revenue Mapping</w:t>
      </w:r>
      <w:bookmarkEnd w:id="100005"/>
    </w:p>
    <w:p>
      <w:pPr>
        <w:spacing w:after="120" w:line="312"/>
        <w:ind w:firstLine="360"/>
        <w:jc w:val="both"/>
      </w:pPr>
      <w:r>
        <w:rPr>
          <w:rFonts w:ascii="Times New Roman" w:eastAsia="SimSun"/>
          <w:color w:val="000000"/>
          <w:sz w:val="24"/>
          <w:szCs w:val="24"/>
        </w:rPr>
        <w:t xml:space="preserve">The third concern the user raised is that each system must solve a real problem, must be used effectively, and must generate revenue. The foundation document's business-viability subsections address the revenue question at a structural level, but they do not map each system to the specific problem it solves, to the positive impact of solving it, to the negative impact or risk of the solution, and to the monetization mechanism that converts the solving into revenue. Part IV of this document provides that mapping for each of the eight systems. The mapping is the basis of the business case, and it is the mapping that justifies the build, the stack selection, and the integration effort. A system that does not solve a real problem will not generate revenue, regardless of the quality of its implementation, and a system that solves a problem but cannot monetize the solving will not sustain the business. The mapping is therefore as consequential as the technical specification, and it is treated with the same rigor.</w:t>
      </w:r>
    </w:p>
    <w:p>
      <w:pPr>
        <w:pStyle w:val="Heading1"/>
        <w:spacing w:after="160" w:before="360" w:line="312"/>
      </w:pPr>
      <w:bookmarkStart w:id="100006" w:name="_Toc100006"/>
      <w:r>
        <w:rPr>
          <w:rFonts w:ascii="Arial" w:eastAsia="SimHei"/>
          <w:b/>
          <w:bCs/>
          <w:color w:val="1A2330"/>
          <w:sz w:val="32"/>
          <w:szCs w:val="32"/>
        </w:rPr>
        <w:t xml:space="preserve">4. Database Selection</w:t>
      </w:r>
      <w:bookmarkEnd w:id="100006"/>
    </w:p>
    <w:p>
      <w:pPr>
        <w:spacing w:after="120" w:line="312"/>
        <w:ind w:firstLine="360"/>
        <w:jc w:val="both"/>
      </w:pPr>
      <w:r>
        <w:rPr>
          <w:rFonts w:ascii="Times New Roman" w:eastAsia="SimSun"/>
          <w:color w:val="000000"/>
          <w:sz w:val="24"/>
          <w:szCs w:val="24"/>
        </w:rPr>
        <w:t xml:space="preserve">The database is the most consequential technology decision in a full-stack system, because it is the component that is most expensive to change after launch. A cache, a queue, or a search infrastructure can be swapped with moderate effort; a database swap is a migration project that can take months and that risks data loss. The database selection must therefore be made deliberately, with the system's data characteristics, its query patterns, and its scale targets in mind. This section presents the decision matrix and the per-system recommendation.</w:t>
      </w:r>
    </w:p>
    <w:p>
      <w:pPr>
        <w:pStyle w:val="Heading2"/>
        <w:spacing w:after="120" w:before="280" w:line="312"/>
      </w:pPr>
      <w:bookmarkStart w:id="100007" w:name="_Toc100007"/>
      <w:r>
        <w:rPr>
          <w:rFonts w:ascii="Arial" w:eastAsia="SimHei"/>
          <w:b/>
          <w:bCs/>
          <w:color w:val="1A2330"/>
          <w:sz w:val="28"/>
          <w:szCs w:val="28"/>
        </w:rPr>
        <w:t xml:space="preserve">4.1 The Database Decision Matrix</w:t>
      </w:r>
      <w:bookmarkEnd w:id="100007"/>
    </w:p>
    <w:p>
      <w:pPr>
        <w:keepNext/>
        <w:spacing w:after="100" w:before="200" w:line="312"/>
        <w:jc w:val="left"/>
      </w:pPr>
      <w:r>
        <w:rPr>
          <w:rFonts w:ascii="Arial" w:eastAsia="SimHei"/>
          <w:b/>
          <w:bCs/>
          <w:color w:val="1A2330"/>
          <w:sz w:val="22"/>
          <w:szCs w:val="22"/>
        </w:rPr>
        <w:t xml:space="preserve">Table 1: Production Database Comparison for Full-Stack Systems (2026)</w:t>
      </w:r>
    </w:p>
    <w:tbl>
      <w:tblPr>
        <w:tblW w:type="pct" w:w="100%"/>
        <w:tblBorders>
          <w:top w:val="single" w:color="D4875A" w:sz="6"/>
          <w:left w:val="none" w:color="FFFFFF" w:sz="0"/>
          <w:bottom w:val="single" w:color="D4875A" w:sz="6"/>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8%"/>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Dimension</w:t>
            </w:r>
          </w:p>
        </w:tc>
        <w:tc>
          <w:tcPr>
            <w:tcW w:type="pct" w:w="22%"/>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PostgreSQL</w:t>
            </w:r>
          </w:p>
        </w:tc>
        <w:tc>
          <w:tcPr>
            <w:tcW w:type="pct" w:w="20%"/>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MySQL</w:t>
            </w:r>
          </w:p>
        </w:tc>
        <w:tc>
          <w:tcPr>
            <w:tcW w:type="pct" w:w="20%"/>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MongoDB</w:t>
            </w:r>
          </w:p>
        </w:tc>
        <w:tc>
          <w:tcPr>
            <w:tcW w:type="pct" w:w="20%"/>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SQLite</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Data model</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Relational + JSONB + vector (pgvector)</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Relational</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Document (BSON)</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Relational (embedded)</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isolation</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Row-Level Security (native, strong)</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Application-level only</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Application-level only</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Not suited</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Full-text search</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Built-in (tsvector, trigrams)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Limited (FULLTEXT index)</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Limited (text index)</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Limited (FTS5)</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Vector search (AI/RAG)</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pgvector extension (native)</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Not native</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Atlas Vector Search</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sqlite-vec (early)</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Transaction integrity</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ACID, strong</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ACID, strong</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Multi-document ACID (newer)</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ACID, strong</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Schema flexibility</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JSONB for schema-flexible fields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JSON type (less mature)</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Schema-less (native strength)</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JSON1 extension</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Managed cloud service</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RDS, Aurora, Cloud SQL, Neon, Supabase</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RDS, Aurora, Cloud SQL</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Atlas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Turso, Cloudflare D1</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Best for</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SaaS, ERP, CRM, LMS, AI apps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Read-heavy web apps, legacy migrations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Schema-fluid content, rapid pivots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Edge, embedded, single-server</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Not recommended for</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Schema-fluid rapid pivots (use MongoDB)</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SaaS (no RLS)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Transactional systems (use PostgreSQL)</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concurrent writes</w:t>
            </w:r>
          </w:p>
        </w:tc>
      </w:tr>
    </w:tbl>
    <w:p>
      <w:pPr>
        <w:spacing w:after="200" w:before="80" w:line="312"/>
        <w:jc w:val="center"/>
      </w:pPr>
      <w:r>
        <w:rPr>
          <w:rFonts w:ascii="Times New Roman" w:eastAsia="SimSun"/>
          <w:i/>
          <w:iCs/>
          <w:color w:val="606060"/>
          <w:sz w:val="20"/>
          <w:szCs w:val="20"/>
        </w:rPr>
        <w:t xml:space="preserve">Table 1: Production database comparison for full-stack systems in 2026. PostgreSQL is the recommended default for seven of the eight systems in this report; MongoDB is recommended only for schema-fluid content systems; SQLite is recommended only for edge and embedded workloads.</w:t>
      </w:r>
    </w:p>
    <w:p>
      <w:pPr>
        <w:spacing w:after="120" w:line="312"/>
        <w:ind w:firstLine="360"/>
        <w:jc w:val="both"/>
      </w:pPr>
      <w:r>
        <w:rPr>
          <w:rFonts w:ascii="Times New Roman" w:eastAsia="SimSun"/>
          <w:color w:val="000000"/>
          <w:sz w:val="24"/>
          <w:szCs w:val="24"/>
        </w:rPr>
        <w:t xml:space="preserve">The recommendation that follows from the matrix is that PostgreSQL is the default database for seven of the eight systems examined in this report: the multi-tenant SaaS platform, the e-commerce system, the CRM, the ERP, the real-time analytics dashboard (as the metadata store, with ClickHouse for the event stream), the AI-powered application (with pgvector for the embeddings), the booking system, and the LMS. The single exception is the e-commerce marketplace with a large, schema-fluid product catalog, where MongoDB's document model may provide a development-velocity advantage during rapid catalog iteration, though even this case is increasingly served by PostgreSQL's JSONB. The recommendation against MySQL for multi-tenant SaaS is specifically because MySQL lacks native row-level security, which is the foundation's recommended tenant-isolation mechanism; a MySQL-based multi-tenant system must enforce isolation in the application layer, which is weaker and more error-prone.</w:t>
      </w:r>
    </w:p>
    <w:p>
      <w:pPr>
        <w:pStyle w:val="Heading2"/>
        <w:spacing w:after="120" w:before="280" w:line="312"/>
      </w:pPr>
      <w:bookmarkStart w:id="100008" w:name="_Toc100008"/>
      <w:r>
        <w:rPr>
          <w:rFonts w:ascii="Arial" w:eastAsia="SimHei"/>
          <w:b/>
          <w:bCs/>
          <w:color w:val="1A2330"/>
          <w:sz w:val="28"/>
          <w:szCs w:val="28"/>
        </w:rPr>
        <w:t xml:space="preserve">4.2 The XAMPP and Local-Development Stack</w:t>
      </w:r>
      <w:bookmarkEnd w:id="100008"/>
    </w:p>
    <w:p>
      <w:pPr>
        <w:spacing w:after="120" w:line="312"/>
        <w:ind w:firstLine="360"/>
        <w:jc w:val="both"/>
      </w:pPr>
      <w:r>
        <w:rPr>
          <w:rFonts w:ascii="Times New Roman" w:eastAsia="SimSun"/>
          <w:color w:val="000000"/>
          <w:sz w:val="24"/>
          <w:szCs w:val="24"/>
        </w:rPr>
        <w:t xml:space="preserve">XAMPP and similar local-development stacks, including WAMP and MAMP, bundle Apache, MySQL, PHP, and Perl into a single installer for local development. They remain useful for developers who maintain PHP applications or who are learning web development, but they are not appropriate as the local-development environment for the systems in this report, because the production stack differs from the XAMPP stack in every component: the production runtime is Node.js, not PHP; the production database is PostgreSQL, not MySQL; the production web server is a Node.js process behind a reverse proxy, not Apache. A local environment that matches the production stack is a Docker Compose configuration that runs PostgreSQL, Redis, and any other infrastructure components alongside the Node.js application, and this is the local-development environment that the AI builder should be directed to use. The discipline of environment parity, where the local, staging, and production environments run the same components in the same configuration, is the discipline that prevents the defects that arise when code works locally but fails in production.</w:t>
      </w:r>
    </w:p>
    <w:p>
      <w:pPr>
        <w:pStyle w:val="Heading2"/>
        <w:spacing w:after="120" w:before="280" w:line="312"/>
      </w:pPr>
      <w:bookmarkStart w:id="100009" w:name="_Toc100009"/>
      <w:r>
        <w:rPr>
          <w:rFonts w:ascii="Arial" w:eastAsia="SimHei"/>
          <w:b/>
          <w:bCs/>
          <w:color w:val="1A2330"/>
          <w:sz w:val="28"/>
          <w:szCs w:val="28"/>
        </w:rPr>
        <w:t xml:space="preserve">4.3 The ORM Choice: Prisma Versus Drizzle</w:t>
      </w:r>
      <w:bookmarkEnd w:id="100009"/>
    </w:p>
    <w:p>
      <w:pPr>
        <w:spacing w:after="120" w:line="312"/>
        <w:ind w:firstLine="360"/>
        <w:jc w:val="both"/>
      </w:pPr>
      <w:r>
        <w:rPr>
          <w:rFonts w:ascii="Times New Roman" w:eastAsia="SimSun"/>
          <w:color w:val="000000"/>
          <w:sz w:val="24"/>
          <w:szCs w:val="24"/>
        </w:rPr>
        <w:t xml:space="preserve">The Object-Relational Mapping layer is the component that translates between the relational database and the application's TypeScript code, and it is the component that provides the type safety on the backend. The two dominant TypeScript ORMs in 2026 are Prisma and Drizzle, and the choice between them is a function of the team's SQL expertise and the application's performance requirements. Prisma provides a schema-first design with a clean, expressive query API that does not require the developer to write SQL, and it is the recommended choice for teams that want maximum abstraction and a mature ecosystem. Drizzle provides a SQL-like query syntax that keeps the developer close to the underlying SQL, with smaller bundle sizes and faster serverless cold starts, and it is the recommended choice for teams with SQL expertise who want the control and the performance. Practitioner sources report that both are production-ready and that the choice is largely a matter of preference and team skill, with Drizzle gaining momentum in 2026 for serverless deployments where cold-start performance matters.</w:t>
      </w:r>
    </w:p>
    <w:p>
      <w:pPr>
        <w:keepNext/>
        <w:spacing w:after="100" w:before="200" w:line="312"/>
        <w:jc w:val="left"/>
      </w:pPr>
      <w:r>
        <w:rPr>
          <w:rFonts w:ascii="Arial" w:eastAsia="SimHei"/>
          <w:b/>
          <w:bCs/>
          <w:color w:val="1A2330"/>
          <w:sz w:val="22"/>
          <w:szCs w:val="22"/>
        </w:rPr>
        <w:t xml:space="preserve">Table 2: Prisma Versus Drizzle (2026)</w:t>
      </w:r>
    </w:p>
    <w:tbl>
      <w:tblPr>
        <w:tblW w:type="pct" w:w="100%"/>
        <w:tblBorders>
          <w:top w:val="single" w:color="D4875A" w:sz="6"/>
          <w:left w:val="none" w:color="FFFFFF" w:sz="0"/>
          <w:bottom w:val="single" w:color="D4875A" w:sz="6"/>
          <w:right w:val="none" w:color="FFFFFF" w:sz="0"/>
          <w:insideH w:val="single" w:color="DDD0C8" w:sz="1"/>
          <w:insideV w:val="none" w:color="FFFFFF" w:sz="0"/>
        </w:tblBorders>
        <w:tblLayout w:type="fixed"/>
      </w:tblPr>
      <w:tblGrid>
        <w:gridCol w:w="100"/>
        <w:gridCol w:w="100"/>
        <w:gridCol w:w="100"/>
      </w:tblGrid>
      <w:tr>
        <w:trPr>
          <w:cantSplit/>
          <w:tblHeader/>
        </w:trPr>
        <w:tc>
          <w:tcPr>
            <w:tcW w:type="pct" w:w="22%"/>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Dimension</w:t>
            </w:r>
          </w:p>
        </w:tc>
        <w:tc>
          <w:tcPr>
            <w:tcW w:type="pct" w:w="39%"/>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Prisma</w:t>
            </w:r>
          </w:p>
        </w:tc>
        <w:tc>
          <w:tcPr>
            <w:tcW w:type="pct" w:w="39%"/>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Drizzle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Approach</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Schema-first, abstracts SQL</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Code-first, SQL-like syntax</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Type safety</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Generated client, strong</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Inferred from schema, strong</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Bundle size</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Larger (runtime engine)</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Smaller (thin layer)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Serverless cold start</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Slower (engine load)</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Faster (minimal overhead)</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SQL expertise required</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Low</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Moderate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Migrations</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Prisma Migrate (declarative)</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Drizzle Kit (SQL-based)</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Best for</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Teams wanting abstraction; rapid development</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Serverless deployments; SQL-fluent teams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Recommendation</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Default for SaaS, CRM, LMS, ERP</w:t>
            </w:r>
          </w:p>
        </w:tc>
        <w:tc>
          <w:tcPr>
            <w:tcW w:type="pct" w:w="39%"/>
            <w:tcMar>
              <w:top w:type="dxa" w:w="70"/>
              <w:left w:type="dxa" w:w="120"/>
              <w:bottom w:type="dxa" w:w="70"/>
              <w:right w:type="dxa" w:w="120"/>
            </w:tcMar>
          </w:tcPr>
          <w:p>
            <w:pPr>
              <w:spacing w:line="276"/>
              <w:jc w:val="left"/>
            </w:pPr>
            <w:r>
              <w:rPr>
                <w:rFonts w:ascii="Times New Roman" w:eastAsia="SimSun"/>
                <w:color w:val="000000"/>
                <w:sz w:val="20"/>
                <w:szCs w:val="20"/>
              </w:rPr>
              <w:t xml:space="preserve">Default for serverless, analytics edge</w:t>
            </w:r>
          </w:p>
        </w:tc>
      </w:tr>
    </w:tbl>
    <w:p>
      <w:pPr>
        <w:spacing w:after="200" w:before="80" w:line="312"/>
        <w:jc w:val="center"/>
      </w:pPr>
      <w:r>
        <w:rPr>
          <w:rFonts w:ascii="Times New Roman" w:eastAsia="SimSun"/>
          <w:i/>
          <w:iCs/>
          <w:color w:val="606060"/>
          <w:sz w:val="20"/>
          <w:szCs w:val="20"/>
        </w:rPr>
        <w:t xml:space="preserve">Table 2: Prisma versus Drizzle in 2026. Both are production-ready TypeScript ORMs; the choice depends on the team's SQL expertise and the deployment's cold-start sensitivity.</w:t>
      </w:r>
    </w:p>
    <w:p>
      <w:pPr>
        <w:pStyle w:val="Heading1"/>
        <w:spacing w:after="160" w:before="360" w:line="312"/>
      </w:pPr>
      <w:bookmarkStart w:id="100010" w:name="_Toc100010"/>
      <w:r>
        <w:rPr>
          <w:rFonts w:ascii="Arial" w:eastAsia="SimHei"/>
          <w:b/>
          <w:bCs/>
          <w:color w:val="1A2330"/>
          <w:sz w:val="32"/>
          <w:szCs w:val="32"/>
        </w:rPr>
        <w:t xml:space="preserve">5. Cache, Queue, Search, and Storage Selection</w:t>
      </w:r>
      <w:bookmarkEnd w:id="100010"/>
    </w:p>
    <w:p>
      <w:pPr>
        <w:pStyle w:val="Heading2"/>
        <w:spacing w:after="120" w:before="280" w:line="312"/>
      </w:pPr>
      <w:bookmarkStart w:id="100011" w:name="_Toc100011"/>
      <w:r>
        <w:rPr>
          <w:rFonts w:ascii="Arial" w:eastAsia="SimHei"/>
          <w:b/>
          <w:bCs/>
          <w:color w:val="1A2330"/>
          <w:sz w:val="28"/>
          <w:szCs w:val="28"/>
        </w:rPr>
        <w:t xml:space="preserve">5.1 The Cache Layer</w:t>
      </w:r>
      <w:bookmarkEnd w:id="100011"/>
    </w:p>
    <w:p>
      <w:pPr>
        <w:spacing w:after="120" w:line="312"/>
        <w:ind w:firstLine="360"/>
        <w:jc w:val="both"/>
      </w:pPr>
      <w:r>
        <w:rPr>
          <w:rFonts w:ascii="Times New Roman" w:eastAsia="SimSun"/>
          <w:color w:val="000000"/>
          <w:sz w:val="24"/>
          <w:szCs w:val="24"/>
        </w:rPr>
        <w:t xml:space="preserve">The cache layer provides low-latency access to frequently read data and to ephemeral state such as sessions and rate-limit counters. The dominant cache in 2026 remains Redis, which provides a rich data structure set, persistence options, and a mature ecosystem. The alternatives are Memcached, which is simpler and faster for pure key-value caching but lacks Redis's data structures and persistence, and DragonflyDB, which is a modern, multi-threaded Redis-compatible engine that delivers higher throughput on the same hardware. Practitioner benchmarks report that DragonflyDB delivers up to 25 times the throughput of Redis on the same hardware, with lower tail latency, and that Redis wins on ecosystem maturity and on the breadth of managed-service offerings. For a new system where the cache is a critical component and where the team is willing to operate a newer technology, DragonflyDB is a defensible choice; for a system where the cache must be reliable and where managed-service support is a priority, Redis remains the recommendation.</w:t>
      </w:r>
    </w:p>
    <w:p>
      <w:pPr>
        <w:spacing w:after="120" w:line="312"/>
        <w:ind w:firstLine="360"/>
        <w:jc w:val="both"/>
      </w:pPr>
      <w:r>
        <w:rPr>
          <w:rFonts w:ascii="Times New Roman" w:eastAsia="SimSun"/>
          <w:color w:val="000000"/>
          <w:sz w:val="24"/>
          <w:szCs w:val="24"/>
        </w:rPr>
        <w:t xml:space="preserve">The cache is used for three purposes in the systems this report addresses. The first is session storage, where the opaque session token is mapped to the user id and the session metadata, and where the low latency of the cache is essential because every authenticated request reads the session. The second is hot-path data caching, where frequently read data such as a product catalog or a user's dashboard configuration is cached to reduce database load. The third is ephemeral state such as rate-limit counters, distributed locks, and the slot cache in a booking system, where the cache's atomic operations are used to implement concurrency control. For all three purposes, Redis is the default recommendation, with DragonflyDB as the alternative for systems that need the throughput.</w:t>
      </w:r>
    </w:p>
    <w:p>
      <w:pPr>
        <w:pStyle w:val="Heading2"/>
        <w:spacing w:after="120" w:before="280" w:line="312"/>
      </w:pPr>
      <w:bookmarkStart w:id="100012" w:name="_Toc100012"/>
      <w:r>
        <w:rPr>
          <w:rFonts w:ascii="Arial" w:eastAsia="SimHei"/>
          <w:b/>
          <w:bCs/>
          <w:color w:val="1A2330"/>
          <w:sz w:val="28"/>
          <w:szCs w:val="28"/>
        </w:rPr>
        <w:t xml:space="preserve">5.2 The Message Queue</w:t>
      </w:r>
      <w:bookmarkEnd w:id="100012"/>
    </w:p>
    <w:p>
      <w:pPr>
        <w:spacing w:after="120" w:line="312"/>
        <w:ind w:firstLine="360"/>
        <w:jc w:val="both"/>
      </w:pPr>
      <w:r>
        <w:rPr>
          <w:rFonts w:ascii="Times New Roman" w:eastAsia="SimSun"/>
          <w:color w:val="000000"/>
          <w:sz w:val="24"/>
          <w:szCs w:val="24"/>
        </w:rPr>
        <w:t xml:space="preserve">The message queue decouples the components of the system that do not need to run synchronously, such as sending a welcome email after tenant provisioning or processing a refund after a return is received. The queue improves the perceived performance of the user-facing flow, because the flow returns immediately after enqueuing the work rather than waiting for it to complete, and it improves the resilience, because a failure in the worker does not fail the user-facing flow. The dominant queue options in 2026 are Amazon SQS for systems on AWS, RabbitMQ for self-hosted or cloud-agnostic systems, and Apache Kafka for systems that need the event-stream semantics with replay and multiple consumers. Redis Streams is a fourth option that is sufficient for systems that already operate Redis and that need a simple queue without a separate infrastructure component.</w:t>
      </w:r>
    </w:p>
    <w:p>
      <w:pPr>
        <w:spacing w:after="120" w:line="312"/>
        <w:ind w:firstLine="360"/>
        <w:jc w:val="both"/>
      </w:pPr>
      <w:r>
        <w:rPr>
          <w:rFonts w:ascii="Times New Roman" w:eastAsia="SimSun"/>
          <w:color w:val="000000"/>
          <w:sz w:val="24"/>
          <w:szCs w:val="24"/>
        </w:rPr>
        <w:t xml:space="preserve">The recommendation is to use the simplest queue that meets the requirement. For a SaaS system on AWS, Amazon SQS is the simplest choice because it is fully managed and requires no infrastructure operation. For a system that must be cloud-agnostic or that needs more sophisticated routing, RabbitMQ is the recommendation. For a system that needs event-stream semantics, such as the real-time analytics dashboard where multiple consumers process the same event stream, Kafka is the recommendation, though the operational complexity of Kafka is significant and should not be undertaken lightly. For a system that already operates Redis and that needs a simple queue for background work, Redis Streams is a reasonable choice that avoids a new infrastructure component.</w:t>
      </w:r>
    </w:p>
    <w:p>
      <w:pPr>
        <w:pStyle w:val="Heading2"/>
        <w:spacing w:after="120" w:before="280" w:line="312"/>
      </w:pPr>
      <w:bookmarkStart w:id="100013" w:name="_Toc100013"/>
      <w:r>
        <w:rPr>
          <w:rFonts w:ascii="Arial" w:eastAsia="SimHei"/>
          <w:b/>
          <w:bCs/>
          <w:color w:val="1A2330"/>
          <w:sz w:val="28"/>
          <w:szCs w:val="28"/>
        </w:rPr>
        <w:t xml:space="preserve">5.3 The Search Infrastructure</w:t>
      </w:r>
      <w:bookmarkEnd w:id="100013"/>
    </w:p>
    <w:p>
      <w:pPr>
        <w:spacing w:after="120" w:line="312"/>
        <w:ind w:firstLine="360"/>
        <w:jc w:val="both"/>
      </w:pPr>
      <w:r>
        <w:rPr>
          <w:rFonts w:ascii="Times New Roman" w:eastAsia="SimSun"/>
          <w:color w:val="000000"/>
          <w:sz w:val="24"/>
          <w:szCs w:val="24"/>
        </w:rPr>
        <w:t xml:space="preserve">Search is the component that provides fast, relevant, typo-tolerant search over the system's content, and it is a component that is often underestimated in the build phase. The options in 2026 span a spectrum from the built-in PostgreSQL full-text search, which is sufficient for many applications, through the dedicated open-source search engines such as OpenSearch and Meilisearch, to the managed search services such as Algolia. Practitioner guidance from Supabase and from the Meilisearch documentation is consistent: PostgreSQL full-text search, combined with the trigram extension for fuzzy matching, is sufficient for applications with up to a few million records and with moderate search requirements; a dedicated search engine is recommended when the search requirements include typo tolerance, faceted search, or high query rates that would overload the primary database.</w:t>
      </w:r>
    </w:p>
    <w:p>
      <w:pPr>
        <w:spacing w:after="120" w:line="312"/>
        <w:ind w:firstLine="360"/>
        <w:jc w:val="both"/>
      </w:pPr>
      <w:r>
        <w:rPr>
          <w:rFonts w:ascii="Times New Roman" w:eastAsia="SimSun"/>
          <w:color w:val="000000"/>
          <w:sz w:val="24"/>
          <w:szCs w:val="24"/>
        </w:rPr>
        <w:t xml:space="preserve">The recommendation per system is as follows. For the multi-tenant SaaS platform, PostgreSQL full-text search is sufficient for the in-app search of tenants, users, and records. For the e-commerce system, a dedicated search engine, either Meilisearch for its simplicity and speed or Algolia for its managed-service convenience, is recommended because the product search is a conversion-critical path and the typo tolerance and faceted search are commercially important. For the CRM, PostgreSQL full-text search is sufficient for the contact and account search. For the ERP, PostgreSQL full-text search is sufficient. For the real-time analytics dashboard, the search is not a primary feature. For the AI-powered application, the search is the vector search of the embeddings, which is implemented with pgvector on PostgreSQL or with a dedicated vector database. For the booking system, PostgreSQL full-text search is sufficient. For the LMS, a dedicated search engine may be justified for the course-content search if the content volume is large.</w:t>
      </w:r>
    </w:p>
    <w:p>
      <w:pPr>
        <w:pStyle w:val="Heading2"/>
        <w:spacing w:after="120" w:before="280" w:line="312"/>
      </w:pPr>
      <w:bookmarkStart w:id="100014" w:name="_Toc100014"/>
      <w:r>
        <w:rPr>
          <w:rFonts w:ascii="Arial" w:eastAsia="SimHei"/>
          <w:b/>
          <w:bCs/>
          <w:color w:val="1A2330"/>
          <w:sz w:val="28"/>
          <w:szCs w:val="28"/>
        </w:rPr>
        <w:t xml:space="preserve">5.4 Object Storage</w:t>
      </w:r>
      <w:bookmarkEnd w:id="100014"/>
    </w:p>
    <w:p>
      <w:pPr>
        <w:spacing w:after="120" w:line="312"/>
        <w:ind w:firstLine="360"/>
        <w:jc w:val="both"/>
      </w:pPr>
      <w:r>
        <w:rPr>
          <w:rFonts w:ascii="Times New Roman" w:eastAsia="SimSun"/>
          <w:color w:val="000000"/>
          <w:sz w:val="24"/>
          <w:szCs w:val="24"/>
        </w:rPr>
        <w:t xml:space="preserve">Object storage holds the file uploads, the generated documents, and the static assets that do not belong in the database. The dominant object storage in 2026 is Amazon S3, with Cloudflare R2 as a compelling alternative that offers zero egress fees and S3-compatible APIs. For a system on AWS, S3 is the default; for a system that is cloud-agnostic or that is sensitive to egress costs, Cloudflare R2 is the recommendation. The object storage is used in all eight systems for file uploads: product images in e-commerce, document uploads in CRM and LMS, content exports in analytics, and so on. The integration pattern is consistent: the application generates a pre-signed upload URL, the client uploads directly to the object storage, and the application records the object's URL in the database. This pattern avoids routing the file through the application server and scales to large files without consuming application memory.</w:t>
      </w:r>
    </w:p>
    <w:p>
      <w:pPr>
        <w:pStyle w:val="Heading1"/>
        <w:spacing w:after="160" w:before="360" w:line="312"/>
      </w:pPr>
      <w:bookmarkStart w:id="100015" w:name="_Toc100015"/>
      <w:r>
        <w:rPr>
          <w:rFonts w:ascii="Arial" w:eastAsia="SimHei"/>
          <w:b/>
          <w:bCs/>
          <w:color w:val="1A2330"/>
          <w:sz w:val="32"/>
          <w:szCs w:val="32"/>
        </w:rPr>
        <w:t xml:space="preserve">6. Authentication Platform Selection</w:t>
      </w:r>
      <w:bookmarkEnd w:id="100015"/>
    </w:p>
    <w:p>
      <w:pPr>
        <w:spacing w:after="120" w:line="312"/>
        <w:ind w:firstLine="360"/>
        <w:jc w:val="both"/>
      </w:pPr>
      <w:r>
        <w:rPr>
          <w:rFonts w:ascii="Times New Roman" w:eastAsia="SimSun"/>
          <w:color w:val="000000"/>
          <w:sz w:val="24"/>
          <w:szCs w:val="24"/>
        </w:rPr>
        <w:t xml:space="preserve">Authentication is the first feature every system builds and the one with the highest cost of getting wrong. The options in 2026 span a spectrum from the fully managed platforms, such as Clerk and Auth0, through the backend-bundled auth of Supabase, to the self-hosted options such as Better Auth and NextAuth. The choice is a function of the team's size, the system's authentication requirements, and the cost sensitivity at scale. Practitioner sources report consistent findings: Clerk provides the best developer experience for modern React frameworks but can become expensive at scale; Auth0 provides the strongest enterprise compliance and single sign-on but is complex to configure; Supabase Auth bundles authentication with the database and is cost-effective but couples the auth to the Supabase backend; Better Auth and NextAuth provide self-hosted control but add operational overhead.</w:t>
      </w:r>
    </w:p>
    <w:p>
      <w:pPr>
        <w:keepNext/>
        <w:spacing w:after="100" w:before="200" w:line="312"/>
        <w:jc w:val="left"/>
      </w:pPr>
      <w:r>
        <w:rPr>
          <w:rFonts w:ascii="Arial" w:eastAsia="SimHei"/>
          <w:b/>
          <w:bCs/>
          <w:color w:val="1A2330"/>
          <w:sz w:val="22"/>
          <w:szCs w:val="22"/>
        </w:rPr>
        <w:t xml:space="preserve">Table 3: Authentication Platform Comparison (2026)</w:t>
      </w:r>
    </w:p>
    <w:tbl>
      <w:tblPr>
        <w:tblW w:type="pct" w:w="100%"/>
        <w:tblBorders>
          <w:top w:val="single" w:color="D4875A" w:sz="6"/>
          <w:left w:val="none" w:color="FFFFFF" w:sz="0"/>
          <w:bottom w:val="single" w:color="D4875A" w:sz="6"/>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8%"/>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Platform</w:t>
            </w:r>
          </w:p>
        </w:tc>
        <w:tc>
          <w:tcPr>
            <w:tcW w:type="pct" w:w="28%"/>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Best For</w:t>
            </w:r>
          </w:p>
        </w:tc>
        <w:tc>
          <w:tcPr>
            <w:tcW w:type="pct" w:w="22%"/>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Pricing Model</w:t>
            </w:r>
          </w:p>
        </w:tc>
        <w:tc>
          <w:tcPr>
            <w:tcW w:type="pct" w:w="32%"/>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Trade-off</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Clerk</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React/Next.js SaaS wanting fast integration</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 monthly user, generous free tier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Cost scales with MAU; vendor lock-in</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Auth0</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Enterprise SaaS requiring SSO, compliance</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 monthly user, enterprise tiers</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Complex configuration; higher cost</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Supabase Auth</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Systems already on Supabase backend</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Included in Supabase tiers</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Couples auth to Supabase; less flexible</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Better Auth</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Teams wanting self-hosted control with Drizzle/Prisma</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Open-source, self-hosted</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Operational overhead; team must run it</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NextAuth (Auth.js)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Next.js apps wanting open-source, self-hosted</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Free, open-source</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Less polished; manual SSO setup</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Custom (session + RLS)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Systems needing deep control, no vendor</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cost only</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Highest risk; must implement correctly</w:t>
            </w:r>
          </w:p>
        </w:tc>
      </w:tr>
    </w:tbl>
    <w:p>
      <w:pPr>
        <w:spacing w:after="200" w:before="80" w:line="312"/>
        <w:jc w:val="center"/>
      </w:pPr>
      <w:r>
        <w:rPr>
          <w:rFonts w:ascii="Times New Roman" w:eastAsia="SimSun"/>
          <w:i/>
          <w:iCs/>
          <w:color w:val="606060"/>
          <w:sz w:val="20"/>
          <w:szCs w:val="20"/>
        </w:rPr>
        <w:t xml:space="preserve">Table 3: Authentication platform comparison for 2026. The choice depends on the team's size, the authentication requirements, and the cost sensitivity at scale. The foundation document's session-and-RLS pattern is the custom option, suitable for teams that want full control and have the expertise to implement it correctly.</w:t>
      </w:r>
    </w:p>
    <w:p>
      <w:pPr>
        <w:spacing w:after="120" w:line="312"/>
        <w:ind w:firstLine="360"/>
        <w:jc w:val="both"/>
      </w:pPr>
      <w:r>
        <w:rPr>
          <w:rFonts w:ascii="Times New Roman" w:eastAsia="SimSun"/>
          <w:color w:val="000000"/>
          <w:sz w:val="24"/>
          <w:szCs w:val="24"/>
        </w:rPr>
        <w:t xml:space="preserve">The recommendation per system is as follows. For a new multi-tenant SaaS system built by a small team, Clerk is the recommended choice because it provides the fastest integration, the best developer experience, and the multi-tenant organization features that the system needs. For an enterprise-facing system that requires SAML single sign-on and compliance attestations, Auth0 is the recommended choice. For a system that is already committed to the Supabase backend, Supabase Auth is the natural choice. For a system where the team wants full control and has the engineering capacity, the custom session-and-RLS pattern documented in the foundation is a defensible choice, and it avoids the per-user cost that the managed platforms impose. The custom pattern is the one the AI builder should be directed to implement only if the team has the security expertise to review it; a poorly implemented custom auth is a greater risk than a managed platform's cost.</w:t>
      </w:r>
    </w:p>
    <w:p>
      <w:pPr>
        <w:pStyle w:val="Heading1"/>
        <w:spacing w:after="160" w:before="360" w:line="312"/>
      </w:pPr>
      <w:bookmarkStart w:id="100016" w:name="_Toc100016"/>
      <w:r>
        <w:rPr>
          <w:rFonts w:ascii="Arial" w:eastAsia="SimHei"/>
          <w:b/>
          <w:bCs/>
          <w:color w:val="1A2330"/>
          <w:sz w:val="32"/>
          <w:szCs w:val="32"/>
        </w:rPr>
        <w:t xml:space="preserve">7. The API Style Selection</w:t>
      </w:r>
      <w:bookmarkEnd w:id="100016"/>
    </w:p>
    <w:p>
      <w:pPr>
        <w:spacing w:after="120" w:line="312"/>
        <w:ind w:firstLine="360"/>
        <w:jc w:val="both"/>
      </w:pPr>
      <w:r>
        <w:rPr>
          <w:rFonts w:ascii="Times New Roman" w:eastAsia="SimSun"/>
          <w:color w:val="000000"/>
          <w:sz w:val="24"/>
          <w:szCs w:val="24"/>
        </w:rPr>
        <w:t xml:space="preserve">The API style is the protocol that governs the communication between the frontend and the backend, and it is the decision that most determines the integration contract's enforceability. The four dominant styles in 2026 are REST, tRPC, GraphQL, and gRPC, and each has a specific use case for which it is the recommended choice. The selection must be made deliberately, because the style determines the toolchain, the type-safety approach, and the frontend data-fetching pattern.</w:t>
      </w:r>
    </w:p>
    <w:p>
      <w:pPr>
        <w:keepNext/>
        <w:spacing w:after="100" w:before="200" w:line="312"/>
        <w:jc w:val="left"/>
      </w:pPr>
      <w:r>
        <w:rPr>
          <w:rFonts w:ascii="Arial" w:eastAsia="SimHei"/>
          <w:b/>
          <w:bCs/>
          <w:color w:val="1A2330"/>
          <w:sz w:val="22"/>
          <w:szCs w:val="22"/>
        </w:rPr>
        <w:t xml:space="preserve">Table 4: API Style Comparison for Full-Stack TypeScript Systems (2026)</w:t>
      </w:r>
    </w:p>
    <w:tbl>
      <w:tblPr>
        <w:tblW w:type="pct" w:w="100%"/>
        <w:tblBorders>
          <w:top w:val="single" w:color="D4875A" w:sz="6"/>
          <w:left w:val="none" w:color="FFFFFF" w:sz="0"/>
          <w:bottom w:val="single" w:color="D4875A" w:sz="6"/>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8%"/>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Style</w:t>
            </w:r>
          </w:p>
        </w:tc>
        <w:tc>
          <w:tcPr>
            <w:tcW w:type="pct" w:w="24%"/>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Type Safety</w:t>
            </w:r>
          </w:p>
        </w:tc>
        <w:tc>
          <w:tcPr>
            <w:tcW w:type="pct" w:w="32%"/>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Best For</w:t>
            </w:r>
          </w:p>
        </w:tc>
        <w:tc>
          <w:tcPr>
            <w:tcW w:type="pct" w:w="26%"/>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Trade-off</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REST + OpenAPI</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Code-generated from spec</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Public APIs, mobile clients, multi-client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Requires codegen step; spec maintenance</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tRPC</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Inferred from backend types (zero-step)</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Next.js full-stack TypeScript, single codebase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Tightly couples frontend to backend; TS only</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GraphQL</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Code-generated from SDL</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Mobile clients, flexible query shapes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Complexity; N+1 query risk; codegen needed</w:t>
            </w:r>
          </w:p>
        </w:tc>
      </w:tr>
      <w:tr>
        <w:trPr>
          <w:cantSplit/>
        </w:trPr>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gRPC</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Code-generated from protobuf</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Internal service-to-service, high-throughput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Not browser-friendly; overkill for web frontends</w:t>
            </w:r>
          </w:p>
        </w:tc>
      </w:tr>
    </w:tbl>
    <w:p>
      <w:pPr>
        <w:spacing w:after="200" w:before="80" w:line="312"/>
        <w:jc w:val="center"/>
      </w:pPr>
      <w:r>
        <w:rPr>
          <w:rFonts w:ascii="Times New Roman" w:eastAsia="SimSun"/>
          <w:i/>
          <w:iCs/>
          <w:color w:val="606060"/>
          <w:sz w:val="20"/>
          <w:szCs w:val="20"/>
        </w:rPr>
        <w:t xml:space="preserve">Table 4: API style comparison for full-stack TypeScript systems in 2026. For a Next.js full-stack system where the frontend and backend share a codebase, tRPC provides the strongest type safety with the least overhead; for a public API or a multi-client system, REST with OpenAPI codegen is the recommendation.</w:t>
      </w:r>
    </w:p>
    <w:p>
      <w:pPr>
        <w:spacing w:after="120" w:line="312"/>
        <w:ind w:firstLine="360"/>
        <w:jc w:val="both"/>
      </w:pPr>
      <w:r>
        <w:rPr>
          <w:rFonts w:ascii="Times New Roman" w:eastAsia="SimSun"/>
          <w:color w:val="000000"/>
          <w:sz w:val="24"/>
          <w:szCs w:val="24"/>
        </w:rPr>
        <w:t xml:space="preserve">The recommendation for the systems in this report is tRPC for the internal frontend-to-backend communication, where the frontend and the backend are part of the same Next.js application and share a TypeScript codebase, combined with REST and OpenAPI for any public API that the system exposes for third-party integrations. This dual approach is the consensus in 2026: tRPC for the internal communication, where its zero-step type safety eliminates the integration contract problem entirely, and REST for the public API, where the OpenAPI spec provides the contract that third-party clients need. The use of tRPC for the internal communication is the single most effective measure for preventing the integration conflicts the user is concerned about, because the frontend's types are inferred from the backend's types, and any change to the backend is immediately visible to the frontend at build time.</w:t>
      </w:r>
    </w:p>
    <w:p>
      <w:pPr>
        <w:pStyle w:val="Heading1"/>
        <w:spacing w:after="160" w:before="360" w:line="312"/>
      </w:pPr>
      <w:bookmarkStart w:id="100017" w:name="_Toc100017"/>
      <w:r>
        <w:rPr>
          <w:rFonts w:ascii="Arial" w:eastAsia="SimHei"/>
          <w:b/>
          <w:bCs/>
          <w:color w:val="1A2330"/>
          <w:sz w:val="32"/>
          <w:szCs w:val="32"/>
        </w:rPr>
        <w:t xml:space="preserve">8. The Type-Safe Toolchain</w:t>
      </w:r>
      <w:bookmarkEnd w:id="100017"/>
    </w:p>
    <w:p>
      <w:pPr>
        <w:spacing w:after="120" w:line="312"/>
        <w:ind w:firstLine="360"/>
        <w:jc w:val="both"/>
      </w:pPr>
      <w:r>
        <w:rPr>
          <w:rFonts w:ascii="Times New Roman" w:eastAsia="SimSun"/>
          <w:color w:val="000000"/>
          <w:sz w:val="24"/>
          <w:szCs w:val="24"/>
        </w:rPr>
        <w:t xml:space="preserve">The type-safe toolchain is the set of libraries that enforce the integration contract at build time, and it is the toolchain that prevents the runtime disagreements that produce defects. The recommended toolchain for a full-stack TypeScript system in 2026 combines four components: Zod for runtime schema validation, Prisma or Drizzle for database type safety, tRPC for API type safety, and TanStack Query for frontend data fetching. Each component plays a specific role, and together they provide end-to-end type safety from the database to the UI.</w:t>
      </w:r>
    </w:p>
    <w:p>
      <w:pPr>
        <w:pStyle w:val="Heading2"/>
        <w:spacing w:after="120" w:before="280" w:line="312"/>
      </w:pPr>
      <w:bookmarkStart w:id="100018" w:name="_Toc100018"/>
      <w:r>
        <w:rPr>
          <w:rFonts w:ascii="Arial" w:eastAsia="SimHei"/>
          <w:b/>
          <w:bCs/>
          <w:color w:val="1A2330"/>
          <w:sz w:val="28"/>
          <w:szCs w:val="28"/>
        </w:rPr>
        <w:t xml:space="preserve">8.1 Zod for Schema Validation</w:t>
      </w:r>
      <w:bookmarkEnd w:id="100018"/>
    </w:p>
    <w:p>
      <w:pPr>
        <w:spacing w:after="120" w:line="312"/>
        <w:ind w:firstLine="360"/>
        <w:jc w:val="both"/>
      </w:pPr>
      <w:r>
        <w:rPr>
          <w:rFonts w:ascii="Times New Roman" w:eastAsia="SimSun"/>
          <w:color w:val="000000"/>
          <w:sz w:val="24"/>
          <w:szCs w:val="24"/>
        </w:rPr>
        <w:t xml:space="preserve">Zod is a TypeScript-first schema validation library that allows the developer to define a schema once and to use it both to validate inputs at runtime and to infer TypeScript types at build time. In the recommended toolchain, Zod schemas are defined for every API input and output, and the schemas are the single source of truth from which the TypeScript types are inferred. The backend uses the schemas to validate incoming requests, rejecting any request that does not conform; the frontend uses the inferred types to type the API responses, so that any mismatch between the backend's output and the frontend's expectation is detected at build time. The use of Zod eliminates the class of defects where the frontend assumes a field is present and the backend omits it, because the schema is the single definition that both sides use.</w:t>
      </w:r>
    </w:p>
    <w:p>
      <w:pPr>
        <w:pStyle w:val="Heading2"/>
        <w:spacing w:after="120" w:before="280" w:line="312"/>
      </w:pPr>
      <w:bookmarkStart w:id="100019" w:name="_Toc100019"/>
      <w:r>
        <w:rPr>
          <w:rFonts w:ascii="Arial" w:eastAsia="SimHei"/>
          <w:b/>
          <w:bCs/>
          <w:color w:val="1A2330"/>
          <w:sz w:val="28"/>
          <w:szCs w:val="28"/>
        </w:rPr>
        <w:t xml:space="preserve">8.2 Prisma or Drizzle for Database Type Safety</w:t>
      </w:r>
      <w:bookmarkEnd w:id="100019"/>
    </w:p>
    <w:p>
      <w:pPr>
        <w:spacing w:after="120" w:line="312"/>
        <w:ind w:firstLine="360"/>
        <w:jc w:val="both"/>
      </w:pPr>
      <w:r>
        <w:rPr>
          <w:rFonts w:ascii="Times New Roman" w:eastAsia="SimSun"/>
          <w:color w:val="000000"/>
          <w:sz w:val="24"/>
          <w:szCs w:val="24"/>
        </w:rPr>
        <w:t xml:space="preserve">The ORM, whether Prisma or Drizzle, provides the type safety between the database and the backend. The ORM's schema definition is the source of truth for the database tables, and the ORM's query API returns TypeScript types that are inferred from the schema, so that a query for a user returns a strongly-typed user object with the fields defined in the schema. The use of an ORM eliminates the class of defects where the backend's database query returns a different shape than the backend's code expects, because the ORM's types are the single definition that both the query and the code use. The choice between Prisma and Drizzle, as documented in Table 2, is a function of the team's SQL expertise and the deployment's cold-start sensitivity.</w:t>
      </w:r>
    </w:p>
    <w:p>
      <w:pPr>
        <w:pStyle w:val="Heading2"/>
        <w:spacing w:after="120" w:before="280" w:line="312"/>
      </w:pPr>
      <w:bookmarkStart w:id="100020" w:name="_Toc100020"/>
      <w:r>
        <w:rPr>
          <w:rFonts w:ascii="Arial" w:eastAsia="SimHei"/>
          <w:b/>
          <w:bCs/>
          <w:color w:val="1A2330"/>
          <w:sz w:val="28"/>
          <w:szCs w:val="28"/>
        </w:rPr>
        <w:t xml:space="preserve">8.3 tRPC for API Type Safety</w:t>
      </w:r>
      <w:bookmarkEnd w:id="100020"/>
    </w:p>
    <w:p>
      <w:pPr>
        <w:spacing w:after="120" w:line="312"/>
        <w:ind w:firstLine="360"/>
        <w:jc w:val="both"/>
      </w:pPr>
      <w:r>
        <w:rPr>
          <w:rFonts w:ascii="Times New Roman" w:eastAsia="SimSun"/>
          <w:color w:val="000000"/>
          <w:sz w:val="24"/>
          <w:szCs w:val="24"/>
        </w:rPr>
        <w:t xml:space="preserve">tRPC is the component that provides the type safety between the backend and the frontend, and it is the component that most directly addresses the integration problem the user is concerned about. In a tRPC system, the backend defines procedures, each with an input schema and an output schema, and the frontend calls these procedures as if they were local functions. The TypeScript types of the procedures are inferred from the backend's definitions and are available to the frontend without any code-generation step, so that a change to a backend procedure's input or output is immediately visible to the frontend at build time. The use of tRPC eliminates the integration contract problem entirely for the internal frontend-to-backend communication, because the contract is the backend's TypeScript types, and it is enforced at build time on both sides.</w:t>
      </w:r>
    </w:p>
    <w:p>
      <w:pPr>
        <w:pStyle w:val="Heading2"/>
        <w:spacing w:after="120" w:before="280" w:line="312"/>
      </w:pPr>
      <w:bookmarkStart w:id="100021" w:name="_Toc100021"/>
      <w:r>
        <w:rPr>
          <w:rFonts w:ascii="Arial" w:eastAsia="SimHei"/>
          <w:b/>
          <w:bCs/>
          <w:color w:val="1A2330"/>
          <w:sz w:val="28"/>
          <w:szCs w:val="28"/>
        </w:rPr>
        <w:t xml:space="preserve">8.4 TanStack Query for Frontend Data Fetching</w:t>
      </w:r>
      <w:bookmarkEnd w:id="100021"/>
    </w:p>
    <w:p>
      <w:pPr>
        <w:spacing w:after="120" w:line="312"/>
        <w:ind w:firstLine="360"/>
        <w:jc w:val="both"/>
      </w:pPr>
      <w:r>
        <w:rPr>
          <w:rFonts w:ascii="Times New Roman" w:eastAsia="SimSun"/>
          <w:color w:val="000000"/>
          <w:sz w:val="24"/>
          <w:szCs w:val="24"/>
        </w:rPr>
        <w:t xml:space="preserve">TanStack Query, formerly known as React Query, is the frontend data-fetching library that manages the cache, the loading states, the error states, and the optimistic updates. In the recommended toolchain, TanStack Query is used with tRPC, so that each tRPC procedure is wrapped in a TanStack Query hook that provides the loading, error, and data states, and that handles the cache invalidation when a mutation succeeds. The use of TanStack Query eliminates the boilerplate of managing the loading and error states manually, and it provides the optimistic-update pattern that makes the UI feel responsive even when the network is slow. The combination of tRPC and TanStack Query is the consensus frontend data-fetching stack for full-stack TypeScript systems in 2026.</w:t>
      </w:r>
    </w:p>
    <w:p>
      <w:pPr>
        <w:pStyle w:val="Heading2"/>
        <w:spacing w:after="120" w:before="280" w:line="312"/>
      </w:pPr>
      <w:bookmarkStart w:id="100022" w:name="_Toc100022"/>
      <w:r>
        <w:rPr>
          <w:rFonts w:ascii="Arial" w:eastAsia="SimHei"/>
          <w:b/>
          <w:bCs/>
          <w:color w:val="1A2330"/>
          <w:sz w:val="28"/>
          <w:szCs w:val="28"/>
        </w:rPr>
        <w:t xml:space="preserve">8.5 The Integration Contract in Code</w:t>
      </w:r>
      <w:bookmarkEnd w:id="100022"/>
    </w:p>
    <w:p>
      <w:pPr>
        <w:spacing w:after="120" w:line="312"/>
        <w:ind w:firstLine="360"/>
        <w:jc w:val="both"/>
      </w:pPr>
      <w:r>
        <w:rPr>
          <w:rFonts w:ascii="Times New Roman" w:eastAsia="SimSun"/>
          <w:color w:val="000000"/>
          <w:sz w:val="24"/>
          <w:szCs w:val="24"/>
        </w:rPr>
        <w:t xml:space="preserve">The following code block shows the integration contract as it appears in a real Next.js system, with the Zod schema, the tRPC procedure, and the TanStack Query hook on the frontend. This is the pattern the AI builder should be directed to implement for every API endpoint, because it is the pattern that enforces the contract at build time and that prevents the integration conflicts.</w:t>
      </w:r>
    </w:p>
    <w:tbl>
      <w:tblPr>
        <w:tblW w:type="pct" w:w="100%"/>
        <w:tblBorders>
          <w:top w:val="single" w:color="A8623D" w:sz="4"/>
          <w:left w:val="none" w:color="FFFFFF" w:sz="0"/>
          <w:bottom w:val="single" w:color="A8623D" w:sz="4"/>
          <w:right w:val="none" w:color="FFFFFF" w:sz="0"/>
          <w:insideH w:val="none" w:color="FFFFFF" w:sz="0"/>
          <w:insideV w:val="none" w:color="FFFFFF" w:sz="0"/>
        </w:tblBorders>
        <w:tblLayout w:type="fixed"/>
      </w:tblPr>
      <w:tblGrid>
        <w:gridCol w:w="100"/>
      </w:tblGrid>
      <w:tr>
        <w:trPr>
          <w:cantSplit w:val="false"/>
        </w:trPr>
        <w:tc>
          <w:tcPr>
            <w:tcW w:type="pct" w:w="100%"/>
            <w:shd w:fill="F5F2EE" w:val="clear"/>
            <w:tcMar>
              <w:top w:type="dxa" w:w="120"/>
              <w:left w:type="dxa" w:w="200"/>
              <w:bottom w:type="dxa" w:w="120"/>
              <w:right w:type="dxa" w:w="200"/>
            </w:tcMar>
          </w:tcPr>
          <w:p>
            <w:pPr>
              <w:spacing w:after="0" w:line="280"/>
            </w:pPr>
            <w:r>
              <w:rPr>
                <w:rFonts w:ascii="Consolas" w:eastAsia="Consolas"/>
                <w:color w:val="1F2937"/>
                <w:sz w:val="19"/>
                <w:szCs w:val="19"/>
              </w:rPr>
              <w:t xml:space="preserve">// backend: schema, procedure, router (the single source of truth)</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1. Zod schema — defines the input and output shapes</w:t>
            </w:r>
          </w:p>
          <w:p>
            <w:pPr>
              <w:spacing w:after="0" w:line="280"/>
            </w:pPr>
            <w:r>
              <w:rPr>
                <w:rFonts w:ascii="Consolas" w:eastAsia="Consolas"/>
                <w:color w:val="1F2937"/>
                <w:sz w:val="19"/>
                <w:szCs w:val="19"/>
              </w:rPr>
              <w:t xml:space="preserve">const createBookingInput = z.object({</w:t>
            </w:r>
          </w:p>
          <w:p>
            <w:pPr>
              <w:spacing w:after="0" w:line="280"/>
            </w:pPr>
            <w:r>
              <w:rPr>
                <w:rFonts w:ascii="Consolas" w:eastAsia="Consolas"/>
                <w:color w:val="1F2937"/>
                <w:sz w:val="19"/>
                <w:szCs w:val="19"/>
              </w:rPr>
              <w:t xml:space="preserve">  providerId: z.string().uuid(),</w:t>
            </w:r>
          </w:p>
          <w:p>
            <w:pPr>
              <w:spacing w:after="0" w:line="280"/>
            </w:pPr>
            <w:r>
              <w:rPr>
                <w:rFonts w:ascii="Consolas" w:eastAsia="Consolas"/>
                <w:color w:val="1F2937"/>
                <w:sz w:val="19"/>
                <w:szCs w:val="19"/>
              </w:rPr>
              <w:t xml:space="preserve">  serviceId: z.string().uuid(),</w:t>
            </w:r>
          </w:p>
          <w:p>
            <w:pPr>
              <w:spacing w:after="0" w:line="280"/>
            </w:pPr>
            <w:r>
              <w:rPr>
                <w:rFonts w:ascii="Consolas" w:eastAsia="Consolas"/>
                <w:color w:val="1F2937"/>
                <w:sz w:val="19"/>
                <w:szCs w:val="19"/>
              </w:rPr>
              <w:t xml:space="preserve">  startAt: z.string().datetime(),</w:t>
            </w:r>
          </w:p>
          <w:p>
            <w:pPr>
              <w:spacing w:after="0" w:line="280"/>
            </w:pPr>
            <w:r>
              <w:rPr>
                <w:rFonts w:ascii="Consolas" w:eastAsia="Consolas"/>
                <w:color w:val="1F2937"/>
                <w:sz w:val="19"/>
                <w:szCs w:val="19"/>
              </w:rPr>
              <w:t xml:space="preserve">});</w:t>
            </w:r>
          </w:p>
          <w:p>
            <w:pPr>
              <w:spacing w:after="0" w:line="280"/>
            </w:pPr>
            <w:r>
              <w:rPr>
                <w:rFonts w:ascii="Consolas" w:eastAsia="Consolas"/>
                <w:color w:val="1F2937"/>
                <w:sz w:val="19"/>
                <w:szCs w:val="19"/>
              </w:rPr>
              <w:t xml:space="preserve">const bookingOutput = z.object({</w:t>
            </w:r>
          </w:p>
          <w:p>
            <w:pPr>
              <w:spacing w:after="0" w:line="280"/>
            </w:pPr>
            <w:r>
              <w:rPr>
                <w:rFonts w:ascii="Consolas" w:eastAsia="Consolas"/>
                <w:color w:val="1F2937"/>
                <w:sz w:val="19"/>
                <w:szCs w:val="19"/>
              </w:rPr>
              <w:t xml:space="preserve">  id: z.string().uuid(),</w:t>
            </w:r>
          </w:p>
          <w:p>
            <w:pPr>
              <w:spacing w:after="0" w:line="280"/>
            </w:pPr>
            <w:r>
              <w:rPr>
                <w:rFonts w:ascii="Consolas" w:eastAsia="Consolas"/>
                <w:color w:val="1F2937"/>
                <w:sz w:val="19"/>
                <w:szCs w:val="19"/>
              </w:rPr>
              <w:t xml:space="preserve">  providerId: z.string().uuid(),</w:t>
            </w:r>
          </w:p>
          <w:p>
            <w:pPr>
              <w:spacing w:after="0" w:line="280"/>
            </w:pPr>
            <w:r>
              <w:rPr>
                <w:rFonts w:ascii="Consolas" w:eastAsia="Consolas"/>
                <w:color w:val="1F2937"/>
                <w:sz w:val="19"/>
                <w:szCs w:val="19"/>
              </w:rPr>
              <w:t xml:space="preserve">  serviceId: z.string().uuid(),</w:t>
            </w:r>
          </w:p>
          <w:p>
            <w:pPr>
              <w:spacing w:after="0" w:line="280"/>
            </w:pPr>
            <w:r>
              <w:rPr>
                <w:rFonts w:ascii="Consolas" w:eastAsia="Consolas"/>
                <w:color w:val="1F2937"/>
                <w:sz w:val="19"/>
                <w:szCs w:val="19"/>
              </w:rPr>
              <w:t xml:space="preserve">  startAt: z.string().datetime(),</w:t>
            </w:r>
          </w:p>
          <w:p>
            <w:pPr>
              <w:spacing w:after="0" w:line="280"/>
            </w:pPr>
            <w:r>
              <w:rPr>
                <w:rFonts w:ascii="Consolas" w:eastAsia="Consolas"/>
                <w:color w:val="1F2937"/>
                <w:sz w:val="19"/>
                <w:szCs w:val="19"/>
              </w:rPr>
              <w:t xml:space="preserve">  endAt: z.string().datetime(),</w:t>
            </w:r>
          </w:p>
          <w:p>
            <w:pPr>
              <w:spacing w:after="0" w:line="280"/>
            </w:pPr>
            <w:r>
              <w:rPr>
                <w:rFonts w:ascii="Consolas" w:eastAsia="Consolas"/>
                <w:color w:val="1F2937"/>
                <w:sz w:val="19"/>
                <w:szCs w:val="19"/>
              </w:rPr>
              <w:t xml:space="preserve">  status: z.enum(['pending', 'confirmed', 'cancelled']),</w:t>
            </w:r>
          </w:p>
          <w:p>
            <w:pPr>
              <w:spacing w:after="0" w:line="280"/>
            </w:pPr>
            <w:r>
              <w:rPr>
                <w:rFonts w:ascii="Consolas" w:eastAsia="Consolas"/>
                <w:color w:val="1F2937"/>
                <w:sz w:val="19"/>
                <w:szCs w:val="19"/>
              </w:rPr>
              <w:t xml:space="preserv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2. tRPC procedure — uses the schema, returns typed output</w:t>
            </w:r>
          </w:p>
          <w:p>
            <w:pPr>
              <w:spacing w:after="0" w:line="280"/>
            </w:pPr>
            <w:r>
              <w:rPr>
                <w:rFonts w:ascii="Consolas" w:eastAsia="Consolas"/>
                <w:color w:val="1F2937"/>
                <w:sz w:val="19"/>
                <w:szCs w:val="19"/>
              </w:rPr>
              <w:t xml:space="preserve">export const bookingRouter = t.router({</w:t>
            </w:r>
          </w:p>
          <w:p>
            <w:pPr>
              <w:spacing w:after="0" w:line="280"/>
            </w:pPr>
            <w:r>
              <w:rPr>
                <w:rFonts w:ascii="Consolas" w:eastAsia="Consolas"/>
                <w:color w:val="1F2937"/>
                <w:sz w:val="19"/>
                <w:szCs w:val="19"/>
              </w:rPr>
              <w:t xml:space="preserve">  create: t.procedure</w:t>
            </w:r>
          </w:p>
          <w:p>
            <w:pPr>
              <w:spacing w:after="0" w:line="280"/>
            </w:pPr>
            <w:r>
              <w:rPr>
                <w:rFonts w:ascii="Consolas" w:eastAsia="Consolas"/>
                <w:color w:val="1F2937"/>
                <w:sz w:val="19"/>
                <w:szCs w:val="19"/>
              </w:rPr>
              <w:t xml:space="preserve">    .input(createBookingInput)</w:t>
            </w:r>
          </w:p>
          <w:p>
            <w:pPr>
              <w:spacing w:after="0" w:line="280"/>
            </w:pPr>
            <w:r>
              <w:rPr>
                <w:rFonts w:ascii="Consolas" w:eastAsia="Consolas"/>
                <w:color w:val="1F2937"/>
                <w:sz w:val="19"/>
                <w:szCs w:val="19"/>
              </w:rPr>
              <w:t xml:space="preserve">    .output(bookingOutput)</w:t>
            </w:r>
          </w:p>
          <w:p>
            <w:pPr>
              <w:spacing w:after="0" w:line="280"/>
            </w:pPr>
            <w:r>
              <w:rPr>
                <w:rFonts w:ascii="Consolas" w:eastAsia="Consolas"/>
                <w:color w:val="1F2937"/>
                <w:sz w:val="19"/>
                <w:szCs w:val="19"/>
              </w:rPr>
              <w:t xml:space="preserve">    .mutation(async ({ input, ctx }) =&gt; {</w:t>
            </w:r>
          </w:p>
          <w:p>
            <w:pPr>
              <w:spacing w:after="0" w:line="280"/>
            </w:pPr>
            <w:r>
              <w:rPr>
                <w:rFonts w:ascii="Consolas" w:eastAsia="Consolas"/>
                <w:color w:val="1F2937"/>
                <w:sz w:val="19"/>
                <w:szCs w:val="19"/>
              </w:rPr>
              <w:t xml:space="preserve">      // ctx.db is the Prisma/Drizzle client, fully typed</w:t>
            </w:r>
          </w:p>
          <w:p>
            <w:pPr>
              <w:spacing w:after="0" w:line="280"/>
            </w:pPr>
            <w:r>
              <w:rPr>
                <w:rFonts w:ascii="Consolas" w:eastAsia="Consolas"/>
                <w:color w:val="1F2937"/>
                <w:sz w:val="19"/>
                <w:szCs w:val="19"/>
              </w:rPr>
              <w:t xml:space="preserve">      const booking = await ctx.db.booking.create({ data: { ...input, status: 'pending' } });</w:t>
            </w:r>
          </w:p>
          <w:p>
            <w:pPr>
              <w:spacing w:after="0" w:line="280"/>
            </w:pPr>
            <w:r>
              <w:rPr>
                <w:rFonts w:ascii="Consolas" w:eastAsia="Consolas"/>
                <w:color w:val="1F2937"/>
                <w:sz w:val="19"/>
                <w:szCs w:val="19"/>
              </w:rPr>
              <w:t xml:space="preserve">      return booking; // type-checked against bookingOutput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frontend: the call is type-inferred from the backend, no codegen</w:t>
            </w:r>
          </w:p>
          <w:p>
            <w:pPr>
              <w:spacing w:after="0" w:line="280"/>
            </w:pPr>
            <w:r>
              <w:rPr>
                <w:rFonts w:ascii="Consolas" w:eastAsia="Consolas"/>
                <w:color w:val="1F2937"/>
                <w:sz w:val="19"/>
                <w:szCs w:val="19"/>
              </w:rPr>
              <w:t xml:space="preserve">const mutation = trpc.booking.create.useMutation({</w:t>
            </w:r>
          </w:p>
          <w:p>
            <w:pPr>
              <w:spacing w:after="0" w:line="280"/>
            </w:pPr>
            <w:r>
              <w:rPr>
                <w:rFonts w:ascii="Consolas" w:eastAsia="Consolas"/>
                <w:color w:val="1F2937"/>
                <w:sz w:val="19"/>
                <w:szCs w:val="19"/>
              </w:rPr>
              <w:t xml:space="preserve">  onSuccess: (data) =&gt; {</w:t>
            </w:r>
          </w:p>
          <w:p>
            <w:pPr>
              <w:spacing w:after="0" w:line="280"/>
            </w:pPr>
            <w:r>
              <w:rPr>
                <w:rFonts w:ascii="Consolas" w:eastAsia="Consolas"/>
                <w:color w:val="1F2937"/>
                <w:sz w:val="19"/>
                <w:szCs w:val="19"/>
              </w:rPr>
              <w:t xml:space="preserve">    // data is typed as bookingOutput, fully inferred</w:t>
            </w:r>
          </w:p>
          <w:p>
            <w:pPr>
              <w:spacing w:after="0" w:line="280"/>
            </w:pPr>
            <w:r>
              <w:rPr>
                <w:rFonts w:ascii="Consolas" w:eastAsia="Consolas"/>
                <w:color w:val="1F2937"/>
                <w:sz w:val="19"/>
                <w:szCs w:val="19"/>
              </w:rPr>
              <w:t xml:space="preserve">    queryClient.invalidateQueries({ queryKey: ['bookings']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w:t>
            </w:r>
          </w:p>
          <w:p>
            <w:pPr>
              <w:spacing w:after="0" w:line="280"/>
            </w:pPr>
            <w:r>
              <w:rPr>
                <w:rFonts w:ascii="Consolas" w:eastAsia="Consolas"/>
                <w:color w:val="1F2937"/>
                <w:sz w:val="19"/>
                <w:szCs w:val="19"/>
              </w:rPr>
              <w:t xml:space="preserve">// mutation.mutate({ providerId, serviceId, startAt }) — input type-checked</w:t>
            </w:r>
          </w:p>
        </w:tc>
      </w:tr>
    </w:tbl>
    <w:p>
      <w:pPr>
        <w:spacing w:after="120" w:line="312"/>
        <w:ind w:firstLine="360"/>
        <w:jc w:val="both"/>
      </w:pPr>
      <w:r>
        <w:rPr>
          <w:rFonts w:ascii="Times New Roman" w:eastAsia="SimSun"/>
          <w:color w:val="000000"/>
          <w:sz w:val="24"/>
          <w:szCs w:val="24"/>
        </w:rPr>
        <w:t xml:space="preserve">The code block illustrates the contract enforcement. The Zod schema defines the shape; the tRPC procedure uses the schema for input and output; the Prisma client is typed by the schema; and the frontend's mutation is typed by the backend's procedure. A change to any of these is immediately visible at build time on both sides, and the integration conflict cannot arise. This is the pattern that the AI builder must be directed to implement, and the prompt that directs it must specify the pattern explicitly.</w:t>
      </w:r>
    </w:p>
    <w:p>
      <w:pPr>
        <w:pStyle w:val="Heading1"/>
        <w:spacing w:after="160" w:before="360" w:line="312"/>
      </w:pPr>
      <w:bookmarkStart w:id="100023" w:name="_Toc100023"/>
      <w:r>
        <w:rPr>
          <w:rFonts w:ascii="Arial" w:eastAsia="SimHei"/>
          <w:b/>
          <w:bCs/>
          <w:color w:val="1A2330"/>
          <w:sz w:val="32"/>
          <w:szCs w:val="32"/>
        </w:rPr>
        <w:t xml:space="preserve">9. Error Handling, Pagination, and Optimistic Updates</w:t>
      </w:r>
      <w:bookmarkEnd w:id="100023"/>
    </w:p>
    <w:p>
      <w:pPr>
        <w:spacing w:after="120" w:line="312"/>
        <w:ind w:firstLine="360"/>
        <w:jc w:val="both"/>
      </w:pPr>
      <w:r>
        <w:rPr>
          <w:rFonts w:ascii="Times New Roman" w:eastAsia="SimSun"/>
          <w:color w:val="000000"/>
          <w:sz w:val="24"/>
          <w:szCs w:val="24"/>
        </w:rPr>
        <w:t xml:space="preserve">The integration contract covers the happy path; the error handling, the pagination, and the optimistic updates cover the patterns that make the system robust and responsive under real conditions. These patterns are the ones most often omitted by an undirected AI builder, and their omission is a common source of the defects that make a system feel unfinished.</w:t>
      </w:r>
    </w:p>
    <w:p>
      <w:pPr>
        <w:pStyle w:val="Heading2"/>
        <w:spacing w:after="120" w:before="280" w:line="312"/>
      </w:pPr>
      <w:bookmarkStart w:id="100024" w:name="_Toc100024"/>
      <w:r>
        <w:rPr>
          <w:rFonts w:ascii="Arial" w:eastAsia="SimHei"/>
          <w:b/>
          <w:bCs/>
          <w:color w:val="1A2330"/>
          <w:sz w:val="28"/>
          <w:szCs w:val="28"/>
        </w:rPr>
        <w:t xml:space="preserve">9.1 Error Handling</w:t>
      </w:r>
      <w:bookmarkEnd w:id="100024"/>
    </w:p>
    <w:p>
      <w:pPr>
        <w:spacing w:after="120" w:line="312"/>
        <w:ind w:firstLine="360"/>
        <w:jc w:val="both"/>
      </w:pPr>
      <w:r>
        <w:rPr>
          <w:rFonts w:ascii="Times New Roman" w:eastAsia="SimSun"/>
          <w:color w:val="000000"/>
          <w:sz w:val="24"/>
          <w:szCs w:val="24"/>
        </w:rPr>
        <w:t xml:space="preserve">The error handling pattern must be consistent across the system, so that the frontend can handle every backend error in the same way. The recommended pattern is the discriminated union error response, where every error response has a shape with a code field that identifies the error type and a message field that is human-readable. The backend uses a typed error class that produces this shape, and the frontend uses a type-narrowing pattern to handle each error code specifically. The tRPC and TanStack Query toolchain supports this pattern natively, and the AI builder should be directed to use it for every endpoint.</w:t>
      </w:r>
    </w:p>
    <w:p>
      <w:pPr>
        <w:pStyle w:val="Heading2"/>
        <w:spacing w:after="120" w:before="280" w:line="312"/>
      </w:pPr>
      <w:bookmarkStart w:id="100025" w:name="_Toc100025"/>
      <w:r>
        <w:rPr>
          <w:rFonts w:ascii="Arial" w:eastAsia="SimHei"/>
          <w:b/>
          <w:bCs/>
          <w:color w:val="1A2330"/>
          <w:sz w:val="28"/>
          <w:szCs w:val="28"/>
        </w:rPr>
        <w:t xml:space="preserve">9.2 Pagination</w:t>
      </w:r>
      <w:bookmarkEnd w:id="100025"/>
    </w:p>
    <w:p>
      <w:pPr>
        <w:spacing w:after="120" w:line="312"/>
        <w:ind w:firstLine="360"/>
        <w:jc w:val="both"/>
      </w:pPr>
      <w:r>
        <w:rPr>
          <w:rFonts w:ascii="Times New Roman" w:eastAsia="SimSun"/>
          <w:color w:val="000000"/>
          <w:sz w:val="24"/>
          <w:szCs w:val="24"/>
        </w:rPr>
        <w:t xml:space="preserve">The pagination pattern must be specified for every list endpoint, because the unpaginated list endpoint is a defect that manifests at scale when the list grows beyond what the frontend can render or the network can transfer. The recommended pattern is cursor-based pagination, where each page returns a cursor that the client uses to request the next page, because cursor-based pagination is stable under data insertion and deletion, unlike offset-based pagination which can skip or duplicate records when data changes between pages. The tRPC and TanStack Query toolchain supports cursor-based pagination through the useInfiniteQuery hook, and the AI builder should be directed to use it for every list endpoint that can grow.</w:t>
      </w:r>
    </w:p>
    <w:p>
      <w:pPr>
        <w:pStyle w:val="Heading2"/>
        <w:spacing w:after="120" w:before="280" w:line="312"/>
      </w:pPr>
      <w:bookmarkStart w:id="100026" w:name="_Toc100026"/>
      <w:r>
        <w:rPr>
          <w:rFonts w:ascii="Arial" w:eastAsia="SimHei"/>
          <w:b/>
          <w:bCs/>
          <w:color w:val="1A2330"/>
          <w:sz w:val="28"/>
          <w:szCs w:val="28"/>
        </w:rPr>
        <w:t xml:space="preserve">9.3 Optimistic Updates</w:t>
      </w:r>
      <w:bookmarkEnd w:id="100026"/>
    </w:p>
    <w:p>
      <w:pPr>
        <w:spacing w:after="120" w:line="312"/>
        <w:ind w:firstLine="360"/>
        <w:jc w:val="both"/>
      </w:pPr>
      <w:r>
        <w:rPr>
          <w:rFonts w:ascii="Times New Roman" w:eastAsia="SimSun"/>
          <w:color w:val="000000"/>
          <w:sz w:val="24"/>
          <w:szCs w:val="24"/>
        </w:rPr>
        <w:t xml:space="preserve">The optimistic update pattern is the pattern where the frontend updates the UI immediately, before the backend has confirmed the mutation, so that the UI feels responsive even when the network is slow. The pattern requires that the frontend can compute the expected result of the mutation, that it updates the cache with the expected result, and that it rolls back the update if the mutation fails. TanStack Query supports this pattern through the onMutate callback, and the AI builder should be directed to use it for every mutation that the user perceives as instant, such as a toggle, a like, or a status change. The pattern is not appropriate for mutations that the user expects to be slow, such as a payment or a file upload, where the perceived responsiveness comes from a progress indicator rather than from an instant update.</w:t>
      </w:r>
    </w:p>
    <w:p>
      <w:pPr>
        <w:pStyle w:val="Heading1"/>
        <w:spacing w:after="160" w:before="360" w:line="312"/>
      </w:pPr>
      <w:bookmarkStart w:id="100027" w:name="_Toc100027"/>
      <w:r>
        <w:rPr>
          <w:rFonts w:ascii="Arial" w:eastAsia="SimHei"/>
          <w:b/>
          <w:bCs/>
          <w:color w:val="1A2330"/>
          <w:sz w:val="32"/>
          <w:szCs w:val="32"/>
        </w:rPr>
        <w:t xml:space="preserve">10. Per-System Data Flow: Frontend, API, and Database</w:t>
      </w:r>
      <w:bookmarkEnd w:id="100027"/>
    </w:p>
    <w:p>
      <w:pPr>
        <w:spacing w:after="120" w:line="312"/>
        <w:ind w:firstLine="360"/>
        <w:jc w:val="both"/>
      </w:pPr>
      <w:r>
        <w:rPr>
          <w:rFonts w:ascii="Times New Roman" w:eastAsia="SimSun"/>
          <w:color w:val="000000"/>
          <w:sz w:val="24"/>
          <w:szCs w:val="24"/>
        </w:rPr>
        <w:t xml:space="preserve">This section documents, for each of the eight systems, the data flow of the primary user journey, showing how the frontend, the API, and the database interact. The data flow is the specification that the AI builder follows to implement the integration, and it is the specification that prevents the integration conflicts. For each system, the section identifies the primary journey, the components involved, the API calls, the database queries, and the cache and queue interactions. The data flows are presented in a consistent format so that the AI builder can follow them uniformly.</w:t>
      </w:r>
    </w:p>
    <w:p>
      <w:pPr>
        <w:pStyle w:val="Heading2"/>
        <w:spacing w:after="120" w:before="280" w:line="312"/>
      </w:pPr>
      <w:bookmarkStart w:id="100028" w:name="_Toc100028"/>
      <w:r>
        <w:rPr>
          <w:rFonts w:ascii="Arial" w:eastAsia="SimHei"/>
          <w:b/>
          <w:bCs/>
          <w:color w:val="1A2330"/>
          <w:sz w:val="28"/>
          <w:szCs w:val="28"/>
        </w:rPr>
        <w:t xml:space="preserve">10.1 Multi-Tenant SaaS: The Tenant Provisioning Flow</w:t>
      </w:r>
      <w:bookmarkEnd w:id="100028"/>
    </w:p>
    <w:p>
      <w:pPr>
        <w:spacing w:after="120" w:line="312"/>
        <w:ind w:firstLine="360"/>
        <w:jc w:val="both"/>
      </w:pPr>
      <w:r>
        <w:rPr>
          <w:rFonts w:ascii="Times New Roman" w:eastAsia="SimSun"/>
          <w:color w:val="000000"/>
          <w:sz w:val="24"/>
          <w:szCs w:val="24"/>
        </w:rPr>
        <w:t xml:space="preserve">The primary journey for a multi-tenant SaaS platform is the tenant provisioning flow, in which a new customer signs up and a new tenant is created. The frontend collects the customer's email, company name, and plan selection, and submits the form. The API receives the request, validates the input with the Zod schema, creates the Tenant record in PostgreSQL, creates the initial administrative User, provisions the default Subscription, and emits a tenant.created event to the message queue. The event is consumed by a worker that sends the welcome email, configures the default feature flags, and schedules the onboarding outreach. The frontend, on receiving the success response, redirects to the tenant's dashboard. The cache is used to store the new user's session, and the database enforces the tenant_id column and the row-level security policy on every subsequent request.</w:t>
      </w:r>
    </w:p>
    <w:p>
      <w:pPr>
        <w:pStyle w:val="Heading2"/>
        <w:spacing w:after="120" w:before="280" w:line="312"/>
      </w:pPr>
      <w:bookmarkStart w:id="100029" w:name="_Toc100029"/>
      <w:r>
        <w:rPr>
          <w:rFonts w:ascii="Arial" w:eastAsia="SimHei"/>
          <w:b/>
          <w:bCs/>
          <w:color w:val="1A2330"/>
          <w:sz w:val="28"/>
          <w:szCs w:val="28"/>
        </w:rPr>
        <w:t xml:space="preserve">10.2 E-Commerce: The Checkout Flow</w:t>
      </w:r>
      <w:bookmarkEnd w:id="100029"/>
    </w:p>
    <w:p>
      <w:pPr>
        <w:spacing w:after="120" w:line="312"/>
        <w:ind w:firstLine="360"/>
        <w:jc w:val="both"/>
      </w:pPr>
      <w:r>
        <w:rPr>
          <w:rFonts w:ascii="Times New Roman" w:eastAsia="SimSun"/>
          <w:color w:val="000000"/>
          <w:sz w:val="24"/>
          <w:szCs w:val="24"/>
        </w:rPr>
        <w:t xml:space="preserve">The primary journey for an e-commerce system is the checkout flow, in which a customer completes a purchase. The frontend loads the cart from Redis (where it was stored for fast access), displays the checkout form, and submits the payment information directly to the payment processor, which returns a token. The API receives the token, the shipping address, and the cart contents, validates the input, computes the tax, creates the Order record in PostgreSQL in pending status, charges the payment through the token, and on success transitions the order to paid status and decrements the inventory. The API then emits an order.created event to the queue, which is consumed by the fulfillment worker. The frontend, on receiving the success response, displays the order confirmation. The cache is used for the cart and for the product catalog hot path; the search infrastructure is used for the product search that preceded the checkout; the object storage holds the product images that the frontend loaded.</w:t>
      </w:r>
    </w:p>
    <w:p>
      <w:pPr>
        <w:pStyle w:val="Heading2"/>
        <w:spacing w:after="120" w:before="280" w:line="312"/>
      </w:pPr>
      <w:bookmarkStart w:id="100030" w:name="_Toc100030"/>
      <w:r>
        <w:rPr>
          <w:rFonts w:ascii="Arial" w:eastAsia="SimHei"/>
          <w:b/>
          <w:bCs/>
          <w:color w:val="1A2330"/>
          <w:sz w:val="28"/>
          <w:szCs w:val="28"/>
        </w:rPr>
        <w:t xml:space="preserve">10.3 CRM: The Lead-to-Opportunity Conversion Flow</w:t>
      </w:r>
      <w:bookmarkEnd w:id="100030"/>
    </w:p>
    <w:p>
      <w:pPr>
        <w:spacing w:after="120" w:line="312"/>
        <w:ind w:firstLine="360"/>
        <w:jc w:val="both"/>
      </w:pPr>
      <w:r>
        <w:rPr>
          <w:rFonts w:ascii="Times New Roman" w:eastAsia="SimSun"/>
          <w:color w:val="000000"/>
          <w:sz w:val="24"/>
          <w:szCs w:val="24"/>
        </w:rPr>
        <w:t xml:space="preserve">The primary journey for a CRM is the lead-to-opportunity conversion, in which a sales representative qualifies a lead and converts it into a contact, an account, and an opportunity. The frontend displays the lead record, the representative clicks convert, and the API receives the request, validates that the lead is in a convertible status, creates the Contact, Account, and Opportunity records in PostgreSQL within a transaction, marks the lead as converted, and emits a lead.converted event. The event is consumed by a worker that updates the forecasting, sends a notification to the sales manager, and triggers any configured workflow. The frontend, on receiving the success response, redirects to the new opportunity record. The search infrastructure is used for the lead and contact search; the cache is used for the frequently accessed pipeline and stage definitions.</w:t>
      </w:r>
    </w:p>
    <w:p>
      <w:pPr>
        <w:pStyle w:val="Heading2"/>
        <w:spacing w:after="120" w:before="280" w:line="312"/>
      </w:pPr>
      <w:bookmarkStart w:id="100031" w:name="_Toc100031"/>
      <w:r>
        <w:rPr>
          <w:rFonts w:ascii="Arial" w:eastAsia="SimHei"/>
          <w:b/>
          <w:bCs/>
          <w:color w:val="1A2330"/>
          <w:sz w:val="28"/>
          <w:szCs w:val="28"/>
        </w:rPr>
        <w:t xml:space="preserve">10.4 ERP: The Order-to-Cash Flow</w:t>
      </w:r>
      <w:bookmarkEnd w:id="100031"/>
    </w:p>
    <w:p>
      <w:pPr>
        <w:spacing w:after="120" w:line="312"/>
        <w:ind w:firstLine="360"/>
        <w:jc w:val="both"/>
      </w:pPr>
      <w:r>
        <w:rPr>
          <w:rFonts w:ascii="Times New Roman" w:eastAsia="SimSun"/>
          <w:color w:val="000000"/>
          <w:sz w:val="24"/>
          <w:szCs w:val="24"/>
        </w:rPr>
        <w:t xml:space="preserve">The primary journey for an ERP is the order-to-cash flow, in which a sales order is created, fulfilled, and paid. The frontend collects the sales order details, the API creates the SalesOrder record in PostgreSQL, creates the inventory reservation, and creates the accounts-receivable entry, all within a transaction that enforces the double-entry constraint. The warehouse picks and ships the order, which decrements the inventory and creates the Shipment record. The customer invoice is generated and sent, and on payment the API creates the JournalEntry that debits cash and credits accounts receivable. The frontend, at each step, displays the order's current status, which is read from PostgreSQL. The cache is used for the frequently accessed account and item master data; the queue is used for the invoice generation and the notification.</w:t>
      </w:r>
    </w:p>
    <w:p>
      <w:pPr>
        <w:pStyle w:val="Heading2"/>
        <w:spacing w:after="120" w:before="280" w:line="312"/>
      </w:pPr>
      <w:bookmarkStart w:id="100032" w:name="_Toc100032"/>
      <w:r>
        <w:rPr>
          <w:rFonts w:ascii="Arial" w:eastAsia="SimHei"/>
          <w:b/>
          <w:bCs/>
          <w:color w:val="1A2330"/>
          <w:sz w:val="28"/>
          <w:szCs w:val="28"/>
        </w:rPr>
        <w:t xml:space="preserve">10.5 Real-Time Analytics: The Dashboard Update Flow</w:t>
      </w:r>
      <w:bookmarkEnd w:id="100032"/>
    </w:p>
    <w:p>
      <w:pPr>
        <w:spacing w:after="120" w:line="312"/>
        <w:ind w:firstLine="360"/>
        <w:jc w:val="both"/>
      </w:pPr>
      <w:r>
        <w:rPr>
          <w:rFonts w:ascii="Times New Roman" w:eastAsia="SimSun"/>
          <w:color w:val="000000"/>
          <w:sz w:val="24"/>
          <w:szCs w:val="24"/>
        </w:rPr>
        <w:t xml:space="preserve">The primary journey for a real-time analytics dashboard is the live update of a dashboard widget. The frontend loads the dashboard, queries the API for the current metric values, and opens a WebSocket connection. The API queries ClickHouse for the current values, returns them, and then, on a configured interval, queries ClickHouse again, compares the result to the previous result, and pushes the delta through the WebSocket. The events flow from the upstream sources through Kafka into ClickHouse, where they are aggregated by materialized views. The frontend updates only the widgets whose underlying data has changed. The cache is not used for the event data, which lives in ClickHouse; the cache is used for the dashboard and widget configuration, which is stored in PostgreSQL.</w:t>
      </w:r>
    </w:p>
    <w:p>
      <w:pPr>
        <w:pStyle w:val="Heading2"/>
        <w:spacing w:after="120" w:before="280" w:line="312"/>
      </w:pPr>
      <w:bookmarkStart w:id="100033" w:name="_Toc100033"/>
      <w:r>
        <w:rPr>
          <w:rFonts w:ascii="Arial" w:eastAsia="SimHei"/>
          <w:b/>
          <w:bCs/>
          <w:color w:val="1A2330"/>
          <w:sz w:val="28"/>
          <w:szCs w:val="28"/>
        </w:rPr>
        <w:t xml:space="preserve">10.6 AI Application: The Conversation Flow</w:t>
      </w:r>
      <w:bookmarkEnd w:id="100033"/>
    </w:p>
    <w:p>
      <w:pPr>
        <w:spacing w:after="120" w:line="312"/>
        <w:ind w:firstLine="360"/>
        <w:jc w:val="both"/>
      </w:pPr>
      <w:r>
        <w:rPr>
          <w:rFonts w:ascii="Times New Roman" w:eastAsia="SimSun"/>
          <w:color w:val="000000"/>
          <w:sz w:val="24"/>
          <w:szCs w:val="24"/>
        </w:rPr>
        <w:t xml:space="preserve">The primary journey for an AI-powered application is the conversation flow, in which a user sends a message and receives a streamed response. The frontend sends the message through the API, which passes it through the input guardrails, transforms it into a retrieval query, executes the query against the pgvector index in PostgreSQL, assembles the prompt with the retrieved context, calls the model provider, and streams the response back through a server-sent events connection. The response passes through the output guardrails before being displayed. The API records the model call, the retrieval, and the guardrail events in PostgreSQL for observability and for the feedback loop. The cache is used for the conversation history; the vector index is stored in PostgreSQL with pgvector; the object storage holds the source documents.</w:t>
      </w:r>
    </w:p>
    <w:p>
      <w:pPr>
        <w:pStyle w:val="Heading2"/>
        <w:spacing w:after="120" w:before="280" w:line="312"/>
      </w:pPr>
      <w:bookmarkStart w:id="100034" w:name="_Toc100034"/>
      <w:r>
        <w:rPr>
          <w:rFonts w:ascii="Arial" w:eastAsia="SimHei"/>
          <w:b/>
          <w:bCs/>
          <w:color w:val="1A2330"/>
          <w:sz w:val="28"/>
          <w:szCs w:val="28"/>
        </w:rPr>
        <w:t xml:space="preserve">10.7 Booking: The Slot Booking Flow</w:t>
      </w:r>
      <w:bookmarkEnd w:id="100034"/>
    </w:p>
    <w:p>
      <w:pPr>
        <w:spacing w:after="120" w:line="312"/>
        <w:ind w:firstLine="360"/>
        <w:jc w:val="both"/>
      </w:pPr>
      <w:r>
        <w:rPr>
          <w:rFonts w:ascii="Times New Roman" w:eastAsia="SimSun"/>
          <w:color w:val="000000"/>
          <w:sz w:val="24"/>
          <w:szCs w:val="24"/>
        </w:rPr>
        <w:t xml:space="preserve">The primary journey for a booking system is the slot booking flow. The frontend queries the API for the available slots for a provider and a service, the API computes the slots from the provider's availability rules and the existing bookings, and returns them. The user selects a slot, the frontend submits the booking, the API acquires a distributed lock on the slot in Redis, creates the Booking record in PostgreSQL in pending status, processes the payment, and on success transitions the booking to confirmed status and schedules the reminder through the queue. The lock ensures that two customers attempting to book the same slot simultaneously do not both succeed. The frontend, on receiving the success response, displays the booking confirmation. The cache is used for the slot cache and for the distributed lock; the queue is used for the reminders.</w:t>
      </w:r>
    </w:p>
    <w:p>
      <w:pPr>
        <w:pStyle w:val="Heading2"/>
        <w:spacing w:after="120" w:before="280" w:line="312"/>
      </w:pPr>
      <w:bookmarkStart w:id="100035" w:name="_Toc100035"/>
      <w:r>
        <w:rPr>
          <w:rFonts w:ascii="Arial" w:eastAsia="SimHei"/>
          <w:b/>
          <w:bCs/>
          <w:color w:val="1A2330"/>
          <w:sz w:val="28"/>
          <w:szCs w:val="28"/>
        </w:rPr>
        <w:t xml:space="preserve">10.8 LMS: The Assessment Submission Flow</w:t>
      </w:r>
      <w:bookmarkEnd w:id="100035"/>
    </w:p>
    <w:p>
      <w:pPr>
        <w:spacing w:after="120" w:line="312"/>
        <w:ind w:firstLine="360"/>
        <w:jc w:val="both"/>
      </w:pPr>
      <w:r>
        <w:rPr>
          <w:rFonts w:ascii="Times New Roman" w:eastAsia="SimSun"/>
          <w:color w:val="000000"/>
          <w:sz w:val="24"/>
          <w:szCs w:val="24"/>
        </w:rPr>
        <w:t xml:space="preserve">The primary journey for an LMS is the assessment submission flow, in which a learner submits an assessment and receives a score. The frontend displays the assessment questions, the learner answers them, and the frontend submits the responses to the API. The API creates the Attempt record in PostgreSQL in pending status, grades the objective questions automatically, updates the Attempt with the score, and transitions it to submitted status. The API emits an assessment.submitted event, which is consumed by a worker that updates the learner's progress and, if the course issues a certificate, triggers the certificate generation. The frontend, on receiving the success response, displays the score and the feedback. The cache is used for the frequently accessed course and question-bank data; the object storage holds the content packages; the queue is used for the certificate generation.</w:t>
      </w:r>
    </w:p>
    <w:p>
      <w:pPr>
        <w:pStyle w:val="Heading1"/>
        <w:spacing w:after="160" w:before="360" w:line="312"/>
      </w:pPr>
      <w:bookmarkStart w:id="100036" w:name="_Toc100036"/>
      <w:r>
        <w:rPr>
          <w:rFonts w:ascii="Arial" w:eastAsia="SimHei"/>
          <w:b/>
          <w:bCs/>
          <w:color w:val="1A2330"/>
          <w:sz w:val="32"/>
          <w:szCs w:val="32"/>
        </w:rPr>
        <w:t xml:space="preserve">11. Problem, Solution, Impact, and Revenue Mapping</w:t>
      </w:r>
      <w:bookmarkEnd w:id="100036"/>
    </w:p>
    <w:p>
      <w:pPr>
        <w:spacing w:after="120" w:line="312"/>
        <w:ind w:firstLine="360"/>
        <w:jc w:val="both"/>
      </w:pPr>
      <w:r>
        <w:rPr>
          <w:rFonts w:ascii="Times New Roman" w:eastAsia="SimSun"/>
          <w:color w:val="000000"/>
          <w:sz w:val="24"/>
          <w:szCs w:val="24"/>
        </w:rPr>
        <w:t xml:space="preserve">This section maps each of the eight systems to the problem it solves, the positive impact of solving it, the negative impact or risk of the solution, and the monetization mechanism that converts the solving into revenue. The mapping is the business case for each system, and it is the mapping that justifies the build, the stack selection, and the integration effort. A system that does not solve a real problem will not generate revenue, and a system that solves a problem but cannot monetize the solving will not sustain the business.</w:t>
      </w:r>
    </w:p>
    <w:p>
      <w:pPr>
        <w:keepNext/>
        <w:spacing w:after="100" w:before="200" w:line="312"/>
        <w:jc w:val="left"/>
      </w:pPr>
      <w:r>
        <w:rPr>
          <w:rFonts w:ascii="Arial" w:eastAsia="SimHei"/>
          <w:b/>
          <w:bCs/>
          <w:color w:val="1A2330"/>
          <w:sz w:val="22"/>
          <w:szCs w:val="22"/>
        </w:rPr>
        <w:t xml:space="preserve">Table 5: Problem-Solution-Impact-Revenue Mapping for the Eight Systems</w:t>
      </w:r>
    </w:p>
    <w:tbl>
      <w:tblPr>
        <w:tblW w:type="pct" w:w="100%"/>
        <w:tblBorders>
          <w:top w:val="single" w:color="D4875A" w:sz="6"/>
          <w:left w:val="none" w:color="FFFFFF" w:sz="0"/>
          <w:bottom w:val="single" w:color="D4875A" w:sz="6"/>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4%"/>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System</w:t>
            </w:r>
          </w:p>
        </w:tc>
        <w:tc>
          <w:tcPr>
            <w:tcW w:type="pct" w:w="24%"/>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Problem Solved</w:t>
            </w:r>
          </w:p>
        </w:tc>
        <w:tc>
          <w:tcPr>
            <w:tcW w:type="pct" w:w="22%"/>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Positive Impact</w:t>
            </w:r>
          </w:p>
        </w:tc>
        <w:tc>
          <w:tcPr>
            <w:tcW w:type="pct" w:w="20%"/>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Negative Impact / Risk</w:t>
            </w:r>
          </w:p>
        </w:tc>
        <w:tc>
          <w:tcPr>
            <w:tcW w:type="pct" w:w="20%"/>
            <w:shd w:fill="D4875A" w:val="clear"/>
            <w:tcMar>
              <w:top w:type="dxa" w:w="80"/>
              <w:left w:type="dxa" w:w="120"/>
              <w:bottom w:type="dxa" w:w="80"/>
              <w:right w:type="dxa" w:w="120"/>
            </w:tcMar>
          </w:tcPr>
          <w:p>
            <w:pPr>
              <w:spacing w:line="276"/>
              <w:jc w:val="left"/>
            </w:pPr>
            <w:r>
              <w:rPr>
                <w:rFonts w:ascii="Arial" w:eastAsia="SimHei"/>
                <w:b/>
                <w:bCs/>
                <w:color w:val="FFFFFF"/>
                <w:sz w:val="21"/>
                <w:szCs w:val="21"/>
              </w:rPr>
              <w:t xml:space="preserve">Revenue Model</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SaaS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Workflow inefficiency in a specific vertical</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Time saved, error reduction, scalability</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Tenant data leakage risk; CAC &gt; LTV risk</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Tiered monthly/annual subscription per seat</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E-Commerce</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Friction in online selling for a vertical</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Increased sales, reduced admin, reach</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Payment breach risk; inventory oversell</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Transaction fee plus monthly subscription</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CRM</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Disorganized customer data, lost deals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Higher conversion, better forecasting</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Data silos if not adopted; GDPR risk</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Per-seat subscription</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ERP</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Fragmented operations, slow close</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Faster close, single source of truth</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Implementation failure; high switching cost</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Module license plus implementation services</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Analytics Dashboard</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Blind to real-time operations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Faster incident detection, data decisions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Cost at scale; data privacy risk</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Per-seat plus usage-based data volume</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AI Application</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High-volume repetitive customer interactions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Cost reduction, 24/7 availability</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Hallucination risk; model provider lock-in</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Subscription plus per-interaction model cost</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Booking SaaS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No-shows, double-bookings, admin overhead</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Reduced no-shows, higher utilization</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Time-zone bugs; payment failures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Per-seat plus per-booking fee</w:t>
            </w:r>
          </w:p>
        </w:tc>
      </w:tr>
      <w:tr>
        <w:trPr>
          <w:cantSplit/>
        </w:trPr>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LMS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Manual training tracking, low completion</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Higher completion, compliance evidence</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Content migration cost; low engagement</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Per-learner license</w:t>
            </w:r>
          </w:p>
        </w:tc>
      </w:tr>
    </w:tbl>
    <w:p>
      <w:pPr>
        <w:spacing w:after="200" w:before="80" w:line="312"/>
        <w:jc w:val="center"/>
      </w:pPr>
      <w:r>
        <w:rPr>
          <w:rFonts w:ascii="Times New Roman" w:eastAsia="SimSun"/>
          <w:i/>
          <w:iCs/>
          <w:color w:val="606060"/>
          <w:sz w:val="20"/>
          <w:szCs w:val="20"/>
        </w:rPr>
        <w:t xml:space="preserve">Table 5: Problem-solution-impact-revenue mapping for the eight systems. Each system solves a specific problem, produces a measurable positive impact, carries a specific risk, and monetizes through a defined model. The mapping is the business case that justifies the build.</w:t>
      </w:r>
    </w:p>
    <w:p>
      <w:pPr>
        <w:spacing w:after="120" w:line="312"/>
        <w:ind w:firstLine="360"/>
        <w:jc w:val="both"/>
      </w:pPr>
      <w:r>
        <w:rPr>
          <w:rFonts w:ascii="Times New Roman" w:eastAsia="SimSun"/>
          <w:color w:val="000000"/>
          <w:sz w:val="24"/>
          <w:szCs w:val="24"/>
        </w:rPr>
        <w:t xml:space="preserve">The mapping in Table 5 is the specification of the business case for each system, and it is the mapping that the AI builder and the builder's human principal should agree on before the build begins. The positive impact is the value the customer receives and is the basis of the willingness to pay; the negative impact or risk is the cost or hazard that the build must mitigate, and it is the basis of the engineering effort that goes into security, reliability, and compliance; the revenue model is the mechanism that converts the value into the vendor's revenue, and it is the mechanism that the system's commercial layer, the subscription, the billing, and the feature flags, must support. A build that proceeds without this mapping agreed upon will produce a system that may work technically but that does not generate revenue, because the value proposition and the monetization were not specified before the build began.</w:t>
      </w:r>
    </w:p>
    <w:p>
      <w:pPr>
        <w:pStyle w:val="Heading2"/>
        <w:spacing w:after="120" w:before="280" w:line="312"/>
      </w:pPr>
      <w:bookmarkStart w:id="100037" w:name="_Toc100037"/>
      <w:r>
        <w:rPr>
          <w:rFonts w:ascii="Arial" w:eastAsia="SimHei"/>
          <w:b/>
          <w:bCs/>
          <w:color w:val="1A2330"/>
          <w:sz w:val="28"/>
          <w:szCs w:val="28"/>
        </w:rPr>
        <w:t xml:space="preserve">11.1 The Revenue Realization Path</w:t>
      </w:r>
      <w:bookmarkEnd w:id="100037"/>
    </w:p>
    <w:p>
      <w:pPr>
        <w:spacing w:after="120" w:line="312"/>
        <w:ind w:firstLine="360"/>
        <w:jc w:val="both"/>
      </w:pPr>
      <w:r>
        <w:rPr>
          <w:rFonts w:ascii="Times New Roman" w:eastAsia="SimSun"/>
          <w:color w:val="000000"/>
          <w:sz w:val="24"/>
          <w:szCs w:val="24"/>
        </w:rPr>
        <w:t xml:space="preserve">The revenue realization path is the sequence of events that converts a built system into actual revenue, and it is a path that the builder must plan as deliberately as the technical build. The path begins with the identification of the first ten paying customers, who are the design partners during the build and the first revenue after the launch. The path continues with the definition of the pricing, which must be high enough to cover the customer acquisition cost and the cost of service, and low enough to be acceptable to the target buyer. The path includes the sales channel, which for a vertical SaaS is typically a combination of direct outreach, content marketing, and presence at the vertical's trade publications and conferences. The path concludes with the retention, which is the measure of whether the system continues to deliver value after the initial sale, and which is the measure that determines whether the revenue compounds or churns.</w:t>
      </w:r>
    </w:p>
    <w:p>
      <w:pPr>
        <w:spacing w:after="120" w:line="312"/>
        <w:ind w:firstLine="360"/>
        <w:jc w:val="both"/>
      </w:pPr>
      <w:r>
        <w:rPr>
          <w:rFonts w:ascii="Times New Roman" w:eastAsia="SimSun"/>
          <w:color w:val="000000"/>
          <w:sz w:val="24"/>
          <w:szCs w:val="24"/>
        </w:rPr>
        <w:t xml:space="preserve">The AI builder cannot execute the revenue realization path; it is the builder's human principal who must execute it. The AI builder's role is to produce a system that is good enough that the path can be executed, meaning a system that solves the problem, that is reliable enough to retain customers, and that has the commercial layer that supports the chosen revenue model. The discipline of building to the real-world standard, which the foundation document and this companion specify, is the discipline that produces a system good enough to support the revenue realization path. A system built below the standard will fail the path at the retention step, because the customers who buy initially will churn when the system's defects become apparent, and the revenue will not compound.</w:t>
      </w:r>
    </w:p>
    <w:p>
      <w:pPr>
        <w:pStyle w:val="Heading1"/>
        <w:spacing w:after="160" w:before="360" w:line="312"/>
      </w:pPr>
      <w:bookmarkStart w:id="100038" w:name="_Toc100038"/>
      <w:r>
        <w:rPr>
          <w:rFonts w:ascii="Arial" w:eastAsia="SimHei"/>
          <w:b/>
          <w:bCs/>
          <w:color w:val="1A2330"/>
          <w:sz w:val="32"/>
          <w:szCs w:val="32"/>
        </w:rPr>
        <w:t xml:space="preserve">12. Counterarguments and Limitations</w:t>
      </w:r>
      <w:bookmarkEnd w:id="100038"/>
    </w:p>
    <w:p>
      <w:pPr>
        <w:spacing w:after="120" w:line="312"/>
        <w:ind w:firstLine="360"/>
        <w:jc w:val="both"/>
      </w:pPr>
      <w:r>
        <w:rPr>
          <w:rFonts w:ascii="Times New Roman" w:eastAsia="SimSun"/>
          <w:color w:val="000000"/>
          <w:sz w:val="24"/>
          <w:szCs w:val="24"/>
        </w:rPr>
        <w:t xml:space="preserve">The recommendations in this report are subject to several counterarguments and limitations. The first counterargument is that the recommended stack, PostgreSQL, Redis, Next.js, tRPC, and the type-safe toolchain, is opinionated and may not suit a team with existing expertise in a different stack. This argument is valid, and the report acknowledges that the recommendations are the consensus for a new build in 2026, not the only valid choice. A team with deep MySQL expertise, or with an existing GraphQL codebase, or with a preference for a different ORM, should adapt the recommendations to its context while preserving the discipline of the integration contract. The contract is the part that cannot be compromised; the specific technologies that implement it can be adapted.</w:t>
      </w:r>
    </w:p>
    <w:p>
      <w:pPr>
        <w:spacing w:after="120" w:line="312"/>
        <w:ind w:firstLine="360"/>
        <w:jc w:val="both"/>
      </w:pPr>
      <w:r>
        <w:rPr>
          <w:rFonts w:ascii="Times New Roman" w:eastAsia="SimSun"/>
          <w:color w:val="000000"/>
          <w:sz w:val="24"/>
          <w:szCs w:val="24"/>
        </w:rPr>
        <w:t xml:space="preserve">The second counterargument is that the type-safe toolchain, with its Zod schemas, tRPC procedures, and TanStack Query hooks, adds complexity that a simpler approach would avoid. This argument has merit for a prototype or for a system with a short lifespan, where the integration contract is less consequential because the system will be rebuilt rather than maintained. The argument fails for a commercial system that is expected to be maintained and extended over years, because the cost of the toolchain is paid once, while the cost of the integration conflicts it prevents is paid repeatedly. The toolchain is an investment in the maintainability of the system, and the return on the investment is the difference between a system that can be extended safely and a system that cannot be extended without breaking.</w:t>
      </w:r>
    </w:p>
    <w:p>
      <w:pPr>
        <w:spacing w:after="120" w:line="312"/>
        <w:ind w:firstLine="360"/>
        <w:jc w:val="both"/>
      </w:pPr>
      <w:r>
        <w:rPr>
          <w:rFonts w:ascii="Times New Roman" w:eastAsia="SimSun"/>
          <w:color w:val="000000"/>
          <w:sz w:val="24"/>
          <w:szCs w:val="24"/>
        </w:rPr>
        <w:t xml:space="preserve">The third counterargument is that the per-system data flows in Part III are too high-level to guide implementation, and that the AI builder needs more detailed sequence diagrams and API specifications. This argument is valid, and the report acknowledges that the data flows are the starting point for the implementation, not the complete specification. The complete specification is produced in the analysis phase of the prompt architecture, where the AI builder decomposes each flow into atomic tasks with defined inputs, outputs, and acceptance criteria. The data flows in this document are the input to that analysis phase, and they are sufficient to prevent the most common integration mistakes, but they are not a substitute for the analysis.</w:t>
      </w:r>
    </w:p>
    <w:p>
      <w:pPr>
        <w:spacing w:after="120" w:line="312"/>
        <w:ind w:firstLine="360"/>
        <w:jc w:val="both"/>
      </w:pPr>
      <w:r>
        <w:rPr>
          <w:rFonts w:ascii="Times New Roman" w:eastAsia="SimSun"/>
          <w:color w:val="000000"/>
          <w:sz w:val="24"/>
          <w:szCs w:val="24"/>
        </w:rPr>
        <w:t xml:space="preserve">A further limitation is that the problem-solution-revenue mapping in Part IV is structural rather than financial. The mapping identifies the problem, the impact, and the revenue model, but it does not provide the financial projections that a venture investor or a bank would require. A builder seeking funding must produce a financial model that quantifies the addressable market, the conversion rate, the customer acquisition cost, the lifetime value, and the unit economics, and these figures are specific to the chosen vertical and the chosen go-to-market motion. The mapping in this report is the structural foundation on which the financial model is built, but it is not the financial model itself.</w:t>
      </w:r>
    </w:p>
    <w:p>
      <w:pPr>
        <w:pStyle w:val="Heading1"/>
        <w:spacing w:after="160" w:before="360" w:line="312"/>
      </w:pPr>
      <w:bookmarkStart w:id="100039" w:name="_Toc100039"/>
      <w:r>
        <w:rPr>
          <w:rFonts w:ascii="Arial" w:eastAsia="SimHei"/>
          <w:b/>
          <w:bCs/>
          <w:color w:val="1A2330"/>
          <w:sz w:val="32"/>
          <w:szCs w:val="32"/>
        </w:rPr>
        <w:t xml:space="preserve">13. Conclusion and Strategic Implications</w:t>
      </w:r>
      <w:bookmarkEnd w:id="100039"/>
    </w:p>
    <w:p>
      <w:pPr>
        <w:spacing w:after="120" w:line="312"/>
        <w:ind w:firstLine="360"/>
        <w:jc w:val="both"/>
      </w:pPr>
      <w:r>
        <w:rPr>
          <w:rFonts w:ascii="Times New Roman" w:eastAsia="SimSun"/>
          <w:color w:val="000000"/>
          <w:sz w:val="24"/>
          <w:szCs w:val="24"/>
        </w:rPr>
        <w:t xml:space="preserve">The question that opened this report was whether the foundation document is sufficient for an AI builder to construct a complete system without missing data, missing features, missing backend database, or integration conflicts. The analysis has shown that the foundation document, while specifying the architecture and the data models, does not specify the concrete technology choices or the integration contract, and that an AI builder directed by the foundation alone will make reasonable default choices but will not have the decision framework for when to deviate, nor the contract that prevents the integration conflicts. This companion document fills that gap with the stack selection matrices, the type-safe toolchain specification, the per-system data flows, and the problem-solution-revenue mapping.</w:t>
      </w:r>
    </w:p>
    <w:p>
      <w:pPr>
        <w:spacing w:after="120" w:line="312"/>
        <w:ind w:firstLine="360"/>
        <w:jc w:val="both"/>
      </w:pPr>
      <w:r>
        <w:rPr>
          <w:rFonts w:ascii="Times New Roman" w:eastAsia="SimSun"/>
          <w:color w:val="000000"/>
          <w:sz w:val="24"/>
          <w:szCs w:val="24"/>
        </w:rPr>
        <w:t xml:space="preserve">The strategic implication for the builder is that the three documents, the foundation, the prompt guide, and this technical stack companion, together constitute the complete specification that an AI builder needs to construct a production-grade system. The foundation provides the architecture and the data models; the prompt guide provides the prompt architecture that directs the agent; this companion provides the stack selection and the integration contract. A builder who loads the relevant sections of all three documents as context, and who directs the agent with the prompt architecture, will produce a system that meets the real-world standard, that does not exhibit the integration conflicts, and that has the problem-solution-revenue mapping that justifies the build and generates the revenue.</w:t>
      </w:r>
    </w:p>
    <w:p>
      <w:pPr>
        <w:spacing w:after="120" w:line="312"/>
        <w:ind w:firstLine="360"/>
        <w:jc w:val="both"/>
      </w:pPr>
      <w:r>
        <w:rPr>
          <w:rFonts w:ascii="Times New Roman" w:eastAsia="SimSun"/>
          <w:color w:val="000000"/>
          <w:sz w:val="24"/>
          <w:szCs w:val="24"/>
        </w:rPr>
        <w:t xml:space="preserve">The closing recommendation is therefore the following. A builder who intends to direct an AI builder agent to construct a production-grade system should load the foundation document's architecture and data model, the prompt guide's three-phase model and master template, and this companion's stack selection and integration contract as the complete context. The builder should select the database, the cache, the queue, the search, the storage, and the authentication platform per the matrices in this document, should specify the type-safe toolchain and the integration contract per the patterns in Part II, and should follow the per-system data flow in Part III for the primary journey. The builder should confirm the problem-solution-revenue mapping in Part IV before the build begins, so that the system that is built is the system that generates revenue. The discipline of loading the complete specification and of following the prompt architecture is the discipline that produces a system that meets the real-world standard, that does not exhibit the integration conflicts, and that a business will pay for.</w:t>
      </w:r>
    </w:p>
    <w:p>
      <w:pPr>
        <w:pStyle w:val="Heading1"/>
        <w:spacing w:after="160" w:before="360" w:line="312"/>
      </w:pPr>
      <w:bookmarkStart w:id="100040" w:name="_Toc100040"/>
      <w:r>
        <w:rPr>
          <w:rFonts w:ascii="Arial" w:eastAsia="SimHei"/>
          <w:b/>
          <w:bCs/>
          <w:color w:val="1A2330"/>
          <w:sz w:val="32"/>
          <w:szCs w:val="32"/>
        </w:rPr>
        <w:t xml:space="preserve">14. References</w:t>
      </w:r>
      <w:bookmarkEnd w:id="100040"/>
    </w:p>
    <w:p>
      <w:pPr>
        <w:spacing w:after="120" w:line="312"/>
        <w:ind w:firstLine="360"/>
        <w:jc w:val="both"/>
      </w:pPr>
      <w:r>
        <w:rPr>
          <w:rFonts w:ascii="Times New Roman" w:eastAsia="SimSun"/>
          <w:color w:val="000000"/>
          <w:sz w:val="24"/>
          <w:szCs w:val="24"/>
        </w:rPr>
        <w:t xml:space="preserve">The following sources informed the analysis presented in this report. Sources are listed in the order of first citation. All URLs were accessible at the time of writing; readers verifying specific claims should consult the cited source directly.</w:t>
      </w:r>
    </w:p>
    <w:p>
      <w:pPr>
        <w:spacing w:after="100" w:line="312"/>
        <w:ind w:left="480" w:hanging="480"/>
      </w:pPr>
      <w:r>
        <w:rPr>
          <w:rFonts w:ascii="Times New Roman" w:eastAsia="SimSun"/>
          <w:b/>
          <w:bCs/>
          <w:color w:val="000000"/>
          <w:sz w:val="22"/>
          <w:szCs w:val="22"/>
        </w:rPr>
        <w:t xml:space="preserve">[1] </w:t>
      </w:r>
      <w:r>
        <w:rPr>
          <w:rFonts w:ascii="Times New Roman" w:eastAsia="SimSun"/>
          <w:color w:val="000000"/>
          <w:sz w:val="22"/>
          <w:szCs w:val="22"/>
        </w:rPr>
        <w:t xml:space="preserve">Raff Technologies. MySQL vs PostgreSQL vs MongoDB: How to Choose. </w:t>
      </w:r>
      <w:hyperlink w:history="1" r:id="rId0wmsa4kq9w86lnmgjjyrc">
        <w:r>
          <w:rPr>
            <w:rFonts w:ascii="Times New Roman" w:eastAsia="SimSun"/>
            <w:color w:val="A8623D"/>
            <w:sz w:val="20"/>
            <w:szCs w:val="20"/>
            <w:u w:val="single"/>
          </w:rPr>
          <w:t xml:space="preserve">https://rafftechnologies.com/learn/guides/mysql-vs-postgresql-vs-mongodb</w:t>
        </w:r>
      </w:hyperlink>
    </w:p>
    <w:p>
      <w:pPr>
        <w:spacing w:after="100" w:line="312"/>
        <w:ind w:left="480" w:hanging="480"/>
      </w:pPr>
      <w:r>
        <w:rPr>
          <w:rFonts w:ascii="Times New Roman" w:eastAsia="SimSun"/>
          <w:b/>
          <w:bCs/>
          <w:color w:val="000000"/>
          <w:sz w:val="22"/>
          <w:szCs w:val="22"/>
        </w:rPr>
        <w:t xml:space="preserve">[2] </w:t>
      </w:r>
      <w:r>
        <w:rPr>
          <w:rFonts w:ascii="Times New Roman" w:eastAsia="SimSun"/>
          <w:color w:val="000000"/>
          <w:sz w:val="22"/>
          <w:szCs w:val="22"/>
        </w:rPr>
        <w:t xml:space="preserve">Kunal Ganglani. MongoDB vs PostgreSQL 2026: Which Database Actually Wins? </w:t>
      </w:r>
      <w:hyperlink w:history="1" r:id="rIdmbtlzcmji_5j3obhkayvq">
        <w:r>
          <w:rPr>
            <w:rFonts w:ascii="Times New Roman" w:eastAsia="SimSun"/>
            <w:color w:val="A8623D"/>
            <w:sz w:val="20"/>
            <w:szCs w:val="20"/>
            <w:u w:val="single"/>
          </w:rPr>
          <w:t xml:space="preserve">https://www.kunalganglani.com/blog/mongodb-vs-postgresql-2026</w:t>
        </w:r>
      </w:hyperlink>
    </w:p>
    <w:p>
      <w:pPr>
        <w:spacing w:after="100" w:line="312"/>
        <w:ind w:left="480" w:hanging="480"/>
      </w:pPr>
      <w:r>
        <w:rPr>
          <w:rFonts w:ascii="Times New Roman" w:eastAsia="SimSun"/>
          <w:b/>
          <w:bCs/>
          <w:color w:val="000000"/>
          <w:sz w:val="22"/>
          <w:szCs w:val="22"/>
        </w:rPr>
        <w:t xml:space="preserve">[3] </w:t>
      </w:r>
      <w:r>
        <w:rPr>
          <w:rFonts w:ascii="Times New Roman" w:eastAsia="SimSun"/>
          <w:color w:val="000000"/>
          <w:sz w:val="22"/>
          <w:szCs w:val="22"/>
        </w:rPr>
        <w:t xml:space="preserve">Tech Insider. MongoDB vs PostgreSQL: When NoSQL Actually Wins [2026]. </w:t>
      </w:r>
      <w:hyperlink w:history="1" r:id="rIddnuzyh7f1depk_5fm1dgl">
        <w:r>
          <w:rPr>
            <w:rFonts w:ascii="Times New Roman" w:eastAsia="SimSun"/>
            <w:color w:val="A8623D"/>
            <w:sz w:val="20"/>
            <w:szCs w:val="20"/>
            <w:u w:val="single"/>
          </w:rPr>
          <w:t xml:space="preserve">https://tech-insider.org/mongodb-vs-postgresql-2026</w:t>
        </w:r>
      </w:hyperlink>
    </w:p>
    <w:p>
      <w:pPr>
        <w:spacing w:after="100" w:line="312"/>
        <w:ind w:left="480" w:hanging="480"/>
      </w:pPr>
      <w:r>
        <w:rPr>
          <w:rFonts w:ascii="Times New Roman" w:eastAsia="SimSun"/>
          <w:b/>
          <w:bCs/>
          <w:color w:val="000000"/>
          <w:sz w:val="22"/>
          <w:szCs w:val="22"/>
        </w:rPr>
        <w:t xml:space="preserve">[4] </w:t>
      </w:r>
      <w:r>
        <w:rPr>
          <w:rFonts w:ascii="Times New Roman" w:eastAsia="SimSun"/>
          <w:color w:val="000000"/>
          <w:sz w:val="22"/>
          <w:szCs w:val="22"/>
        </w:rPr>
        <w:t xml:space="preserve">Tinybird. Best Database for Real-Time Analytics in 2026. </w:t>
      </w:r>
      <w:hyperlink w:history="1" r:id="rIdxnx-zh2yozpa9oqjb2uhz">
        <w:r>
          <w:rPr>
            <w:rFonts w:ascii="Times New Roman" w:eastAsia="SimSun"/>
            <w:color w:val="A8623D"/>
            <w:sz w:val="20"/>
            <w:szCs w:val="20"/>
            <w:u w:val="single"/>
          </w:rPr>
          <w:t xml:space="preserve">https://www.tinybird.co/blog/best-database-for-real-time-analytics</w:t>
        </w:r>
      </w:hyperlink>
    </w:p>
    <w:p>
      <w:pPr>
        <w:spacing w:after="100" w:line="312"/>
        <w:ind w:left="480" w:hanging="480"/>
      </w:pPr>
      <w:r>
        <w:rPr>
          <w:rFonts w:ascii="Times New Roman" w:eastAsia="SimSun"/>
          <w:b/>
          <w:bCs/>
          <w:color w:val="000000"/>
          <w:sz w:val="22"/>
          <w:szCs w:val="22"/>
        </w:rPr>
        <w:t xml:space="preserve">[5] </w:t>
      </w:r>
      <w:r>
        <w:rPr>
          <w:rFonts w:ascii="Times New Roman" w:eastAsia="SimSun"/>
          <w:color w:val="000000"/>
          <w:sz w:val="22"/>
          <w:szCs w:val="22"/>
        </w:rPr>
        <w:t xml:space="preserve">Kunal Ganglani. Redis vs DragonflyDB 2026: Which Cache Actually Wins? </w:t>
      </w:r>
      <w:hyperlink w:history="1" r:id="rId0kwwd2rxc8f6qvml6diu_">
        <w:r>
          <w:rPr>
            <w:rFonts w:ascii="Times New Roman" w:eastAsia="SimSun"/>
            <w:color w:val="A8623D"/>
            <w:sz w:val="20"/>
            <w:szCs w:val="20"/>
            <w:u w:val="single"/>
          </w:rPr>
          <w:t xml:space="preserve">https://www.kunalganglani.com</w:t>
        </w:r>
      </w:hyperlink>
    </w:p>
    <w:p>
      <w:pPr>
        <w:spacing w:after="100" w:line="312"/>
        <w:ind w:left="480" w:hanging="480"/>
      </w:pPr>
      <w:r>
        <w:rPr>
          <w:rFonts w:ascii="Times New Roman" w:eastAsia="SimSun"/>
          <w:b/>
          <w:bCs/>
          <w:color w:val="000000"/>
          <w:sz w:val="22"/>
          <w:szCs w:val="22"/>
        </w:rPr>
        <w:t xml:space="preserve">[6] </w:t>
      </w:r>
      <w:r>
        <w:rPr>
          <w:rFonts w:ascii="Times New Roman" w:eastAsia="SimSun"/>
          <w:color w:val="000000"/>
          <w:sz w:val="22"/>
          <w:szCs w:val="22"/>
        </w:rPr>
        <w:t xml:space="preserve">DragonflyDB. Redis vs. Memcached: 7 Key Differences and How to Choose. </w:t>
      </w:r>
      <w:hyperlink w:history="1" r:id="rIdkn3-4_z63n1wq1ehouf43">
        <w:r>
          <w:rPr>
            <w:rFonts w:ascii="Times New Roman" w:eastAsia="SimSun"/>
            <w:color w:val="A8623D"/>
            <w:sz w:val="20"/>
            <w:szCs w:val="20"/>
            <w:u w:val="single"/>
          </w:rPr>
          <w:t xml:space="preserve">https://www.dragonflydb.io</w:t>
        </w:r>
      </w:hyperlink>
    </w:p>
    <w:p>
      <w:pPr>
        <w:spacing w:after="100" w:line="312"/>
        <w:ind w:left="480" w:hanging="480"/>
      </w:pPr>
      <w:r>
        <w:rPr>
          <w:rFonts w:ascii="Times New Roman" w:eastAsia="SimSun"/>
          <w:b/>
          <w:bCs/>
          <w:color w:val="000000"/>
          <w:sz w:val="22"/>
          <w:szCs w:val="22"/>
        </w:rPr>
        <w:t xml:space="preserve">[7] </w:t>
      </w:r>
      <w:r>
        <w:rPr>
          <w:rFonts w:ascii="Times New Roman" w:eastAsia="SimSun"/>
          <w:color w:val="000000"/>
          <w:sz w:val="22"/>
          <w:szCs w:val="22"/>
        </w:rPr>
        <w:t xml:space="preserve">DragonflyDB GitHub. A Modern Replacement for Redis (25x throughput). </w:t>
      </w:r>
      <w:hyperlink w:history="1" r:id="rIdit6j1fxwu-6mlcylfzsnl">
        <w:r>
          <w:rPr>
            <w:rFonts w:ascii="Times New Roman" w:eastAsia="SimSun"/>
            <w:color w:val="A8623D"/>
            <w:sz w:val="20"/>
            <w:szCs w:val="20"/>
            <w:u w:val="single"/>
          </w:rPr>
          <w:t xml:space="preserve">https://github.com/dragonflydb/dragonfly</w:t>
        </w:r>
      </w:hyperlink>
    </w:p>
    <w:p>
      <w:pPr>
        <w:spacing w:after="100" w:line="312"/>
        <w:ind w:left="480" w:hanging="480"/>
      </w:pPr>
      <w:r>
        <w:rPr>
          <w:rFonts w:ascii="Times New Roman" w:eastAsia="SimSun"/>
          <w:b/>
          <w:bCs/>
          <w:color w:val="000000"/>
          <w:sz w:val="22"/>
          <w:szCs w:val="22"/>
        </w:rPr>
        <w:t xml:space="preserve">[8] </w:t>
      </w:r>
      <w:r>
        <w:rPr>
          <w:rFonts w:ascii="Times New Roman" w:eastAsia="SimSun"/>
          <w:color w:val="000000"/>
          <w:sz w:val="22"/>
          <w:szCs w:val="22"/>
        </w:rPr>
        <w:t xml:space="preserve">Meilisearch. Search Engine Comparison (vs Elasticsearch, Algolia, Typesense). </w:t>
      </w:r>
      <w:hyperlink w:history="1" r:id="rId7uphgyz8cnef8hmi8j4za">
        <w:r>
          <w:rPr>
            <w:rFonts w:ascii="Times New Roman" w:eastAsia="SimSun"/>
            <w:color w:val="A8623D"/>
            <w:sz w:val="20"/>
            <w:szCs w:val="20"/>
            <w:u w:val="single"/>
          </w:rPr>
          <w:t xml:space="preserve">https://www.meilisearch.com/comparisons</w:t>
        </w:r>
      </w:hyperlink>
    </w:p>
    <w:p>
      <w:pPr>
        <w:spacing w:after="100" w:line="312"/>
        <w:ind w:left="480" w:hanging="480"/>
      </w:pPr>
      <w:r>
        <w:rPr>
          <w:rFonts w:ascii="Times New Roman" w:eastAsia="SimSun"/>
          <w:b/>
          <w:bCs/>
          <w:color w:val="000000"/>
          <w:sz w:val="22"/>
          <w:szCs w:val="22"/>
        </w:rPr>
        <w:t xml:space="preserve">[9] </w:t>
      </w:r>
      <w:r>
        <w:rPr>
          <w:rFonts w:ascii="Times New Roman" w:eastAsia="SimSun"/>
          <w:color w:val="000000"/>
          <w:sz w:val="22"/>
          <w:szCs w:val="22"/>
        </w:rPr>
        <w:t xml:space="preserve">Meilisearch. Meilisearch vs PostgreSQL Search. </w:t>
      </w:r>
      <w:hyperlink w:history="1" r:id="rIda1e8mtlud5czycnv1tzlu">
        <w:r>
          <w:rPr>
            <w:rFonts w:ascii="Times New Roman" w:eastAsia="SimSun"/>
            <w:color w:val="A8623D"/>
            <w:sz w:val="20"/>
            <w:szCs w:val="20"/>
            <w:u w:val="single"/>
          </w:rPr>
          <w:t xml:space="preserve">https://www.meilisearch.com/docs/resources/comparisons/postgresql</w:t>
        </w:r>
      </w:hyperlink>
    </w:p>
    <w:p>
      <w:pPr>
        <w:spacing w:after="100" w:line="312"/>
        <w:ind w:left="480" w:hanging="480"/>
      </w:pPr>
      <w:r>
        <w:rPr>
          <w:rFonts w:ascii="Times New Roman" w:eastAsia="SimSun"/>
          <w:b/>
          <w:bCs/>
          <w:color w:val="000000"/>
          <w:sz w:val="22"/>
          <w:szCs w:val="22"/>
        </w:rPr>
        <w:t xml:space="preserve">[10] </w:t>
      </w:r>
      <w:r>
        <w:rPr>
          <w:rFonts w:ascii="Times New Roman" w:eastAsia="SimSun"/>
          <w:color w:val="000000"/>
          <w:sz w:val="22"/>
          <w:szCs w:val="22"/>
        </w:rPr>
        <w:t xml:space="preserve">Supabase. Postgres Full Text Search vs the Rest. </w:t>
      </w:r>
      <w:hyperlink w:history="1" r:id="rIdktt3n1xexn--t_avhvb1k">
        <w:r>
          <w:rPr>
            <w:rFonts w:ascii="Times New Roman" w:eastAsia="SimSun"/>
            <w:color w:val="A8623D"/>
            <w:sz w:val="20"/>
            <w:szCs w:val="20"/>
            <w:u w:val="single"/>
          </w:rPr>
          <w:t xml:space="preserve">https://supabase.com/blog/postgres-full-text-search-vs-the-rest</w:t>
        </w:r>
      </w:hyperlink>
    </w:p>
    <w:p>
      <w:pPr>
        <w:spacing w:after="100" w:line="312"/>
        <w:ind w:left="480" w:hanging="480"/>
      </w:pPr>
      <w:r>
        <w:rPr>
          <w:rFonts w:ascii="Times New Roman" w:eastAsia="SimSun"/>
          <w:b/>
          <w:bCs/>
          <w:color w:val="000000"/>
          <w:sz w:val="22"/>
          <w:szCs w:val="22"/>
        </w:rPr>
        <w:t xml:space="preserve">[11] </w:t>
      </w:r>
      <w:r>
        <w:rPr>
          <w:rFonts w:ascii="Times New Roman" w:eastAsia="SimSun"/>
          <w:color w:val="000000"/>
          <w:sz w:val="22"/>
          <w:szCs w:val="22"/>
        </w:rPr>
        <w:t xml:space="preserve">Pockit Tools (DEV). REST vs GraphQL vs tRPC vs gRPC in 2026: The Definitive Guide. </w:t>
      </w:r>
      <w:hyperlink w:history="1" r:id="rIdnfktyrmx16amal-ymbpzl">
        <w:r>
          <w:rPr>
            <w:rFonts w:ascii="Times New Roman" w:eastAsia="SimSun"/>
            <w:color w:val="A8623D"/>
            <w:sz w:val="20"/>
            <w:szCs w:val="20"/>
            <w:u w:val="single"/>
          </w:rPr>
          <w:t xml:space="preserve">https://dev.to/pockit_tools/rest-vs-graphql-vs-trpc-vs-grpc-in-2026-the-definitive-guide-to-choosing-your-api-layer-1j8m</w:t>
        </w:r>
      </w:hyperlink>
    </w:p>
    <w:p>
      <w:pPr>
        <w:spacing w:after="100" w:line="312"/>
        <w:ind w:left="480" w:hanging="480"/>
      </w:pPr>
      <w:r>
        <w:rPr>
          <w:rFonts w:ascii="Times New Roman" w:eastAsia="SimSun"/>
          <w:b/>
          <w:bCs/>
          <w:color w:val="000000"/>
          <w:sz w:val="22"/>
          <w:szCs w:val="22"/>
        </w:rPr>
        <w:t xml:space="preserve">[12] </w:t>
      </w:r>
      <w:r>
        <w:rPr>
          <w:rFonts w:ascii="Times New Roman" w:eastAsia="SimSun"/>
          <w:color w:val="000000"/>
          <w:sz w:val="22"/>
          <w:szCs w:val="22"/>
        </w:rPr>
        <w:t xml:space="preserve">PkgPulse. tRPC vs GraphQL: API Layer 2026. </w:t>
      </w:r>
      <w:hyperlink w:history="1" r:id="rIdsonwaze4okze36uzuzb2y">
        <w:r>
          <w:rPr>
            <w:rFonts w:ascii="Times New Roman" w:eastAsia="SimSun"/>
            <w:color w:val="A8623D"/>
            <w:sz w:val="20"/>
            <w:szCs w:val="20"/>
            <w:u w:val="single"/>
          </w:rPr>
          <w:t xml:space="preserve">https://www.pkgpulse.com/guides/trpc-vs-graphql-api-layer-2026</w:t>
        </w:r>
      </w:hyperlink>
    </w:p>
    <w:p>
      <w:pPr>
        <w:spacing w:after="100" w:line="312"/>
        <w:ind w:left="480" w:hanging="480"/>
      </w:pPr>
      <w:r>
        <w:rPr>
          <w:rFonts w:ascii="Times New Roman" w:eastAsia="SimSun"/>
          <w:b/>
          <w:bCs/>
          <w:color w:val="000000"/>
          <w:sz w:val="22"/>
          <w:szCs w:val="22"/>
        </w:rPr>
        <w:t xml:space="preserve">[13] </w:t>
      </w:r>
      <w:r>
        <w:rPr>
          <w:rFonts w:ascii="Times New Roman" w:eastAsia="SimSun"/>
          <w:color w:val="000000"/>
          <w:sz w:val="22"/>
          <w:szCs w:val="22"/>
        </w:rPr>
        <w:t xml:space="preserve">Wallarm. What Is tRPC Protocol? Comparison with GraphQL and gRPC. </w:t>
      </w:r>
      <w:hyperlink w:history="1" r:id="rIdczwn6nh-ke4owrgqmabfa">
        <w:r>
          <w:rPr>
            <w:rFonts w:ascii="Times New Roman" w:eastAsia="SimSun"/>
            <w:color w:val="A8623D"/>
            <w:sz w:val="20"/>
            <w:szCs w:val="20"/>
            <w:u w:val="single"/>
          </w:rPr>
          <w:t xml:space="preserve">https://www.wallarm.com/what/trpc-protocol</w:t>
        </w:r>
      </w:hyperlink>
    </w:p>
    <w:p>
      <w:pPr>
        <w:spacing w:after="100" w:line="312"/>
        <w:ind w:left="480" w:hanging="480"/>
      </w:pPr>
      <w:r>
        <w:rPr>
          <w:rFonts w:ascii="Times New Roman" w:eastAsia="SimSun"/>
          <w:b/>
          <w:bCs/>
          <w:color w:val="000000"/>
          <w:sz w:val="22"/>
          <w:szCs w:val="22"/>
        </w:rPr>
        <w:t xml:space="preserve">[14] </w:t>
      </w:r>
      <w:r>
        <w:rPr>
          <w:rFonts w:ascii="Times New Roman" w:eastAsia="SimSun"/>
          <w:color w:val="000000"/>
          <w:sz w:val="22"/>
          <w:szCs w:val="22"/>
        </w:rPr>
        <w:t xml:space="preserve">Design Key. SaaS Auth in 2026: Clerk vs Auth0 vs Supabase. </w:t>
      </w:r>
      <w:hyperlink w:history="1" r:id="rIdw9mzhcny3_jj8xmmqvaak">
        <w:r>
          <w:rPr>
            <w:rFonts w:ascii="Times New Roman" w:eastAsia="SimSun"/>
            <w:color w:val="A8623D"/>
            <w:sz w:val="20"/>
            <w:szCs w:val="20"/>
            <w:u w:val="single"/>
          </w:rPr>
          <w:t xml:space="preserve">https://www.designkey.studio/post/saas-auth-comparison-clerk-vs-auth0-vs-supabase</w:t>
        </w:r>
      </w:hyperlink>
    </w:p>
    <w:p>
      <w:pPr>
        <w:spacing w:after="100" w:line="312"/>
        <w:ind w:left="480" w:hanging="480"/>
      </w:pPr>
      <w:r>
        <w:rPr>
          <w:rFonts w:ascii="Times New Roman" w:eastAsia="SimSun"/>
          <w:b/>
          <w:bCs/>
          <w:color w:val="000000"/>
          <w:sz w:val="22"/>
          <w:szCs w:val="22"/>
        </w:rPr>
        <w:t xml:space="preserve">[15] </w:t>
      </w:r>
      <w:r>
        <w:rPr>
          <w:rFonts w:ascii="Times New Roman" w:eastAsia="SimSun"/>
          <w:color w:val="000000"/>
          <w:sz w:val="22"/>
          <w:szCs w:val="22"/>
        </w:rPr>
        <w:t xml:space="preserve">Design Revision. Clerk vs Auth0 vs Supabase: Pricing &amp; DX Compared. </w:t>
      </w:r>
      <w:hyperlink w:history="1" r:id="rIdxcsjd719fplykg7--gs5b">
        <w:r>
          <w:rPr>
            <w:rFonts w:ascii="Times New Roman" w:eastAsia="SimSun"/>
            <w:color w:val="A8623D"/>
            <w:sz w:val="20"/>
            <w:szCs w:val="20"/>
            <w:u w:val="single"/>
          </w:rPr>
          <w:t xml:space="preserve">https://designrevision.com/blog/auth-providers-compared</w:t>
        </w:r>
      </w:hyperlink>
    </w:p>
    <w:p>
      <w:pPr>
        <w:spacing w:after="100" w:line="312"/>
        <w:ind w:left="480" w:hanging="480"/>
      </w:pPr>
      <w:r>
        <w:rPr>
          <w:rFonts w:ascii="Times New Roman" w:eastAsia="SimSun"/>
          <w:b/>
          <w:bCs/>
          <w:color w:val="000000"/>
          <w:sz w:val="22"/>
          <w:szCs w:val="22"/>
        </w:rPr>
        <w:t xml:space="preserve">[16] </w:t>
      </w:r>
      <w:r>
        <w:rPr>
          <w:rFonts w:ascii="Times New Roman" w:eastAsia="SimSun"/>
          <w:color w:val="000000"/>
          <w:sz w:val="22"/>
          <w:szCs w:val="22"/>
        </w:rPr>
        <w:t xml:space="preserve">MakerKit. Better Auth vs Clerk vs NextAuth vs Supabase Auth. </w:t>
      </w:r>
      <w:hyperlink w:history="1" r:id="rIdl4lurbgkubuioys-odwkr">
        <w:r>
          <w:rPr>
            <w:rFonts w:ascii="Times New Roman" w:eastAsia="SimSun"/>
            <w:color w:val="A8623D"/>
            <w:sz w:val="20"/>
            <w:szCs w:val="20"/>
            <w:u w:val="single"/>
          </w:rPr>
          <w:t xml:space="preserve">https://makerkit.dev/blog/tutorials/better-auth-vs-clerk</w:t>
        </w:r>
      </w:hyperlink>
    </w:p>
    <w:p>
      <w:pPr>
        <w:spacing w:after="100" w:line="312"/>
        <w:ind w:left="480" w:hanging="480"/>
      </w:pPr>
      <w:r>
        <w:rPr>
          <w:rFonts w:ascii="Times New Roman" w:eastAsia="SimSun"/>
          <w:b/>
          <w:bCs/>
          <w:color w:val="000000"/>
          <w:sz w:val="22"/>
          <w:szCs w:val="22"/>
        </w:rPr>
        <w:t xml:space="preserve">[17] </w:t>
      </w:r>
      <w:r>
        <w:rPr>
          <w:rFonts w:ascii="Times New Roman" w:eastAsia="SimSun"/>
          <w:color w:val="000000"/>
          <w:sz w:val="22"/>
          <w:szCs w:val="22"/>
        </w:rPr>
        <w:t xml:space="preserve">MakerKit. Drizzle vs Prisma ORM in 2026: A Practical Comparison for TypeScript. </w:t>
      </w:r>
      <w:hyperlink w:history="1" r:id="rIda6dglohqpupg_ww9hnil2">
        <w:r>
          <w:rPr>
            <w:rFonts w:ascii="Times New Roman" w:eastAsia="SimSun"/>
            <w:color w:val="A8623D"/>
            <w:sz w:val="20"/>
            <w:szCs w:val="20"/>
            <w:u w:val="single"/>
          </w:rPr>
          <w:t xml:space="preserve">https://makerkit.dev/blog/tutorials/drizzle-vs-prisma</w:t>
        </w:r>
      </w:hyperlink>
    </w:p>
    <w:p>
      <w:pPr>
        <w:spacing w:after="100" w:line="312"/>
        <w:ind w:left="480" w:hanging="480"/>
      </w:pPr>
      <w:r>
        <w:rPr>
          <w:rFonts w:ascii="Times New Roman" w:eastAsia="SimSun"/>
          <w:b/>
          <w:bCs/>
          <w:color w:val="000000"/>
          <w:sz w:val="22"/>
          <w:szCs w:val="22"/>
        </w:rPr>
        <w:t xml:space="preserve">[18] </w:t>
      </w:r>
      <w:r>
        <w:rPr>
          <w:rFonts w:ascii="Times New Roman" w:eastAsia="SimSun"/>
          <w:color w:val="000000"/>
          <w:sz w:val="22"/>
          <w:szCs w:val="22"/>
        </w:rPr>
        <w:t xml:space="preserve">Encore. Drizzle vs Prisma in 2026 — Which TypeScript ORM Should You Choose. </w:t>
      </w:r>
      <w:hyperlink w:history="1" r:id="rIdzdvk-g0-5xiyw1om2esbh">
        <w:r>
          <w:rPr>
            <w:rFonts w:ascii="Times New Roman" w:eastAsia="SimSun"/>
            <w:color w:val="A8623D"/>
            <w:sz w:val="20"/>
            <w:szCs w:val="20"/>
            <w:u w:val="single"/>
          </w:rPr>
          <w:t xml:space="preserve">https://encore.dev/articles/drizzle-vs-prisma</w:t>
        </w:r>
      </w:hyperlink>
    </w:p>
    <w:p>
      <w:pPr>
        <w:spacing w:after="100" w:line="312"/>
        <w:ind w:left="480" w:hanging="480"/>
      </w:pPr>
      <w:r>
        <w:rPr>
          <w:rFonts w:ascii="Times New Roman" w:eastAsia="SimSun"/>
          <w:b/>
          <w:bCs/>
          <w:color w:val="000000"/>
          <w:sz w:val="22"/>
          <w:szCs w:val="22"/>
        </w:rPr>
        <w:t xml:space="preserve">[19] </w:t>
      </w:r>
      <w:r>
        <w:rPr>
          <w:rFonts w:ascii="Times New Roman" w:eastAsia="SimSun"/>
          <w:color w:val="000000"/>
          <w:sz w:val="22"/>
          <w:szCs w:val="22"/>
        </w:rPr>
        <w:t xml:space="preserve">Prisma Documentation. Prisma and Drizzle Comparison. </w:t>
      </w:r>
      <w:hyperlink w:history="1" r:id="rIdxa0x5y9oe7rx368fncfz7">
        <w:r>
          <w:rPr>
            <w:rFonts w:ascii="Times New Roman" w:eastAsia="SimSun"/>
            <w:color w:val="A8623D"/>
            <w:sz w:val="20"/>
            <w:szCs w:val="20"/>
            <w:u w:val="single"/>
          </w:rPr>
          <w:t xml:space="preserve">https://www.prisma.io/docs/orm/more/comparisons/prisma-and-drizzle</w:t>
        </w:r>
      </w:hyperlink>
    </w:p>
    <w:p>
      <w:pPr>
        <w:spacing w:after="100" w:line="312"/>
        <w:ind w:left="480" w:hanging="480"/>
      </w:pPr>
      <w:r>
        <w:rPr>
          <w:rFonts w:ascii="Times New Roman" w:eastAsia="SimSun"/>
          <w:b/>
          <w:bCs/>
          <w:color w:val="000000"/>
          <w:sz w:val="22"/>
          <w:szCs w:val="22"/>
        </w:rPr>
        <w:t xml:space="preserve">[20] </w:t>
      </w:r>
      <w:r>
        <w:rPr>
          <w:rFonts w:ascii="Times New Roman" w:eastAsia="SimSun"/>
          <w:color w:val="000000"/>
          <w:sz w:val="22"/>
          <w:szCs w:val="22"/>
        </w:rPr>
        <w:t xml:space="preserve">ZenStack. Prisma vs Drizzle vs ZenStack: Choosing a TypeScript ORM in 2026. </w:t>
      </w:r>
      <w:hyperlink w:history="1" r:id="rIdmwuo39fq0j5z5fb29anom">
        <w:r>
          <w:rPr>
            <w:rFonts w:ascii="Times New Roman" w:eastAsia="SimSun"/>
            <w:color w:val="A8623D"/>
            <w:sz w:val="20"/>
            <w:szCs w:val="20"/>
            <w:u w:val="single"/>
          </w:rPr>
          <w:t xml:space="preserve">https://zenstack.dev/blog/orm-2026</w:t>
        </w:r>
      </w:hyperlink>
    </w:p>
    <w:p>
      <w:pPr>
        <w:spacing w:after="100" w:line="312"/>
        <w:ind w:left="480" w:hanging="480"/>
      </w:pPr>
      <w:r>
        <w:rPr>
          <w:rFonts w:ascii="Times New Roman" w:eastAsia="SimSun"/>
          <w:b/>
          <w:bCs/>
          <w:color w:val="000000"/>
          <w:sz w:val="22"/>
          <w:szCs w:val="22"/>
        </w:rPr>
        <w:t xml:space="preserve">[21] </w:t>
      </w:r>
      <w:r>
        <w:rPr>
          <w:rFonts w:ascii="Times New Roman" w:eastAsia="SimSun"/>
          <w:color w:val="000000"/>
          <w:sz w:val="22"/>
          <w:szCs w:val="22"/>
        </w:rPr>
        <w:t xml:space="preserve">Anthropic. Effective Context Engineering for AI Agents. </w:t>
      </w:r>
      <w:hyperlink w:history="1" r:id="rIda_rklfxfqycve3lqz4aot">
        <w:r>
          <w:rPr>
            <w:rFonts w:ascii="Times New Roman" w:eastAsia="SimSun"/>
            <w:color w:val="A8623D"/>
            <w:sz w:val="20"/>
            <w:szCs w:val="20"/>
            <w:u w:val="single"/>
          </w:rPr>
          <w:t xml:space="preserve">https://www.anthropic.com/engineering/effective-context-engineering-for-ai-agents</w:t>
        </w:r>
      </w:hyperlink>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Technical Stack &amp; Integration Guide for AI Builders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Technical Stack &amp; Integration Guide for AI Builders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1A2330"/>
      <w:sz w:val="32"/>
      <w:szCs w:val="32"/>
    </w:rPr>
  </w:style>
  <w:style w:type="paragraph" w:styleId="Heading2">
    <w:name w:val="Heading 2"/>
    <w:basedOn w:val="Normal"/>
    <w:next w:val="Normal"/>
    <w:qFormat/>
    <w:pPr>
      <w:spacing w:after="120" w:before="280" w:line="312"/>
      <w:outlineLvl w:val="1"/>
    </w:pPr>
    <w:rPr>
      <w:rFonts w:ascii="Arial" w:eastAsia="SimHei"/>
      <w:b/>
      <w:bCs/>
      <w:color w:val="1A2330"/>
      <w:sz w:val="28"/>
      <w:szCs w:val="28"/>
    </w:rPr>
  </w:style>
  <w:style w:type="paragraph" w:styleId="Heading3">
    <w:name w:val="Heading 3"/>
    <w:basedOn w:val="Normal"/>
    <w:next w:val="Normal"/>
    <w:qFormat/>
    <w:pPr>
      <w:spacing w:after="100" w:before="220" w:line="312"/>
      <w:outlineLvl w:val="2"/>
    </w:pPr>
    <w:rPr>
      <w:rFonts w:ascii="Arial" w:eastAsia="SimHei"/>
      <w:b/>
      <w:bCs/>
      <w:color w:val="1A2330"/>
      <w:sz w:val="24"/>
      <w:szCs w:val="24"/>
    </w:rPr>
  </w:style>
  <w:style w:type="paragraph" w:styleId="Heading4">
    <w:name w:val="Heading 4"/>
    <w:basedOn w:val="Normal"/>
    <w:next w:val="Normal"/>
    <w:qFormat/>
    <w:pPr>
      <w:spacing w:after="80" w:before="180" w:line="312"/>
      <w:outlineLvl w:val="3"/>
    </w:pPr>
    <w:rPr>
      <w:rFonts w:ascii="Arial" w:eastAsia="SimHei"/>
      <w:b/>
      <w:bCs/>
      <w:color w:val="A8623D"/>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0wmsa4kq9w86lnmgjjyrc" Type="http://schemas.openxmlformats.org/officeDocument/2006/relationships/hyperlink" Target="https://rafftechnologies.com/learn/guides/mysql-vs-postgresql-vs-mongodb" TargetMode="External"/><Relationship Id="rIdmbtlzcmji_5j3obhkayvq" Type="http://schemas.openxmlformats.org/officeDocument/2006/relationships/hyperlink" Target="https://www.kunalganglani.com/blog/mongodb-vs-postgresql-2026" TargetMode="External"/><Relationship Id="rIddnuzyh7f1depk_5fm1dgl" Type="http://schemas.openxmlformats.org/officeDocument/2006/relationships/hyperlink" Target="https://tech-insider.org/mongodb-vs-postgresql-2026" TargetMode="External"/><Relationship Id="rIdxnx-zh2yozpa9oqjb2uhz" Type="http://schemas.openxmlformats.org/officeDocument/2006/relationships/hyperlink" Target="https://www.tinybird.co/blog/best-database-for-real-time-analytics" TargetMode="External"/><Relationship Id="rId0kwwd2rxc8f6qvml6diu_" Type="http://schemas.openxmlformats.org/officeDocument/2006/relationships/hyperlink" Target="https://www.kunalganglani.com" TargetMode="External"/><Relationship Id="rIdkn3-4_z63n1wq1ehouf43" Type="http://schemas.openxmlformats.org/officeDocument/2006/relationships/hyperlink" Target="https://www.dragonflydb.io" TargetMode="External"/><Relationship Id="rIdit6j1fxwu-6mlcylfzsnl" Type="http://schemas.openxmlformats.org/officeDocument/2006/relationships/hyperlink" Target="https://github.com/dragonflydb/dragonfly" TargetMode="External"/><Relationship Id="rId7uphgyz8cnef8hmi8j4za" Type="http://schemas.openxmlformats.org/officeDocument/2006/relationships/hyperlink" Target="https://www.meilisearch.com/comparisons" TargetMode="External"/><Relationship Id="rIda1e8mtlud5czycnv1tzlu" Type="http://schemas.openxmlformats.org/officeDocument/2006/relationships/hyperlink" Target="https://www.meilisearch.com/docs/resources/comparisons/postgresql" TargetMode="External"/><Relationship Id="rIdktt3n1xexn--t_avhvb1k" Type="http://schemas.openxmlformats.org/officeDocument/2006/relationships/hyperlink" Target="https://supabase.com/blog/postgres-full-text-search-vs-the-rest" TargetMode="External"/><Relationship Id="rIdnfktyrmx16amal-ymbpzl" Type="http://schemas.openxmlformats.org/officeDocument/2006/relationships/hyperlink" Target="https://dev.to/pockit_tools/rest-vs-graphql-vs-trpc-vs-grpc-in-2026-the-definitive-guide-to-choosing-your-api-layer-1j8m" TargetMode="External"/><Relationship Id="rIdsonwaze4okze36uzuzb2y" Type="http://schemas.openxmlformats.org/officeDocument/2006/relationships/hyperlink" Target="https://www.pkgpulse.com/guides/trpc-vs-graphql-api-layer-2026" TargetMode="External"/><Relationship Id="rIdczwn6nh-ke4owrgqmabfa" Type="http://schemas.openxmlformats.org/officeDocument/2006/relationships/hyperlink" Target="https://www.wallarm.com/what/trpc-protocol" TargetMode="External"/><Relationship Id="rIdw9mzhcny3_jj8xmmqvaak" Type="http://schemas.openxmlformats.org/officeDocument/2006/relationships/hyperlink" Target="https://www.designkey.studio/post/saas-auth-comparison-clerk-vs-auth0-vs-supabase" TargetMode="External"/><Relationship Id="rIdxcsjd719fplykg7--gs5b" Type="http://schemas.openxmlformats.org/officeDocument/2006/relationships/hyperlink" Target="https://designrevision.com/blog/auth-providers-compared" TargetMode="External"/><Relationship Id="rIdl4lurbgkubuioys-odwkr" Type="http://schemas.openxmlformats.org/officeDocument/2006/relationships/hyperlink" Target="https://makerkit.dev/blog/tutorials/better-auth-vs-clerk" TargetMode="External"/><Relationship Id="rIda6dglohqpupg_ww9hnil2" Type="http://schemas.openxmlformats.org/officeDocument/2006/relationships/hyperlink" Target="https://makerkit.dev/blog/tutorials/drizzle-vs-prisma" TargetMode="External"/><Relationship Id="rIdzdvk-g0-5xiyw1om2esbh" Type="http://schemas.openxmlformats.org/officeDocument/2006/relationships/hyperlink" Target="https://encore.dev/articles/drizzle-vs-prisma" TargetMode="External"/><Relationship Id="rIdxa0x5y9oe7rx368fncfz7" Type="http://schemas.openxmlformats.org/officeDocument/2006/relationships/hyperlink" Target="https://www.prisma.io/docs/orm/more/comparisons/prisma-and-drizzle" TargetMode="External"/><Relationship Id="rIdmwuo39fq0j5z5fb29anom" Type="http://schemas.openxmlformats.org/officeDocument/2006/relationships/hyperlink" Target="https://zenstack.dev/blog/orm-2026" TargetMode="External"/><Relationship Id="rIda_rklfxfqycve3lqz4aot" Type="http://schemas.openxmlformats.org/officeDocument/2006/relationships/hyperlink" Target="https://www.anthropic.com/engineering/effective-context-engineering-for-ai-agents"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2026-08-27T12:56:13.215Z</dcterms:created>
  <dcterms:modified xsi:type="dcterms:W3CDTF">2026-08-27T12:56:13.215Z</dcterms:modified>
</cp:coreProperties>
</file>

<file path=docProps/custom.xml><?xml version="1.0" encoding="utf-8"?>
<Properties xmlns="http://schemas.openxmlformats.org/officeDocument/2006/custom-properties" xmlns:vt="http://schemas.openxmlformats.org/officeDocument/2006/docPropsVTypes"/>
</file>