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C15A3">
      <w:pPr>
        <w:spacing w:after="200"/>
        <w:jc w:val="both"/>
      </w:pPr>
      <w:r>
        <w:rPr>
          <w:rFonts w:ascii="Calibri" w:hAnsi="Calibri" w:eastAsia="Calibri" w:cs="Calibri"/>
          <w:b/>
          <w:bCs/>
          <w:color w:val="363435"/>
          <w:sz w:val="34"/>
          <w:szCs w:val="34"/>
        </w:rPr>
        <w:t>Lead, Partnerships and People Operations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66145DC5">
        <w:tblPrEx>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86ACF6D">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46EA302C">
            <w:pPr>
              <w:jc w:val="both"/>
            </w:pPr>
            <w:r>
              <w:rPr>
                <w:rFonts w:ascii="Calibri" w:hAnsi="Calibri" w:eastAsia="Calibri" w:cs="Calibri"/>
                <w:color w:val="363435"/>
                <w:sz w:val="20"/>
                <w:szCs w:val="20"/>
              </w:rPr>
              <w:t>Lead, Partnerships and People Operations (National Service Personnel)</w:t>
            </w:r>
          </w:p>
        </w:tc>
      </w:tr>
      <w:tr w14:paraId="6E61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E30DF0B">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333EDCE5">
            <w:pPr>
              <w:jc w:val="both"/>
            </w:pPr>
            <w:r>
              <w:rPr>
                <w:rFonts w:ascii="Calibri" w:hAnsi="Calibri" w:eastAsia="Calibri" w:cs="Calibri"/>
                <w:color w:val="363435"/>
                <w:sz w:val="20"/>
                <w:szCs w:val="20"/>
              </w:rPr>
              <w:t>Partnerships and People Operations</w:t>
            </w:r>
          </w:p>
        </w:tc>
      </w:tr>
      <w:tr w14:paraId="7FB6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F90B3CD">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12805FF">
            <w:pPr>
              <w:jc w:val="both"/>
            </w:pPr>
            <w:r>
              <w:rPr>
                <w:rFonts w:ascii="Calibri" w:hAnsi="Calibri" w:eastAsia="Calibri" w:cs="Calibri"/>
                <w:color w:val="363435"/>
                <w:sz w:val="20"/>
                <w:szCs w:val="20"/>
              </w:rPr>
              <w:t>Chief Executive Officer (CEO)</w:t>
            </w:r>
          </w:p>
        </w:tc>
      </w:tr>
      <w:tr w14:paraId="60782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172ECE8">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771D8F9A">
            <w:pPr>
              <w:jc w:val="both"/>
            </w:pPr>
            <w:r>
              <w:rPr>
                <w:rFonts w:ascii="Calibri" w:hAnsi="Calibri" w:eastAsia="Calibri" w:cs="Calibri"/>
                <w:color w:val="363435"/>
                <w:sz w:val="20"/>
                <w:szCs w:val="20"/>
              </w:rPr>
              <w:t>Hybrid (Mostly Remote)</w:t>
            </w:r>
          </w:p>
        </w:tc>
      </w:tr>
      <w:tr w14:paraId="6C48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E57EF0D">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19DC74E1">
            <w:pPr>
              <w:jc w:val="both"/>
            </w:pPr>
            <w:r>
              <w:rPr>
                <w:rFonts w:ascii="Calibri" w:hAnsi="Calibri" w:eastAsia="Calibri" w:cs="Calibri"/>
                <w:color w:val="363435"/>
                <w:sz w:val="20"/>
                <w:szCs w:val="20"/>
              </w:rPr>
              <w:t>Full-Time (National Service Posting)</w:t>
            </w:r>
          </w:p>
        </w:tc>
      </w:tr>
      <w:tr w14:paraId="09D2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5B2FDBC">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1F0E1E73">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2BBF0864">
      <w:pPr>
        <w:spacing w:after="120"/>
        <w:jc w:val="both"/>
      </w:pPr>
    </w:p>
    <w:p w14:paraId="3C79E137">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3580ACFE">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679B4344">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2B8D2A2B">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build the external ecosystem that connects Grow With Educ8Africa’s students and alumni to industry, career opportunities, and funding, while leading the organization’s internal people function.</w:t>
      </w:r>
    </w:p>
    <w:p w14:paraId="631E6829">
      <w:pPr>
        <w:spacing w:after="160" w:line="276" w:lineRule="auto"/>
        <w:jc w:val="both"/>
      </w:pPr>
      <w:r>
        <w:rPr>
          <w:rFonts w:ascii="Calibri" w:hAnsi="Calibri" w:eastAsia="Calibri" w:cs="Calibri"/>
          <w:color w:val="363435"/>
          <w:sz w:val="21"/>
          <w:szCs w:val="21"/>
        </w:rPr>
        <w:t>As the Lead, Partnerships and People Operations, you will lead Grow With Educ8Africa’s internal people function and build the external ecosystem that connects its students and alumni to industry, career opportunities, and funding.</w:t>
      </w:r>
    </w:p>
    <w:p w14:paraId="3B87A4C0">
      <w:pPr>
        <w:spacing w:after="160" w:line="276" w:lineRule="auto"/>
        <w:jc w:val="both"/>
      </w:pPr>
      <w:r>
        <w:rPr>
          <w:rFonts w:ascii="Calibri" w:hAnsi="Calibri" w:eastAsia="Calibri" w:cs="Calibri"/>
          <w:color w:val="363435"/>
          <w:sz w:val="21"/>
          <w:szCs w:val="21"/>
        </w:rPr>
        <w:t>The role combines people operations, employer partnerships, career development and placement, apprenticeship and mentorship sourcing, alumni engagement, sponsorship, and grant development. You will work with employers, industry professionals, funders, and other strategic stakeholders to strengthen Grow With Educ8Africa’s talent pathways and organisational capacity.</w:t>
      </w:r>
    </w:p>
    <w:p w14:paraId="4D0DC848">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49D6099E">
      <w:pPr>
        <w:spacing w:before="200" w:after="70"/>
        <w:jc w:val="both"/>
      </w:pPr>
      <w:r>
        <w:rPr>
          <w:rFonts w:ascii="Calibri" w:hAnsi="Calibri" w:eastAsia="Calibri" w:cs="Calibri"/>
          <w:b/>
          <w:bCs/>
          <w:color w:val="AE3033"/>
          <w:sz w:val="21"/>
          <w:szCs w:val="21"/>
        </w:rPr>
        <w:t>Partnership Development &amp; Employer Relations</w:t>
      </w:r>
    </w:p>
    <w:p w14:paraId="2CF27AFE">
      <w:pPr>
        <w:pStyle w:val="16"/>
        <w:numPr>
          <w:ilvl w:val="0"/>
          <w:numId w:val="1"/>
        </w:numPr>
        <w:spacing w:after="90" w:line="264" w:lineRule="auto"/>
        <w:jc w:val="both"/>
      </w:pPr>
      <w:r>
        <w:rPr>
          <w:rFonts w:ascii="Calibri" w:hAnsi="Calibri" w:eastAsia="Calibri" w:cs="Calibri"/>
          <w:color w:val="363435"/>
          <w:sz w:val="21"/>
          <w:szCs w:val="21"/>
        </w:rPr>
        <w:t>Identify and manage strategic relationships with employers, technology companies, corporate organisations, and development organisations.</w:t>
      </w:r>
    </w:p>
    <w:p w14:paraId="3F4D6626">
      <w:pPr>
        <w:pStyle w:val="16"/>
        <w:numPr>
          <w:ilvl w:val="0"/>
          <w:numId w:val="1"/>
        </w:numPr>
        <w:spacing w:after="90" w:line="264" w:lineRule="auto"/>
        <w:jc w:val="both"/>
      </w:pPr>
      <w:r>
        <w:rPr>
          <w:rFonts w:ascii="Calibri" w:hAnsi="Calibri" w:eastAsia="Calibri" w:cs="Calibri"/>
          <w:color w:val="363435"/>
          <w:sz w:val="21"/>
          <w:szCs w:val="21"/>
        </w:rPr>
        <w:t>Maintain a structured partnership pipeline and prospect database.</w:t>
      </w:r>
    </w:p>
    <w:p w14:paraId="0DB2155C">
      <w:pPr>
        <w:pStyle w:val="16"/>
        <w:numPr>
          <w:ilvl w:val="0"/>
          <w:numId w:val="1"/>
        </w:numPr>
        <w:spacing w:after="90" w:line="264" w:lineRule="auto"/>
        <w:jc w:val="both"/>
      </w:pPr>
      <w:r>
        <w:rPr>
          <w:rFonts w:ascii="Calibri" w:hAnsi="Calibri" w:eastAsia="Calibri" w:cs="Calibri"/>
          <w:color w:val="363435"/>
          <w:sz w:val="21"/>
          <w:szCs w:val="21"/>
        </w:rPr>
        <w:t>Develop partnership proposals, concept notes, presentations, and MOUs.</w:t>
      </w:r>
    </w:p>
    <w:p w14:paraId="5D0D2FFF">
      <w:pPr>
        <w:pStyle w:val="16"/>
        <w:numPr>
          <w:ilvl w:val="0"/>
          <w:numId w:val="1"/>
        </w:numPr>
        <w:spacing w:after="90" w:line="264" w:lineRule="auto"/>
        <w:jc w:val="both"/>
      </w:pPr>
      <w:r>
        <w:rPr>
          <w:rFonts w:ascii="Calibri" w:hAnsi="Calibri" w:eastAsia="Calibri" w:cs="Calibri"/>
          <w:color w:val="363435"/>
          <w:sz w:val="21"/>
          <w:szCs w:val="21"/>
        </w:rPr>
        <w:t>Build employer relationships that create internships, apprenticeships, entry-level employment, and other career opportunities for students and alumni.</w:t>
      </w:r>
    </w:p>
    <w:p w14:paraId="4EF0CFE1">
      <w:pPr>
        <w:spacing w:before="200" w:after="70"/>
        <w:jc w:val="both"/>
      </w:pPr>
      <w:r>
        <w:rPr>
          <w:rFonts w:ascii="Calibri" w:hAnsi="Calibri" w:eastAsia="Calibri" w:cs="Calibri"/>
          <w:b/>
          <w:bCs/>
          <w:color w:val="AE3033"/>
          <w:sz w:val="21"/>
          <w:szCs w:val="21"/>
        </w:rPr>
        <w:t>Career Pathways, Apprenticeship &amp; Mentorship</w:t>
      </w:r>
    </w:p>
    <w:p w14:paraId="6D5E24FA">
      <w:pPr>
        <w:pStyle w:val="16"/>
        <w:numPr>
          <w:ilvl w:val="0"/>
          <w:numId w:val="1"/>
        </w:numPr>
        <w:spacing w:after="90" w:line="264" w:lineRule="auto"/>
        <w:jc w:val="both"/>
      </w:pPr>
      <w:r>
        <w:rPr>
          <w:rFonts w:ascii="Calibri" w:hAnsi="Calibri" w:eastAsia="Calibri" w:cs="Calibri"/>
          <w:color w:val="363435"/>
          <w:sz w:val="21"/>
          <w:szCs w:val="21"/>
        </w:rPr>
        <w:t>Source candidate mentors and host organisations through institutional networks for the Apprenticeship Program, co-led with the Lead, Programmes, Training and Technical Enablement, who assesses technical and pedagogical fit and makes the final selection.</w:t>
      </w:r>
    </w:p>
    <w:p w14:paraId="3AC97E0E">
      <w:pPr>
        <w:pStyle w:val="16"/>
        <w:numPr>
          <w:ilvl w:val="0"/>
          <w:numId w:val="1"/>
        </w:numPr>
        <w:spacing w:after="90" w:line="264" w:lineRule="auto"/>
        <w:jc w:val="both"/>
      </w:pPr>
      <w:r>
        <w:rPr>
          <w:rFonts w:ascii="Calibri" w:hAnsi="Calibri" w:eastAsia="Calibri" w:cs="Calibri"/>
          <w:color w:val="363435"/>
          <w:sz w:val="21"/>
          <w:szCs w:val="21"/>
        </w:rPr>
        <w:t>Coordinate student access to practical workplace exposure through internships, apprenticeships, and industry mentorship.</w:t>
      </w:r>
    </w:p>
    <w:p w14:paraId="2A55C4E1">
      <w:pPr>
        <w:pStyle w:val="16"/>
        <w:numPr>
          <w:ilvl w:val="0"/>
          <w:numId w:val="1"/>
        </w:numPr>
        <w:spacing w:after="90" w:line="264" w:lineRule="auto"/>
        <w:jc w:val="both"/>
      </w:pPr>
      <w:r>
        <w:rPr>
          <w:rFonts w:ascii="Calibri" w:hAnsi="Calibri" w:eastAsia="Calibri" w:cs="Calibri"/>
          <w:color w:val="363435"/>
          <w:sz w:val="21"/>
          <w:szCs w:val="21"/>
        </w:rPr>
        <w:t>Manage student matching and placement coordination and maintain communication with participants and host organisations.</w:t>
      </w:r>
    </w:p>
    <w:p w14:paraId="2FC8305C">
      <w:pPr>
        <w:pStyle w:val="16"/>
        <w:numPr>
          <w:ilvl w:val="0"/>
          <w:numId w:val="1"/>
        </w:numPr>
        <w:spacing w:after="90" w:line="264" w:lineRule="auto"/>
        <w:jc w:val="both"/>
      </w:pPr>
      <w:r>
        <w:rPr>
          <w:rFonts w:ascii="Calibri" w:hAnsi="Calibri" w:eastAsia="Calibri" w:cs="Calibri"/>
          <w:color w:val="363435"/>
          <w:sz w:val="21"/>
          <w:szCs w:val="21"/>
        </w:rPr>
        <w:t>Track progression from training through mentorship or internship into employment, using participant and employer feedback to improve the pathway.</w:t>
      </w:r>
    </w:p>
    <w:p w14:paraId="07684AC9">
      <w:pPr>
        <w:spacing w:before="200" w:after="70"/>
        <w:jc w:val="both"/>
      </w:pPr>
      <w:r>
        <w:rPr>
          <w:rFonts w:ascii="Calibri" w:hAnsi="Calibri" w:eastAsia="Calibri" w:cs="Calibri"/>
          <w:b/>
          <w:bCs/>
          <w:color w:val="AE3033"/>
          <w:sz w:val="21"/>
          <w:szCs w:val="21"/>
        </w:rPr>
        <w:t>Alumni &amp; Community Engagement</w:t>
      </w:r>
    </w:p>
    <w:p w14:paraId="7ACA7788">
      <w:pPr>
        <w:pStyle w:val="16"/>
        <w:numPr>
          <w:ilvl w:val="0"/>
          <w:numId w:val="1"/>
        </w:numPr>
        <w:spacing w:after="90" w:line="264" w:lineRule="auto"/>
        <w:jc w:val="both"/>
      </w:pPr>
      <w:r>
        <w:rPr>
          <w:rFonts w:ascii="Calibri" w:hAnsi="Calibri" w:eastAsia="Calibri" w:cs="Calibri"/>
          <w:color w:val="363435"/>
          <w:sz w:val="21"/>
          <w:szCs w:val="21"/>
        </w:rPr>
        <w:t>Maintain an active alumni and professional community with accurate records and structured engagement.</w:t>
      </w:r>
    </w:p>
    <w:p w14:paraId="47F93E6C">
      <w:pPr>
        <w:pStyle w:val="16"/>
        <w:numPr>
          <w:ilvl w:val="0"/>
          <w:numId w:val="1"/>
        </w:numPr>
        <w:spacing w:after="90" w:line="264" w:lineRule="auto"/>
        <w:jc w:val="both"/>
      </w:pPr>
      <w:r>
        <w:rPr>
          <w:rFonts w:ascii="Calibri" w:hAnsi="Calibri" w:eastAsia="Calibri" w:cs="Calibri"/>
          <w:color w:val="363435"/>
          <w:sz w:val="21"/>
          <w:szCs w:val="21"/>
        </w:rPr>
        <w:t>Activate alumni as mentors, speakers, ambassadors, and connectors who can create opportunities for students.</w:t>
      </w:r>
    </w:p>
    <w:p w14:paraId="1C1271D5">
      <w:pPr>
        <w:pStyle w:val="16"/>
        <w:numPr>
          <w:ilvl w:val="0"/>
          <w:numId w:val="1"/>
        </w:numPr>
        <w:spacing w:after="90" w:line="264" w:lineRule="auto"/>
        <w:jc w:val="both"/>
      </w:pPr>
      <w:r>
        <w:rPr>
          <w:rFonts w:ascii="Calibri" w:hAnsi="Calibri" w:eastAsia="Calibri" w:cs="Calibri"/>
          <w:color w:val="363435"/>
          <w:sz w:val="21"/>
          <w:szCs w:val="21"/>
        </w:rPr>
        <w:t>Coordinate alumni engagement and capture career progression and success stories.</w:t>
      </w:r>
    </w:p>
    <w:p w14:paraId="447428D4">
      <w:pPr>
        <w:spacing w:before="200" w:after="70"/>
        <w:jc w:val="both"/>
      </w:pPr>
      <w:r>
        <w:rPr>
          <w:rFonts w:ascii="Calibri" w:hAnsi="Calibri" w:eastAsia="Calibri" w:cs="Calibri"/>
          <w:b/>
          <w:bCs/>
          <w:color w:val="AE3033"/>
          <w:sz w:val="21"/>
          <w:szCs w:val="21"/>
        </w:rPr>
        <w:t>Career Readiness &amp; Placement</w:t>
      </w:r>
    </w:p>
    <w:p w14:paraId="22F57659">
      <w:pPr>
        <w:pStyle w:val="16"/>
        <w:numPr>
          <w:ilvl w:val="0"/>
          <w:numId w:val="1"/>
        </w:numPr>
        <w:spacing w:after="90" w:line="264" w:lineRule="auto"/>
        <w:jc w:val="both"/>
      </w:pPr>
      <w:r>
        <w:rPr>
          <w:rFonts w:ascii="Calibri" w:hAnsi="Calibri" w:eastAsia="Calibri" w:cs="Calibri"/>
          <w:color w:val="363435"/>
          <w:sz w:val="21"/>
          <w:szCs w:val="21"/>
        </w:rPr>
        <w:t>Lead career-readiness support that prepares students and alumni for internships, apprenticeships, interviews, and employment.</w:t>
      </w:r>
    </w:p>
    <w:p w14:paraId="5D8C2F09">
      <w:pPr>
        <w:pStyle w:val="16"/>
        <w:numPr>
          <w:ilvl w:val="0"/>
          <w:numId w:val="1"/>
        </w:numPr>
        <w:spacing w:after="90" w:line="264" w:lineRule="auto"/>
        <w:jc w:val="both"/>
      </w:pPr>
      <w:r>
        <w:rPr>
          <w:rFonts w:ascii="Calibri" w:hAnsi="Calibri" w:eastAsia="Calibri" w:cs="Calibri"/>
          <w:color w:val="363435"/>
          <w:sz w:val="21"/>
          <w:szCs w:val="21"/>
        </w:rPr>
        <w:t>Coordinate support for CVs, professional profiles, and interview preparation with relevant teams.</w:t>
      </w:r>
    </w:p>
    <w:p w14:paraId="22BA1065">
      <w:pPr>
        <w:pStyle w:val="16"/>
        <w:numPr>
          <w:ilvl w:val="0"/>
          <w:numId w:val="1"/>
        </w:numPr>
        <w:spacing w:after="90" w:line="264" w:lineRule="auto"/>
        <w:jc w:val="both"/>
      </w:pPr>
      <w:r>
        <w:rPr>
          <w:rFonts w:ascii="Calibri" w:hAnsi="Calibri" w:eastAsia="Calibri" w:cs="Calibri"/>
          <w:color w:val="363435"/>
          <w:sz w:val="21"/>
          <w:szCs w:val="21"/>
        </w:rPr>
        <w:t>Follow up with placed participants and employers to support successful transition into the workplace and capture employment outcomes.</w:t>
      </w:r>
    </w:p>
    <w:p w14:paraId="1E1202A9">
      <w:pPr>
        <w:spacing w:before="200" w:after="70"/>
        <w:jc w:val="both"/>
      </w:pPr>
      <w:r>
        <w:rPr>
          <w:rFonts w:ascii="Calibri" w:hAnsi="Calibri" w:eastAsia="Calibri" w:cs="Calibri"/>
          <w:b/>
          <w:bCs/>
          <w:color w:val="AE3033"/>
          <w:sz w:val="21"/>
          <w:szCs w:val="21"/>
        </w:rPr>
        <w:t>Funding, Sponsorship &amp; Stakeholder Engagement</w:t>
      </w:r>
    </w:p>
    <w:p w14:paraId="5392678A">
      <w:pPr>
        <w:pStyle w:val="16"/>
        <w:numPr>
          <w:ilvl w:val="0"/>
          <w:numId w:val="1"/>
        </w:numPr>
        <w:spacing w:after="90" w:line="264" w:lineRule="auto"/>
        <w:jc w:val="both"/>
      </w:pPr>
      <w:r>
        <w:rPr>
          <w:rFonts w:ascii="Calibri" w:hAnsi="Calibri" w:eastAsia="Calibri" w:cs="Calibri"/>
          <w:color w:val="363435"/>
          <w:sz w:val="21"/>
          <w:szCs w:val="21"/>
        </w:rPr>
        <w:t>Identify and pursue grants, corporate sponsorships, and strategic funding partnerships aligned with the organisation’s mission.</w:t>
      </w:r>
    </w:p>
    <w:p w14:paraId="1E106347">
      <w:pPr>
        <w:pStyle w:val="16"/>
        <w:numPr>
          <w:ilvl w:val="0"/>
          <w:numId w:val="1"/>
        </w:numPr>
        <w:spacing w:after="90" w:line="264" w:lineRule="auto"/>
        <w:jc w:val="both"/>
      </w:pPr>
      <w:r>
        <w:rPr>
          <w:rFonts w:ascii="Calibri" w:hAnsi="Calibri" w:eastAsia="Calibri" w:cs="Calibri"/>
          <w:color w:val="363435"/>
          <w:sz w:val="21"/>
          <w:szCs w:val="21"/>
        </w:rPr>
        <w:t>Lead the development and submission of grant proposals, sponsorship proposals, and donor briefs.</w:t>
      </w:r>
    </w:p>
    <w:p w14:paraId="153345A3">
      <w:pPr>
        <w:pStyle w:val="16"/>
        <w:numPr>
          <w:ilvl w:val="0"/>
          <w:numId w:val="1"/>
        </w:numPr>
        <w:spacing w:after="90" w:line="264" w:lineRule="auto"/>
        <w:jc w:val="both"/>
      </w:pPr>
      <w:r>
        <w:rPr>
          <w:rFonts w:ascii="Calibri" w:hAnsi="Calibri" w:eastAsia="Calibri" w:cs="Calibri"/>
          <w:color w:val="363435"/>
          <w:sz w:val="21"/>
          <w:szCs w:val="21"/>
        </w:rPr>
        <w:t>Manage funder and sponsor communication, follow-up, reporting, and long-term engagement.</w:t>
      </w:r>
    </w:p>
    <w:p w14:paraId="36A633B3">
      <w:pPr>
        <w:pStyle w:val="16"/>
        <w:numPr>
          <w:ilvl w:val="0"/>
          <w:numId w:val="1"/>
        </w:numPr>
        <w:spacing w:after="90" w:line="264" w:lineRule="auto"/>
        <w:jc w:val="both"/>
      </w:pPr>
      <w:r>
        <w:rPr>
          <w:rFonts w:ascii="Calibri" w:hAnsi="Calibri" w:eastAsia="Calibri" w:cs="Calibri"/>
          <w:color w:val="363435"/>
          <w:sz w:val="21"/>
          <w:szCs w:val="21"/>
        </w:rPr>
        <w:t>Coordinate with the Social Media Lead to support appropriate visibility of partnerships, funded programmes, and impact stories.</w:t>
      </w:r>
    </w:p>
    <w:p w14:paraId="3DDB0AB6">
      <w:pPr>
        <w:spacing w:before="200" w:after="70"/>
        <w:jc w:val="both"/>
      </w:pPr>
      <w:r>
        <w:rPr>
          <w:rFonts w:ascii="Calibri" w:hAnsi="Calibri" w:eastAsia="Calibri" w:cs="Calibri"/>
          <w:b/>
          <w:bCs/>
          <w:color w:val="AE3033"/>
          <w:sz w:val="21"/>
          <w:szCs w:val="21"/>
        </w:rPr>
        <w:t>People Operations &amp; Documentation</w:t>
      </w:r>
    </w:p>
    <w:p w14:paraId="704303D0">
      <w:pPr>
        <w:pStyle w:val="16"/>
        <w:numPr>
          <w:ilvl w:val="0"/>
          <w:numId w:val="1"/>
        </w:numPr>
        <w:spacing w:after="90" w:line="264" w:lineRule="auto"/>
        <w:jc w:val="both"/>
      </w:pPr>
      <w:r>
        <w:rPr>
          <w:rFonts w:ascii="Calibri" w:hAnsi="Calibri" w:eastAsia="Calibri" w:cs="Calibri"/>
          <w:color w:val="363435"/>
          <w:sz w:val="21"/>
          <w:szCs w:val="21"/>
        </w:rPr>
        <w:t>Lead internal people processes covering recruitment, onboarding, performance management, and workforce planning.</w:t>
      </w:r>
    </w:p>
    <w:p w14:paraId="5E993302">
      <w:pPr>
        <w:pStyle w:val="16"/>
        <w:numPr>
          <w:ilvl w:val="0"/>
          <w:numId w:val="1"/>
        </w:numPr>
        <w:spacing w:after="90" w:line="264" w:lineRule="auto"/>
        <w:jc w:val="both"/>
      </w:pPr>
      <w:r>
        <w:rPr>
          <w:rFonts w:ascii="Calibri" w:hAnsi="Calibri" w:eastAsia="Calibri" w:cs="Calibri"/>
          <w:color w:val="363435"/>
          <w:sz w:val="21"/>
          <w:szCs w:val="21"/>
        </w:rPr>
        <w:t>Develop and maintain HR policies, job descriptions, and personnel records that support accountability and professional growth.</w:t>
      </w:r>
    </w:p>
    <w:p w14:paraId="49C25BFD">
      <w:pPr>
        <w:pStyle w:val="16"/>
        <w:numPr>
          <w:ilvl w:val="0"/>
          <w:numId w:val="1"/>
        </w:numPr>
        <w:spacing w:after="90" w:line="264" w:lineRule="auto"/>
        <w:jc w:val="both"/>
      </w:pPr>
      <w:r>
        <w:rPr>
          <w:rFonts w:ascii="Calibri" w:hAnsi="Calibri" w:eastAsia="Calibri" w:cs="Calibri"/>
          <w:color w:val="363435"/>
          <w:sz w:val="21"/>
          <w:szCs w:val="21"/>
        </w:rPr>
        <w:t>Provide management with people-related guidance and maintain appropriate confidentiality in employment practices.</w:t>
      </w:r>
    </w:p>
    <w:p w14:paraId="033536C7">
      <w:pPr>
        <w:spacing w:before="200" w:after="70"/>
        <w:jc w:val="both"/>
      </w:pPr>
      <w:r>
        <w:rPr>
          <w:rFonts w:ascii="Calibri" w:hAnsi="Calibri" w:eastAsia="Calibri" w:cs="Calibri"/>
          <w:b/>
          <w:bCs/>
          <w:color w:val="AE3033"/>
          <w:sz w:val="21"/>
          <w:szCs w:val="21"/>
        </w:rPr>
        <w:t>Strategic Research &amp; Intelligence</w:t>
      </w:r>
    </w:p>
    <w:p w14:paraId="7E868472">
      <w:pPr>
        <w:pStyle w:val="16"/>
        <w:numPr>
          <w:ilvl w:val="0"/>
          <w:numId w:val="1"/>
        </w:numPr>
        <w:spacing w:after="90" w:line="264" w:lineRule="auto"/>
        <w:jc w:val="both"/>
      </w:pPr>
      <w:r>
        <w:rPr>
          <w:rFonts w:ascii="Calibri" w:hAnsi="Calibri" w:eastAsia="Calibri" w:cs="Calibri"/>
          <w:color w:val="363435"/>
          <w:sz w:val="21"/>
          <w:szCs w:val="21"/>
        </w:rPr>
        <w:t>Research employers, industry needs, labour-market trends, and funding opportunities relevant to the organisation.</w:t>
      </w:r>
    </w:p>
    <w:p w14:paraId="2970B8DC">
      <w:pPr>
        <w:pStyle w:val="16"/>
        <w:numPr>
          <w:ilvl w:val="0"/>
          <w:numId w:val="1"/>
        </w:numPr>
        <w:spacing w:after="90" w:line="264" w:lineRule="auto"/>
        <w:jc w:val="both"/>
      </w:pPr>
      <w:r>
        <w:rPr>
          <w:rFonts w:ascii="Calibri" w:hAnsi="Calibri" w:eastAsia="Calibri" w:cs="Calibri"/>
          <w:color w:val="363435"/>
          <w:sz w:val="21"/>
          <w:szCs w:val="21"/>
        </w:rPr>
        <w:t>Monitor developments in technology, cybersecurity, and workforce development funding that may affect programmes and students.</w:t>
      </w:r>
    </w:p>
    <w:p w14:paraId="6C0F1A30">
      <w:pPr>
        <w:pStyle w:val="16"/>
        <w:numPr>
          <w:ilvl w:val="0"/>
          <w:numId w:val="1"/>
        </w:numPr>
        <w:spacing w:after="90" w:line="264" w:lineRule="auto"/>
        <w:jc w:val="both"/>
      </w:pPr>
      <w:r>
        <w:rPr>
          <w:rFonts w:ascii="Calibri" w:hAnsi="Calibri" w:eastAsia="Calibri" w:cs="Calibri"/>
          <w:color w:val="363435"/>
          <w:sz w:val="21"/>
          <w:szCs w:val="21"/>
        </w:rPr>
        <w:t>Translate findings into actionable partnership, funding, apprenticeship, and career opportunities.</w:t>
      </w:r>
    </w:p>
    <w:p w14:paraId="17F18C96">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37030949">
      <w:pPr>
        <w:spacing w:before="200" w:after="80"/>
        <w:jc w:val="both"/>
      </w:pPr>
      <w:r>
        <w:rPr>
          <w:rFonts w:ascii="Calibri" w:hAnsi="Calibri" w:eastAsia="Calibri" w:cs="Calibri"/>
          <w:b/>
          <w:bCs/>
          <w:i/>
          <w:iCs/>
          <w:color w:val="363435"/>
          <w:sz w:val="22"/>
          <w:szCs w:val="22"/>
        </w:rPr>
        <w:t>Educational Background</w:t>
      </w:r>
    </w:p>
    <w:p w14:paraId="7EC36670">
      <w:pPr>
        <w:spacing w:after="160" w:line="276" w:lineRule="auto"/>
        <w:jc w:val="both"/>
      </w:pPr>
      <w:r>
        <w:rPr>
          <w:rFonts w:ascii="Calibri" w:hAnsi="Calibri" w:eastAsia="Calibri" w:cs="Calibri"/>
          <w:color w:val="363435"/>
          <w:sz w:val="21"/>
          <w:szCs w:val="21"/>
        </w:rPr>
        <w:t>A bachelor's degree in Human Resources, Business Administration, Management, Social Sciences, International Development, Communications, or a related field. Relevant professional qualifications or equivalent experience will be an advantage.</w:t>
      </w:r>
    </w:p>
    <w:p w14:paraId="46F31C08">
      <w:pPr>
        <w:spacing w:before="200" w:after="80"/>
        <w:jc w:val="both"/>
      </w:pPr>
      <w:r>
        <w:rPr>
          <w:rFonts w:ascii="Calibri" w:hAnsi="Calibri" w:eastAsia="Calibri" w:cs="Calibri"/>
          <w:b/>
          <w:bCs/>
          <w:i/>
          <w:iCs/>
          <w:color w:val="363435"/>
          <w:sz w:val="22"/>
          <w:szCs w:val="22"/>
        </w:rPr>
        <w:t>Professional Competencies</w:t>
      </w:r>
    </w:p>
    <w:p w14:paraId="428287E5">
      <w:pPr>
        <w:pStyle w:val="16"/>
        <w:numPr>
          <w:ilvl w:val="0"/>
          <w:numId w:val="1"/>
        </w:numPr>
        <w:spacing w:after="90" w:line="264" w:lineRule="auto"/>
        <w:jc w:val="both"/>
      </w:pPr>
      <w:r>
        <w:rPr>
          <w:rFonts w:ascii="Calibri" w:hAnsi="Calibri" w:eastAsia="Calibri" w:cs="Calibri"/>
          <w:color w:val="363435"/>
          <w:sz w:val="21"/>
          <w:szCs w:val="21"/>
        </w:rPr>
        <w:t>Demonstrated experience or strong interest in partnership development, stakeholder management, or employer relations.</w:t>
      </w:r>
    </w:p>
    <w:p w14:paraId="01A3E4A7">
      <w:pPr>
        <w:pStyle w:val="16"/>
        <w:numPr>
          <w:ilvl w:val="0"/>
          <w:numId w:val="1"/>
        </w:numPr>
        <w:spacing w:after="90" w:line="264" w:lineRule="auto"/>
        <w:jc w:val="both"/>
      </w:pPr>
      <w:r>
        <w:rPr>
          <w:rFonts w:ascii="Calibri" w:hAnsi="Calibri" w:eastAsia="Calibri" w:cs="Calibri"/>
          <w:color w:val="363435"/>
          <w:sz w:val="21"/>
          <w:szCs w:val="21"/>
        </w:rPr>
        <w:t>Comfortable leading or supporting core people-operations processes (recruitment, onboarding, performance management).</w:t>
      </w:r>
    </w:p>
    <w:p w14:paraId="017AEAF6">
      <w:pPr>
        <w:pStyle w:val="16"/>
        <w:numPr>
          <w:ilvl w:val="0"/>
          <w:numId w:val="1"/>
        </w:numPr>
        <w:spacing w:after="90" w:line="264" w:lineRule="auto"/>
        <w:jc w:val="both"/>
      </w:pPr>
      <w:r>
        <w:rPr>
          <w:rFonts w:ascii="Calibri" w:hAnsi="Calibri" w:eastAsia="Calibri" w:cs="Calibri"/>
          <w:color w:val="363435"/>
          <w:sz w:val="21"/>
          <w:szCs w:val="21"/>
        </w:rPr>
        <w:t>Experience with proposal writing, grant applications, or sponsorship development is an advantage.</w:t>
      </w:r>
    </w:p>
    <w:p w14:paraId="174E178F">
      <w:pPr>
        <w:pStyle w:val="16"/>
        <w:numPr>
          <w:ilvl w:val="0"/>
          <w:numId w:val="1"/>
        </w:numPr>
        <w:spacing w:after="90" w:line="264" w:lineRule="auto"/>
        <w:jc w:val="both"/>
      </w:pPr>
      <w:r>
        <w:rPr>
          <w:rFonts w:ascii="Calibri" w:hAnsi="Calibri" w:eastAsia="Calibri" w:cs="Calibri"/>
          <w:color w:val="363435"/>
          <w:sz w:val="21"/>
          <w:szCs w:val="21"/>
        </w:rPr>
        <w:t>Strong research skills and the ability to translate findings into actionable partnership or funding opportunities.</w:t>
      </w:r>
    </w:p>
    <w:p w14:paraId="2FC37B9C">
      <w:pPr>
        <w:pStyle w:val="16"/>
        <w:numPr>
          <w:ilvl w:val="0"/>
          <w:numId w:val="1"/>
        </w:numPr>
        <w:spacing w:after="90" w:line="264" w:lineRule="auto"/>
        <w:jc w:val="both"/>
      </w:pPr>
      <w:r>
        <w:rPr>
          <w:rFonts w:ascii="Calibri" w:hAnsi="Calibri" w:eastAsia="Calibri" w:cs="Calibri"/>
          <w:color w:val="363435"/>
          <w:sz w:val="21"/>
          <w:szCs w:val="21"/>
        </w:rPr>
        <w:t>Ability to manage a live pipeline (partnerships, mentors, or candidates) with accuracy and follow-through.</w:t>
      </w:r>
    </w:p>
    <w:p w14:paraId="5E9D3526">
      <w:pPr>
        <w:spacing w:before="200" w:after="80"/>
        <w:jc w:val="both"/>
      </w:pPr>
      <w:r>
        <w:rPr>
          <w:rFonts w:ascii="Calibri" w:hAnsi="Calibri" w:eastAsia="Calibri" w:cs="Calibri"/>
          <w:b/>
          <w:bCs/>
          <w:i/>
          <w:iCs/>
          <w:color w:val="363435"/>
          <w:sz w:val="22"/>
          <w:szCs w:val="22"/>
        </w:rPr>
        <w:t>AI Fluency</w:t>
      </w:r>
    </w:p>
    <w:p w14:paraId="72DB65F8">
      <w:pPr>
        <w:pStyle w:val="16"/>
        <w:numPr>
          <w:ilvl w:val="0"/>
          <w:numId w:val="1"/>
        </w:numPr>
        <w:spacing w:after="90" w:line="264" w:lineRule="auto"/>
        <w:jc w:val="both"/>
      </w:pPr>
      <w:r>
        <w:rPr>
          <w:rFonts w:ascii="Calibri" w:hAnsi="Calibri" w:eastAsia="Calibri" w:cs="Calibri"/>
          <w:color w:val="363435"/>
          <w:sz w:val="21"/>
          <w:szCs w:val="21"/>
        </w:rPr>
        <w:t>Familiarity with AI-powered research, writing, productivity, and analysis tools.</w:t>
      </w:r>
    </w:p>
    <w:p w14:paraId="35B64D36">
      <w:pPr>
        <w:pStyle w:val="16"/>
        <w:numPr>
          <w:ilvl w:val="0"/>
          <w:numId w:val="1"/>
        </w:numPr>
        <w:spacing w:after="90" w:line="264" w:lineRule="auto"/>
        <w:jc w:val="both"/>
      </w:pPr>
      <w:r>
        <w:rPr>
          <w:rFonts w:ascii="Calibri" w:hAnsi="Calibri" w:eastAsia="Calibri" w:cs="Calibri"/>
          <w:color w:val="363435"/>
          <w:sz w:val="21"/>
          <w:szCs w:val="21"/>
        </w:rPr>
        <w:t>Ability to use AI responsibly to support research, proposal development, stakeholder intelligence, and documentation.</w:t>
      </w:r>
    </w:p>
    <w:p w14:paraId="15E2026F">
      <w:pPr>
        <w:pStyle w:val="16"/>
        <w:numPr>
          <w:ilvl w:val="0"/>
          <w:numId w:val="1"/>
        </w:numPr>
        <w:spacing w:after="90" w:line="264" w:lineRule="auto"/>
        <w:jc w:val="both"/>
      </w:pPr>
      <w:r>
        <w:rPr>
          <w:rFonts w:ascii="Calibri" w:hAnsi="Calibri" w:eastAsia="Calibri" w:cs="Calibri"/>
          <w:color w:val="363435"/>
          <w:sz w:val="21"/>
          <w:szCs w:val="21"/>
        </w:rPr>
        <w:t>Willingness to continuously learn and adapt to emerging AI technologies.</w:t>
      </w:r>
    </w:p>
    <w:p w14:paraId="27B358CC">
      <w:pPr>
        <w:spacing w:before="200" w:after="80"/>
        <w:jc w:val="both"/>
      </w:pPr>
      <w:r>
        <w:rPr>
          <w:rFonts w:ascii="Calibri" w:hAnsi="Calibri" w:eastAsia="Calibri" w:cs="Calibri"/>
          <w:b/>
          <w:bCs/>
          <w:i/>
          <w:iCs/>
          <w:color w:val="363435"/>
          <w:sz w:val="22"/>
          <w:szCs w:val="22"/>
        </w:rPr>
        <w:t>Tools &amp; Platforms</w:t>
      </w:r>
    </w:p>
    <w:p w14:paraId="0F269C4F">
      <w:pPr>
        <w:pStyle w:val="16"/>
        <w:numPr>
          <w:ilvl w:val="0"/>
          <w:numId w:val="1"/>
        </w:numPr>
        <w:spacing w:after="90" w:line="264" w:lineRule="auto"/>
        <w:jc w:val="both"/>
      </w:pPr>
      <w:r>
        <w:rPr>
          <w:rFonts w:ascii="Calibri" w:hAnsi="Calibri" w:eastAsia="Calibri" w:cs="Calibri"/>
          <w:color w:val="363435"/>
          <w:sz w:val="21"/>
          <w:szCs w:val="21"/>
        </w:rPr>
        <w:t>Proficiency with Microsoft 365, Google Workspace, or equivalent productivity and collaboration platforms.</w:t>
      </w:r>
    </w:p>
    <w:p w14:paraId="4DE184B2">
      <w:pPr>
        <w:pStyle w:val="16"/>
        <w:numPr>
          <w:ilvl w:val="0"/>
          <w:numId w:val="1"/>
        </w:numPr>
        <w:spacing w:after="90" w:line="264" w:lineRule="auto"/>
        <w:jc w:val="both"/>
      </w:pPr>
      <w:r>
        <w:rPr>
          <w:rFonts w:ascii="Calibri" w:hAnsi="Calibri" w:eastAsia="Calibri" w:cs="Calibri"/>
          <w:color w:val="363435"/>
          <w:sz w:val="21"/>
          <w:szCs w:val="21"/>
        </w:rPr>
        <w:t>Familiarity with project management, CRM, HR, or applicant-tracking tools used to manage people and stakeholder relationships.</w:t>
      </w:r>
    </w:p>
    <w:p w14:paraId="409296DE">
      <w:pPr>
        <w:pStyle w:val="16"/>
        <w:numPr>
          <w:ilvl w:val="0"/>
          <w:numId w:val="1"/>
        </w:numPr>
        <w:spacing w:after="90" w:line="264" w:lineRule="auto"/>
        <w:jc w:val="both"/>
      </w:pPr>
      <w:r>
        <w:rPr>
          <w:rFonts w:ascii="Calibri" w:hAnsi="Calibri" w:eastAsia="Calibri" w:cs="Calibri"/>
          <w:color w:val="363435"/>
          <w:sz w:val="21"/>
          <w:szCs w:val="21"/>
        </w:rPr>
        <w:t>Ability to work effectively with cloud-based systems, shared workspaces, and digital records.</w:t>
      </w:r>
    </w:p>
    <w:p w14:paraId="7F75CCD0">
      <w:pPr>
        <w:spacing w:before="200" w:after="80"/>
        <w:jc w:val="both"/>
      </w:pPr>
      <w:r>
        <w:rPr>
          <w:rFonts w:ascii="Calibri" w:hAnsi="Calibri" w:eastAsia="Calibri" w:cs="Calibri"/>
          <w:b/>
          <w:bCs/>
          <w:i/>
          <w:iCs/>
          <w:color w:val="363435"/>
          <w:sz w:val="22"/>
          <w:szCs w:val="22"/>
        </w:rPr>
        <w:t>Work Requirements</w:t>
      </w:r>
    </w:p>
    <w:p w14:paraId="3FCC86CD">
      <w:pPr>
        <w:pStyle w:val="16"/>
        <w:numPr>
          <w:ilvl w:val="0"/>
          <w:numId w:val="1"/>
        </w:numPr>
        <w:spacing w:after="90" w:line="264" w:lineRule="auto"/>
        <w:jc w:val="both"/>
      </w:pPr>
      <w:r>
        <w:rPr>
          <w:rFonts w:ascii="Calibri" w:hAnsi="Calibri" w:eastAsia="Calibri" w:cs="Calibri"/>
          <w:color w:val="363435"/>
          <w:sz w:val="21"/>
          <w:szCs w:val="21"/>
        </w:rPr>
        <w:t>Must be able to commit to full-time hybrid/remote work.</w:t>
      </w:r>
    </w:p>
    <w:p w14:paraId="29405479">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0DA83A83">
      <w:pPr>
        <w:pStyle w:val="16"/>
        <w:numPr>
          <w:ilvl w:val="0"/>
          <w:numId w:val="1"/>
        </w:numPr>
        <w:spacing w:after="90" w:line="264" w:lineRule="auto"/>
        <w:jc w:val="both"/>
      </w:pPr>
      <w:r>
        <w:rPr>
          <w:rFonts w:ascii="Calibri" w:hAnsi="Calibri" w:eastAsia="Calibri" w:cs="Calibri"/>
          <w:color w:val="363435"/>
          <w:sz w:val="21"/>
          <w:szCs w:val="21"/>
        </w:rPr>
        <w:t>Availability for occasional in-person meetings, stakeholder engagements, and events when required.</w:t>
      </w:r>
    </w:p>
    <w:p w14:paraId="69752F16">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52347B42">
      <w:pPr>
        <w:pStyle w:val="16"/>
        <w:numPr>
          <w:ilvl w:val="0"/>
          <w:numId w:val="1"/>
        </w:numPr>
        <w:spacing w:after="90" w:line="264" w:lineRule="auto"/>
        <w:jc w:val="both"/>
      </w:pPr>
      <w:r>
        <w:rPr>
          <w:rFonts w:ascii="Calibri" w:hAnsi="Calibri" w:eastAsia="Calibri" w:cs="Calibri"/>
          <w:color w:val="363435"/>
          <w:sz w:val="21"/>
          <w:szCs w:val="21"/>
        </w:rPr>
        <w:t>Leadership and people management</w:t>
      </w:r>
    </w:p>
    <w:p w14:paraId="57F24299">
      <w:pPr>
        <w:pStyle w:val="16"/>
        <w:numPr>
          <w:ilvl w:val="0"/>
          <w:numId w:val="1"/>
        </w:numPr>
        <w:spacing w:after="90" w:line="264" w:lineRule="auto"/>
        <w:jc w:val="both"/>
      </w:pPr>
      <w:r>
        <w:rPr>
          <w:rFonts w:ascii="Calibri" w:hAnsi="Calibri" w:eastAsia="Calibri" w:cs="Calibri"/>
          <w:color w:val="363435"/>
          <w:sz w:val="21"/>
          <w:szCs w:val="21"/>
        </w:rPr>
        <w:t>Strategic thinking and relationship building</w:t>
      </w:r>
    </w:p>
    <w:p w14:paraId="4F397C4D">
      <w:pPr>
        <w:pStyle w:val="16"/>
        <w:numPr>
          <w:ilvl w:val="0"/>
          <w:numId w:val="1"/>
        </w:numPr>
        <w:spacing w:after="90" w:line="264" w:lineRule="auto"/>
        <w:jc w:val="both"/>
      </w:pPr>
      <w:r>
        <w:rPr>
          <w:rFonts w:ascii="Calibri" w:hAnsi="Calibri" w:eastAsia="Calibri" w:cs="Calibri"/>
          <w:color w:val="363435"/>
          <w:sz w:val="21"/>
          <w:szCs w:val="21"/>
        </w:rPr>
        <w:t>Negotiation and influence</w:t>
      </w:r>
    </w:p>
    <w:p w14:paraId="5FD05BB1">
      <w:pPr>
        <w:pStyle w:val="16"/>
        <w:numPr>
          <w:ilvl w:val="0"/>
          <w:numId w:val="1"/>
        </w:numPr>
        <w:spacing w:after="90" w:line="264" w:lineRule="auto"/>
        <w:jc w:val="both"/>
      </w:pPr>
      <w:r>
        <w:rPr>
          <w:rFonts w:ascii="Calibri" w:hAnsi="Calibri" w:eastAsia="Calibri" w:cs="Calibri"/>
          <w:color w:val="363435"/>
          <w:sz w:val="21"/>
          <w:szCs w:val="21"/>
        </w:rPr>
        <w:t>Ownership and accountability</w:t>
      </w:r>
    </w:p>
    <w:p w14:paraId="412DF24B">
      <w:pPr>
        <w:pStyle w:val="16"/>
        <w:numPr>
          <w:ilvl w:val="0"/>
          <w:numId w:val="1"/>
        </w:numPr>
        <w:spacing w:after="90" w:line="264" w:lineRule="auto"/>
        <w:jc w:val="both"/>
      </w:pPr>
      <w:r>
        <w:rPr>
          <w:rFonts w:ascii="Calibri" w:hAnsi="Calibri" w:eastAsia="Calibri" w:cs="Calibri"/>
          <w:color w:val="363435"/>
          <w:sz w:val="21"/>
          <w:szCs w:val="21"/>
        </w:rPr>
        <w:t>Discretion and professionalism</w:t>
      </w:r>
    </w:p>
    <w:p w14:paraId="6FDE0091">
      <w:pPr>
        <w:pStyle w:val="16"/>
        <w:numPr>
          <w:ilvl w:val="0"/>
          <w:numId w:val="1"/>
        </w:numPr>
        <w:spacing w:after="90" w:line="264" w:lineRule="auto"/>
        <w:jc w:val="both"/>
      </w:pPr>
      <w:r>
        <w:rPr>
          <w:rFonts w:ascii="Calibri" w:hAnsi="Calibri" w:eastAsia="Calibri" w:cs="Calibri"/>
          <w:color w:val="363435"/>
          <w:sz w:val="21"/>
          <w:szCs w:val="21"/>
        </w:rPr>
        <w:t>Execution and follow-through</w:t>
      </w:r>
    </w:p>
    <w:p w14:paraId="1F307368">
      <w:pPr>
        <w:pStyle w:val="16"/>
        <w:numPr>
          <w:ilvl w:val="0"/>
          <w:numId w:val="1"/>
        </w:numPr>
        <w:spacing w:after="90" w:line="264" w:lineRule="auto"/>
        <w:jc w:val="both"/>
      </w:pPr>
      <w:r>
        <w:rPr>
          <w:rFonts w:ascii="Calibri" w:hAnsi="Calibri" w:eastAsia="Calibri" w:cs="Calibri"/>
          <w:color w:val="363435"/>
          <w:sz w:val="21"/>
          <w:szCs w:val="21"/>
        </w:rPr>
        <w:t>Adaptability and resilience</w:t>
      </w:r>
    </w:p>
    <w:p w14:paraId="1263C0CB">
      <w:pPr>
        <w:pStyle w:val="16"/>
        <w:numPr>
          <w:ilvl w:val="0"/>
          <w:numId w:val="1"/>
        </w:numPr>
        <w:spacing w:after="90" w:line="264" w:lineRule="auto"/>
        <w:jc w:val="both"/>
      </w:pPr>
      <w:r>
        <w:rPr>
          <w:rFonts w:ascii="Calibri" w:hAnsi="Calibri" w:eastAsia="Calibri" w:cs="Calibri"/>
          <w:color w:val="363435"/>
          <w:sz w:val="21"/>
          <w:szCs w:val="21"/>
        </w:rPr>
        <w:t>Emotional intelligence</w:t>
      </w:r>
    </w:p>
    <w:p w14:paraId="3BC669FB">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1BDA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7215F89C">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420D485C">
            <w:pPr>
              <w:jc w:val="both"/>
            </w:pPr>
            <w:r>
              <w:rPr>
                <w:rFonts w:ascii="Calibri" w:hAnsi="Calibri" w:eastAsia="Calibri" w:cs="Calibri"/>
                <w:color w:val="363435"/>
                <w:sz w:val="20"/>
                <w:szCs w:val="20"/>
              </w:rPr>
              <w:t>Chief Executive Officer (CEO)</w:t>
            </w:r>
          </w:p>
        </w:tc>
      </w:tr>
      <w:tr w14:paraId="6796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A7841D0">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50DAE326">
            <w:pPr>
              <w:jc w:val="both"/>
            </w:pPr>
            <w:r>
              <w:rPr>
                <w:rFonts w:ascii="Calibri" w:hAnsi="Calibri" w:eastAsia="Calibri" w:cs="Calibri"/>
                <w:color w:val="363435"/>
                <w:sz w:val="20"/>
                <w:szCs w:val="20"/>
              </w:rPr>
              <w:t>Lead, Programmes, Training and Technical Enablement (co-lead of the Apprenticeship Program); Lead, Outreach and Campus Engagement; Lead, Social Media and Digital Communities; Finance and Operations; students, alumni, employers, mentors, and funders</w:t>
            </w:r>
          </w:p>
        </w:tc>
      </w:tr>
    </w:tbl>
    <w:p w14:paraId="0E3C0C3E">
      <w:pPr>
        <w:spacing w:after="120"/>
        <w:jc w:val="both"/>
      </w:pPr>
    </w:p>
    <w:p w14:paraId="23A2AB41">
      <w:pPr>
        <w:pStyle w:val="2"/>
        <w:pBdr>
          <w:bottom w:val="single" w:color="AE3033" w:sz="6" w:space="4"/>
        </w:pBdr>
        <w:spacing w:before="320" w:after="140"/>
        <w:jc w:val="both"/>
      </w:pPr>
      <w:r>
        <w:rPr>
          <w:rFonts w:ascii="Calibri" w:hAnsi="Calibri" w:eastAsia="Calibri" w:cs="Calibri"/>
          <w:b/>
          <w:bCs/>
          <w:color w:val="AE3033"/>
          <w:sz w:val="24"/>
          <w:szCs w:val="24"/>
        </w:rPr>
        <w:t>KEY PERFORMANCE INDICATORS</w:t>
      </w:r>
    </w:p>
    <w:p w14:paraId="69886F56">
      <w:pPr>
        <w:pStyle w:val="16"/>
        <w:numPr>
          <w:ilvl w:val="0"/>
          <w:numId w:val="1"/>
        </w:numPr>
        <w:spacing w:after="90" w:line="264" w:lineRule="auto"/>
        <w:jc w:val="both"/>
      </w:pPr>
      <w:r>
        <w:rPr>
          <w:rFonts w:ascii="Calibri" w:hAnsi="Calibri" w:eastAsia="Calibri" w:cs="Calibri"/>
          <w:color w:val="363435"/>
          <w:sz w:val="21"/>
          <w:szCs w:val="21"/>
        </w:rPr>
        <w:t>Number of active employer and funding partnerships secured</w:t>
      </w:r>
    </w:p>
    <w:p w14:paraId="56DC5ED4">
      <w:pPr>
        <w:pStyle w:val="16"/>
        <w:numPr>
          <w:ilvl w:val="0"/>
          <w:numId w:val="1"/>
        </w:numPr>
        <w:spacing w:after="90" w:line="264" w:lineRule="auto"/>
        <w:jc w:val="both"/>
      </w:pPr>
      <w:r>
        <w:rPr>
          <w:rFonts w:ascii="Calibri" w:hAnsi="Calibri" w:eastAsia="Calibri" w:cs="Calibri"/>
          <w:color w:val="363435"/>
          <w:sz w:val="21"/>
          <w:szCs w:val="21"/>
        </w:rPr>
        <w:t>Apprenticeship and mentorship placement rate</w:t>
      </w:r>
    </w:p>
    <w:p w14:paraId="7A7D6B9F">
      <w:pPr>
        <w:pStyle w:val="16"/>
        <w:numPr>
          <w:ilvl w:val="0"/>
          <w:numId w:val="1"/>
        </w:numPr>
        <w:spacing w:after="90" w:line="264" w:lineRule="auto"/>
        <w:jc w:val="both"/>
      </w:pPr>
      <w:r>
        <w:rPr>
          <w:rFonts w:ascii="Calibri" w:hAnsi="Calibri" w:eastAsia="Calibri" w:cs="Calibri"/>
          <w:color w:val="363435"/>
          <w:sz w:val="21"/>
          <w:szCs w:val="21"/>
        </w:rPr>
        <w:t>Post-placement retention and employer satisfaction</w:t>
      </w:r>
    </w:p>
    <w:p w14:paraId="55159D8A">
      <w:pPr>
        <w:pStyle w:val="16"/>
        <w:numPr>
          <w:ilvl w:val="0"/>
          <w:numId w:val="1"/>
        </w:numPr>
        <w:spacing w:after="90" w:line="264" w:lineRule="auto"/>
        <w:jc w:val="both"/>
      </w:pPr>
      <w:r>
        <w:rPr>
          <w:rFonts w:ascii="Calibri" w:hAnsi="Calibri" w:eastAsia="Calibri" w:cs="Calibri"/>
          <w:color w:val="363435"/>
          <w:sz w:val="21"/>
          <w:szCs w:val="21"/>
        </w:rPr>
        <w:t>Grant and sponsorship funds secured against target</w:t>
      </w:r>
    </w:p>
    <w:p w14:paraId="7362068D">
      <w:pPr>
        <w:pStyle w:val="16"/>
        <w:numPr>
          <w:ilvl w:val="0"/>
          <w:numId w:val="1"/>
        </w:numPr>
        <w:spacing w:after="90" w:line="264" w:lineRule="auto"/>
        <w:jc w:val="both"/>
      </w:pPr>
      <w:r>
        <w:rPr>
          <w:rFonts w:ascii="Calibri" w:hAnsi="Calibri" w:eastAsia="Calibri" w:cs="Calibri"/>
          <w:color w:val="363435"/>
          <w:sz w:val="21"/>
          <w:szCs w:val="21"/>
        </w:rPr>
        <w:t>Alumni engagement and community activity levels</w:t>
      </w:r>
    </w:p>
    <w:p w14:paraId="0C68E0A0">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23798A3E">
      <w:pPr>
        <w:pStyle w:val="16"/>
        <w:numPr>
          <w:ilvl w:val="0"/>
          <w:numId w:val="1"/>
        </w:numPr>
        <w:spacing w:after="90" w:line="264" w:lineRule="auto"/>
        <w:jc w:val="both"/>
      </w:pPr>
      <w:r>
        <w:rPr>
          <w:rFonts w:ascii="Calibri" w:hAnsi="Calibri" w:eastAsia="Calibri" w:cs="Calibri"/>
          <w:color w:val="363435"/>
          <w:sz w:val="21"/>
          <w:szCs w:val="21"/>
        </w:rPr>
        <w:t>Hands-on leadership experience in a dynamic, impact-driven organisation.</w:t>
      </w:r>
    </w:p>
    <w:p w14:paraId="28C35157">
      <w:pPr>
        <w:pStyle w:val="16"/>
        <w:numPr>
          <w:ilvl w:val="0"/>
          <w:numId w:val="1"/>
        </w:numPr>
        <w:spacing w:after="90" w:line="264" w:lineRule="auto"/>
        <w:jc w:val="both"/>
      </w:pPr>
      <w:r>
        <w:rPr>
          <w:rFonts w:ascii="Calibri" w:hAnsi="Calibri" w:eastAsia="Calibri" w:cs="Calibri"/>
          <w:color w:val="363435"/>
          <w:sz w:val="21"/>
          <w:szCs w:val="21"/>
        </w:rPr>
        <w:t>Direct exposure to organisational leadership, strategic partnerships, workforce development, and high-impact programmes.</w:t>
      </w:r>
    </w:p>
    <w:p w14:paraId="4E9F4FAB">
      <w:pPr>
        <w:pStyle w:val="16"/>
        <w:numPr>
          <w:ilvl w:val="0"/>
          <w:numId w:val="1"/>
        </w:numPr>
        <w:spacing w:after="90" w:line="264" w:lineRule="auto"/>
        <w:jc w:val="both"/>
      </w:pPr>
      <w:r>
        <w:rPr>
          <w:rFonts w:ascii="Calibri" w:hAnsi="Calibri" w:eastAsia="Calibri" w:cs="Calibri"/>
          <w:color w:val="363435"/>
          <w:sz w:val="21"/>
          <w:szCs w:val="21"/>
        </w:rPr>
        <w:t>Opportunity to build and lead systems spanning people operations, career pathways, and partnerships.</w:t>
      </w:r>
    </w:p>
    <w:p w14:paraId="34689597">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7B46CAFD">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 subject to organisational requirements.</w:t>
      </w:r>
    </w:p>
    <w:p w14:paraId="491FFE5D">
      <w:pPr>
        <w:pStyle w:val="16"/>
        <w:numPr>
          <w:ilvl w:val="0"/>
          <w:numId w:val="1"/>
        </w:numPr>
        <w:spacing w:after="90" w:line="264" w:lineRule="auto"/>
        <w:jc w:val="both"/>
      </w:pPr>
      <w:r>
        <w:rPr>
          <w:rFonts w:ascii="Calibri" w:hAnsi="Calibri" w:eastAsia="Calibri" w:cs="Calibri"/>
          <w:color w:val="363435"/>
          <w:sz w:val="21"/>
          <w:szCs w:val="21"/>
        </w:rPr>
        <w:t>Priority consideration for future freelance, contract, and full-time opportunities within Educ8Africa and its ecosystem.</w:t>
      </w:r>
    </w:p>
    <w:p w14:paraId="4B623FC9">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employment opportunities within Educ8Africa, its partners, and client organisations, subject to availability.</w:t>
      </w:r>
    </w:p>
    <w:p w14:paraId="2A6E1EC3">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66492466">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3E9F3FE2">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3EFDB799">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337C5520">
      <w:pPr>
        <w:pStyle w:val="2"/>
        <w:pBdr>
          <w:bottom w:val="single" w:color="AE3033" w:sz="6" w:space="4"/>
        </w:pBdr>
        <w:spacing w:before="320" w:after="140"/>
        <w:jc w:val="both"/>
      </w:pPr>
      <w:r>
        <w:rPr>
          <w:rFonts w:ascii="Calibri" w:hAnsi="Calibri" w:eastAsia="Calibri" w:cs="Calibri"/>
          <w:b/>
          <w:bCs/>
          <w:color w:val="AE3033"/>
          <w:sz w:val="24"/>
          <w:szCs w:val="24"/>
        </w:rPr>
        <w:t>HOW TO APPLY</w:t>
      </w:r>
    </w:p>
    <w:p w14:paraId="2613248E">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3E1A8D98">
      <w:pPr>
        <w:spacing w:after="160" w:line="276" w:lineRule="auto"/>
        <w:jc w:val="both"/>
      </w:pPr>
      <w:r>
        <w:rPr>
          <w:rFonts w:ascii="Calibri" w:hAnsi="Calibri" w:eastAsia="Calibri" w:cs="Calibri"/>
          <w:color w:val="363435"/>
          <w:sz w:val="21"/>
          <w:szCs w:val="21"/>
        </w:rPr>
        <w:t>Send your CV and a one-page cover letter to careers@educ8africa.com.</w:t>
      </w:r>
    </w:p>
    <w:p w14:paraId="4826F511">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Lead, Partnerships and People Operations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F6C74">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34A51F3B">
    <w:pPr>
      <w:jc w:val="center"/>
    </w:pPr>
    <w:r>
      <w:rPr>
        <w:rFonts w:ascii="Calibri" w:hAnsi="Calibri" w:eastAsia="Calibri" w:cs="Calibri"/>
        <w:i/>
        <w:iCs/>
        <w:color w:val="6B6969"/>
        <w:sz w:val="14"/>
        <w:szCs w:val="14"/>
      </w:rPr>
      <w:t>Document Version: 2.0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8D2F3">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06547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63435"/>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661</Words>
  <Characters>4826</Characters>
  <TotalTime>0</TotalTime>
  <ScaleCrop>false</ScaleCrop>
  <LinksUpToDate>false</LinksUpToDate>
  <CharactersWithSpaces>5431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294067F04B404FA5AFE1F92B0041E414_12</vt:lpwstr>
  </property>
</Properties>
</file>