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557CB">
      <w:pPr>
        <w:spacing w:after="200"/>
        <w:jc w:val="both"/>
      </w:pPr>
      <w:r>
        <w:rPr>
          <w:rFonts w:ascii="Calibri" w:hAnsi="Calibri" w:eastAsia="Calibri" w:cs="Calibri"/>
          <w:b/>
          <w:bCs/>
          <w:color w:val="363435"/>
          <w:sz w:val="34"/>
          <w:szCs w:val="34"/>
        </w:rPr>
        <w:t>Assistant Lead, Outreach and Campus Engagement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4CAD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56694295">
            <w:pPr>
              <w:jc w:val="both"/>
            </w:pPr>
            <w:r>
              <w:rPr>
                <w:rFonts w:ascii="Calibri" w:hAnsi="Calibri" w:eastAsia="Calibri" w:cs="Calibri"/>
                <w:b/>
                <w:bCs/>
                <w:color w:val="FFFFFF"/>
                <w:sz w:val="20"/>
                <w:szCs w:val="20"/>
              </w:rPr>
              <w:t>Job Title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036A6FEB">
            <w:pPr>
              <w:jc w:val="both"/>
            </w:pPr>
            <w:r>
              <w:rPr>
                <w:rFonts w:ascii="Calibri" w:hAnsi="Calibri" w:eastAsia="Calibri" w:cs="Calibri"/>
                <w:color w:val="363435"/>
                <w:sz w:val="20"/>
                <w:szCs w:val="20"/>
              </w:rPr>
              <w:t>Assistant Lead, Outreach and Campus Engagement (National Service Personnel)</w:t>
            </w:r>
          </w:p>
        </w:tc>
      </w:tr>
      <w:tr w14:paraId="6021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5F60FCCA">
            <w:pPr>
              <w:jc w:val="both"/>
            </w:pPr>
            <w:r>
              <w:rPr>
                <w:rFonts w:ascii="Calibri" w:hAnsi="Calibri" w:eastAsia="Calibri" w:cs="Calibri"/>
                <w:b/>
                <w:bCs/>
                <w:color w:val="FFFFFF"/>
                <w:sz w:val="20"/>
                <w:szCs w:val="20"/>
              </w:rPr>
              <w:t>Department</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3D0BAC85">
            <w:pPr>
              <w:jc w:val="both"/>
            </w:pPr>
            <w:r>
              <w:rPr>
                <w:rFonts w:ascii="Calibri" w:hAnsi="Calibri" w:eastAsia="Calibri" w:cs="Calibri"/>
                <w:color w:val="363435"/>
                <w:sz w:val="20"/>
                <w:szCs w:val="20"/>
              </w:rPr>
              <w:t>Outreach and Campus Engagement</w:t>
            </w:r>
          </w:p>
        </w:tc>
      </w:tr>
      <w:tr w14:paraId="4147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5B1217F">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7EB588D2">
            <w:pPr>
              <w:jc w:val="both"/>
            </w:pPr>
            <w:r>
              <w:rPr>
                <w:rFonts w:ascii="Calibri" w:hAnsi="Calibri" w:eastAsia="Calibri" w:cs="Calibri"/>
                <w:color w:val="363435"/>
                <w:sz w:val="20"/>
                <w:szCs w:val="20"/>
              </w:rPr>
              <w:t>Lead, Outreach and Campus Engagement</w:t>
            </w:r>
          </w:p>
        </w:tc>
      </w:tr>
      <w:tr w14:paraId="2F8F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2ECBA694">
            <w:pPr>
              <w:jc w:val="both"/>
            </w:pPr>
            <w:r>
              <w:rPr>
                <w:rFonts w:ascii="Calibri" w:hAnsi="Calibri" w:eastAsia="Calibri" w:cs="Calibri"/>
                <w:b/>
                <w:bCs/>
                <w:color w:val="FFFFFF"/>
                <w:sz w:val="20"/>
                <w:szCs w:val="20"/>
              </w:rPr>
              <w:t>Location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62C6F6C2">
            <w:pPr>
              <w:jc w:val="both"/>
            </w:pPr>
            <w:r>
              <w:rPr>
                <w:rFonts w:ascii="Calibri" w:hAnsi="Calibri" w:eastAsia="Calibri" w:cs="Calibri"/>
                <w:color w:val="363435"/>
                <w:sz w:val="20"/>
                <w:szCs w:val="20"/>
              </w:rPr>
              <w:t>Hybrid (Mostly Remote)</w:t>
            </w:r>
          </w:p>
        </w:tc>
      </w:tr>
      <w:tr w14:paraId="0F68B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6C133A4C">
            <w:pPr>
              <w:jc w:val="both"/>
            </w:pPr>
            <w:r>
              <w:rPr>
                <w:rFonts w:ascii="Calibri" w:hAnsi="Calibri" w:eastAsia="Calibri" w:cs="Calibri"/>
                <w:b/>
                <w:bCs/>
                <w:color w:val="FFFFFF"/>
                <w:sz w:val="20"/>
                <w:szCs w:val="20"/>
              </w:rPr>
              <w:t>Job Type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6D47F9EE">
            <w:pPr>
              <w:jc w:val="both"/>
            </w:pPr>
            <w:r>
              <w:rPr>
                <w:rFonts w:ascii="Calibri" w:hAnsi="Calibri" w:eastAsia="Calibri" w:cs="Calibri"/>
                <w:color w:val="363435"/>
                <w:sz w:val="20"/>
                <w:szCs w:val="20"/>
              </w:rPr>
              <w:t>Full-Time (National Service Posting)</w:t>
            </w:r>
          </w:p>
        </w:tc>
      </w:tr>
      <w:tr w14:paraId="41EE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4395A44E">
            <w:pPr>
              <w:jc w:val="both"/>
            </w:pPr>
            <w:r>
              <w:rPr>
                <w:rFonts w:ascii="Calibri" w:hAnsi="Calibri" w:eastAsia="Calibri" w:cs="Calibri"/>
                <w:b/>
                <w:bCs/>
                <w:color w:val="FFFFFF"/>
                <w:sz w:val="20"/>
                <w:szCs w:val="20"/>
              </w:rPr>
              <w:t>Compensation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4AB0CBC3">
            <w:pPr>
              <w:jc w:val="both"/>
            </w:pPr>
            <w:r>
              <w:rPr>
                <w:rFonts w:ascii="Calibri" w:hAnsi="Calibri" w:eastAsia="Calibri" w:cs="Calibri"/>
                <w:color w:val="363435"/>
                <w:sz w:val="20"/>
                <w:szCs w:val="20"/>
              </w:rPr>
              <w:t>Monthly National Service Allowance (per National Service Authority guidelines), plus a performance-based allowance awarded at management's discretion based on demonstrated impact, initiative, and delivery against role objectives.</w:t>
            </w:r>
          </w:p>
        </w:tc>
      </w:tr>
    </w:tbl>
    <w:p w14:paraId="1CB0611A">
      <w:pPr>
        <w:spacing w:after="120"/>
        <w:jc w:val="both"/>
      </w:pPr>
    </w:p>
    <w:p w14:paraId="24E5CABD">
      <w:pPr>
        <w:pStyle w:val="2"/>
        <w:pBdr>
          <w:bottom w:val="single" w:color="AE3033" w:sz="6" w:space="4"/>
        </w:pBdr>
        <w:spacing w:before="320" w:after="140"/>
        <w:jc w:val="both"/>
      </w:pPr>
      <w:r>
        <w:rPr>
          <w:rFonts w:ascii="Calibri" w:hAnsi="Calibri" w:eastAsia="Calibri" w:cs="Calibri"/>
          <w:b/>
          <w:bCs/>
          <w:color w:val="AE3033"/>
          <w:sz w:val="24"/>
          <w:szCs w:val="24"/>
        </w:rPr>
        <w:t>ABOUT GROW WITH EDUC8AFRICA</w:t>
      </w:r>
    </w:p>
    <w:p w14:paraId="16912CD7">
      <w:pPr>
        <w:spacing w:after="160" w:line="276" w:lineRule="auto"/>
        <w:jc w:val="both"/>
      </w:pPr>
      <w:r>
        <w:rPr>
          <w:rFonts w:ascii="Calibri" w:hAnsi="Calibri" w:eastAsia="Calibri" w:cs="Calibri"/>
          <w:color w:val="363435"/>
          <w:sz w:val="21"/>
          <w:szCs w:val="21"/>
        </w:rPr>
        <w:t>Grow With Educ8Africa is the Corporate Social Responsibility (CSR) arm of Educ8Africa, a dynamic knowledge and skills transfer company committed to closing Africa's cybersecurity skills gap. Through highly subsidized certification programs, career acceleration initiatives, mentorship, industry partnerships, and workforce development interventions, Grow with Educ8Africa equips students and young professionals with globally relevant cybersecurity and digital skills that prepare them for meaningful careers in the digital economy.</w:t>
      </w:r>
    </w:p>
    <w:p w14:paraId="3DA8810B">
      <w:pPr>
        <w:pStyle w:val="2"/>
        <w:pBdr>
          <w:bottom w:val="single" w:color="AE3033" w:sz="6" w:space="4"/>
        </w:pBdr>
        <w:spacing w:before="320" w:after="140"/>
        <w:jc w:val="both"/>
      </w:pPr>
      <w:r>
        <w:rPr>
          <w:rFonts w:ascii="Calibri" w:hAnsi="Calibri" w:eastAsia="Calibri" w:cs="Calibri"/>
          <w:b/>
          <w:bCs/>
          <w:color w:val="AE3033"/>
          <w:sz w:val="24"/>
          <w:szCs w:val="24"/>
        </w:rPr>
        <w:t>ROLE OVERVIEW</w:t>
      </w:r>
    </w:p>
    <w:p w14:paraId="6A7521AF">
      <w:pPr>
        <w:spacing w:after="200" w:line="276" w:lineRule="auto"/>
        <w:jc w:val="both"/>
      </w:pPr>
      <w:r>
        <w:rPr>
          <w:rFonts w:ascii="Calibri" w:hAnsi="Calibri" w:eastAsia="Calibri" w:cs="Calibri"/>
          <w:b/>
          <w:bCs/>
          <w:i/>
          <w:iCs/>
          <w:color w:val="AE3033"/>
          <w:sz w:val="21"/>
          <w:szCs w:val="21"/>
        </w:rPr>
        <w:t xml:space="preserve">Job Purpose: </w:t>
      </w:r>
      <w:r>
        <w:rPr>
          <w:rFonts w:ascii="Calibri" w:hAnsi="Calibri" w:eastAsia="Calibri" w:cs="Calibri"/>
          <w:i/>
          <w:iCs/>
          <w:color w:val="363435"/>
          <w:sz w:val="21"/>
          <w:szCs w:val="21"/>
        </w:rPr>
        <w:t>To provide hands-on execution support that turns the campus engagement plan into consistent, well-documented activity on the ground.</w:t>
      </w:r>
    </w:p>
    <w:p w14:paraId="0D263F41">
      <w:pPr>
        <w:spacing w:after="160" w:line="276" w:lineRule="auto"/>
        <w:jc w:val="both"/>
      </w:pPr>
      <w:r>
        <w:rPr>
          <w:rFonts w:ascii="Calibri" w:hAnsi="Calibri" w:eastAsia="Calibri" w:cs="Calibri"/>
          <w:color w:val="363435"/>
          <w:sz w:val="21"/>
          <w:szCs w:val="21"/>
        </w:rPr>
        <w:t>As the Assistant Lead, Outreach and Campus Engagement, you will support the Lead in delivering Grow With Educ8Africa’s campus outreach, student engagement, institutional relationships, events, and recruitment activities. You will take responsibility for assigned campuses and activities, support Outreach Assistants and Campus Ambassadors, follow up on leads and stakeholders, maintain accurate records, and help ensure outreach plans are executed consistently and effectively.</w:t>
      </w:r>
    </w:p>
    <w:p w14:paraId="678F95F4">
      <w:pPr>
        <w:spacing w:after="160" w:line="276" w:lineRule="auto"/>
        <w:jc w:val="both"/>
      </w:pPr>
      <w:r>
        <w:rPr>
          <w:rFonts w:ascii="Calibri" w:hAnsi="Calibri" w:eastAsia="Calibri" w:cs="Calibri"/>
          <w:color w:val="363435"/>
          <w:sz w:val="21"/>
          <w:szCs w:val="21"/>
        </w:rPr>
        <w:t>This role requires a proactive, organized, and confident communicator who can represent the organization professionally, build relationships with students and institutional stakeholders, execute campus activities, follow through on leads and action points, support events and ambassadors, and use accurate information and data to strengthen outreach performance.</w:t>
      </w:r>
    </w:p>
    <w:p w14:paraId="26DB8DD0">
      <w:pPr>
        <w:pStyle w:val="2"/>
        <w:pBdr>
          <w:bottom w:val="single" w:color="AE3033" w:sz="6" w:space="4"/>
        </w:pBdr>
        <w:spacing w:before="320" w:after="140"/>
        <w:jc w:val="both"/>
      </w:pPr>
      <w:r>
        <w:rPr>
          <w:rFonts w:ascii="Calibri" w:hAnsi="Calibri" w:eastAsia="Calibri" w:cs="Calibri"/>
          <w:b/>
          <w:bCs/>
          <w:color w:val="AE3033"/>
          <w:sz w:val="24"/>
          <w:szCs w:val="24"/>
        </w:rPr>
        <w:t>KEY RESPONSIBILITIES</w:t>
      </w:r>
    </w:p>
    <w:p w14:paraId="078E830D">
      <w:pPr>
        <w:spacing w:before="200" w:after="70"/>
        <w:jc w:val="both"/>
      </w:pPr>
      <w:r>
        <w:rPr>
          <w:rFonts w:ascii="Calibri" w:hAnsi="Calibri" w:eastAsia="Calibri" w:cs="Calibri"/>
          <w:b/>
          <w:bCs/>
          <w:color w:val="AE3033"/>
          <w:sz w:val="21"/>
          <w:szCs w:val="21"/>
        </w:rPr>
        <w:t>Campus Engagement Support and Execution</w:t>
      </w:r>
    </w:p>
    <w:p w14:paraId="0A152331">
      <w:pPr>
        <w:pStyle w:val="16"/>
        <w:numPr>
          <w:ilvl w:val="0"/>
          <w:numId w:val="1"/>
        </w:numPr>
        <w:spacing w:after="90" w:line="264" w:lineRule="auto"/>
        <w:jc w:val="both"/>
      </w:pPr>
      <w:r>
        <w:rPr>
          <w:rFonts w:ascii="Calibri" w:hAnsi="Calibri" w:eastAsia="Calibri" w:cs="Calibri"/>
          <w:color w:val="363435"/>
          <w:sz w:val="21"/>
          <w:szCs w:val="21"/>
        </w:rPr>
        <w:t>Support the implementation of approved campus engagement plans across assigned universities, polytechnics, and technical institutions.</w:t>
      </w:r>
    </w:p>
    <w:p w14:paraId="47950660">
      <w:pPr>
        <w:pStyle w:val="16"/>
        <w:numPr>
          <w:ilvl w:val="0"/>
          <w:numId w:val="1"/>
        </w:numPr>
        <w:spacing w:after="90" w:line="264" w:lineRule="auto"/>
        <w:jc w:val="both"/>
      </w:pPr>
      <w:r>
        <w:rPr>
          <w:rFonts w:ascii="Calibri" w:hAnsi="Calibri" w:eastAsia="Calibri" w:cs="Calibri"/>
          <w:color w:val="363435"/>
          <w:sz w:val="21"/>
          <w:szCs w:val="21"/>
        </w:rPr>
        <w:t>Execute assigned campus-wide engagement and activation activities, including campus tours, presentations, workshops, and open days.</w:t>
      </w:r>
    </w:p>
    <w:p w14:paraId="10F6AF4A">
      <w:pPr>
        <w:pStyle w:val="16"/>
        <w:numPr>
          <w:ilvl w:val="0"/>
          <w:numId w:val="1"/>
        </w:numPr>
        <w:spacing w:after="90" w:line="264" w:lineRule="auto"/>
        <w:jc w:val="both"/>
      </w:pPr>
      <w:r>
        <w:rPr>
          <w:rFonts w:ascii="Calibri" w:hAnsi="Calibri" w:eastAsia="Calibri" w:cs="Calibri"/>
          <w:color w:val="363435"/>
          <w:sz w:val="21"/>
          <w:szCs w:val="21"/>
        </w:rPr>
        <w:t>Maintain assigned campus activity schedules and support the campus engagement calendar.</w:t>
      </w:r>
    </w:p>
    <w:p w14:paraId="63D5064C">
      <w:pPr>
        <w:pStyle w:val="16"/>
        <w:numPr>
          <w:ilvl w:val="0"/>
          <w:numId w:val="1"/>
        </w:numPr>
        <w:spacing w:after="90" w:line="264" w:lineRule="auto"/>
        <w:jc w:val="both"/>
      </w:pPr>
      <w:r>
        <w:rPr>
          <w:rFonts w:ascii="Calibri" w:hAnsi="Calibri" w:eastAsia="Calibri" w:cs="Calibri"/>
          <w:color w:val="363435"/>
          <w:sz w:val="21"/>
          <w:szCs w:val="21"/>
        </w:rPr>
        <w:t>Capture campus intelligence, stakeholder information, and follow-up actions, providing timely updates to the Lead.</w:t>
      </w:r>
    </w:p>
    <w:p w14:paraId="2205682E">
      <w:pPr>
        <w:spacing w:before="200" w:after="70"/>
        <w:jc w:val="both"/>
      </w:pPr>
      <w:r>
        <w:rPr>
          <w:rFonts w:ascii="Calibri" w:hAnsi="Calibri" w:eastAsia="Calibri" w:cs="Calibri"/>
          <w:b/>
          <w:bCs/>
          <w:color w:val="AE3033"/>
          <w:sz w:val="21"/>
          <w:szCs w:val="21"/>
        </w:rPr>
        <w:t>Relationship and Stakeholder Support</w:t>
      </w:r>
    </w:p>
    <w:p w14:paraId="7431FC50">
      <w:pPr>
        <w:pStyle w:val="16"/>
        <w:numPr>
          <w:ilvl w:val="0"/>
          <w:numId w:val="1"/>
        </w:numPr>
        <w:spacing w:after="90" w:line="264" w:lineRule="auto"/>
        <w:jc w:val="both"/>
      </w:pPr>
      <w:r>
        <w:rPr>
          <w:rFonts w:ascii="Calibri" w:hAnsi="Calibri" w:eastAsia="Calibri" w:cs="Calibri"/>
          <w:color w:val="363435"/>
          <w:sz w:val="21"/>
          <w:szCs w:val="21"/>
        </w:rPr>
        <w:t>Build and maintain day-to-day relationships with student leaders, faculty contacts, and campus ambassadors, keeping contact information accurate and current.</w:t>
      </w:r>
    </w:p>
    <w:p w14:paraId="4B0FF625">
      <w:pPr>
        <w:pStyle w:val="16"/>
        <w:numPr>
          <w:ilvl w:val="0"/>
          <w:numId w:val="1"/>
        </w:numPr>
        <w:spacing w:after="90" w:line="264" w:lineRule="auto"/>
        <w:jc w:val="both"/>
      </w:pPr>
      <w:r>
        <w:rPr>
          <w:rFonts w:ascii="Calibri" w:hAnsi="Calibri" w:eastAsia="Calibri" w:cs="Calibri"/>
          <w:color w:val="363435"/>
          <w:sz w:val="21"/>
          <w:szCs w:val="21"/>
        </w:rPr>
        <w:t>Support institutional relationship management and MOU activities by coordinating meetings, tracking action points, and following up on agreed next steps under the Lead’s direction.</w:t>
      </w:r>
    </w:p>
    <w:p w14:paraId="139261BD">
      <w:pPr>
        <w:pStyle w:val="16"/>
        <w:numPr>
          <w:ilvl w:val="0"/>
          <w:numId w:val="1"/>
        </w:numPr>
        <w:spacing w:after="90" w:line="264" w:lineRule="auto"/>
        <w:jc w:val="both"/>
      </w:pPr>
      <w:r>
        <w:rPr>
          <w:rFonts w:ascii="Calibri" w:hAnsi="Calibri" w:eastAsia="Calibri" w:cs="Calibri"/>
          <w:color w:val="363435"/>
          <w:sz w:val="21"/>
          <w:szCs w:val="21"/>
        </w:rPr>
        <w:t>Support the Lead in coordinating Outreach Assistants by communicating priorities, tracking tasks, and escalating operational issues when required.</w:t>
      </w:r>
    </w:p>
    <w:p w14:paraId="322014D4">
      <w:pPr>
        <w:spacing w:before="200" w:after="70"/>
        <w:jc w:val="both"/>
      </w:pPr>
      <w:r>
        <w:rPr>
          <w:rFonts w:ascii="Calibri" w:hAnsi="Calibri" w:eastAsia="Calibri" w:cs="Calibri"/>
          <w:b/>
          <w:bCs/>
          <w:color w:val="AE3033"/>
          <w:sz w:val="21"/>
          <w:szCs w:val="21"/>
        </w:rPr>
        <w:t>Campus Ambassador Programme Support</w:t>
      </w:r>
    </w:p>
    <w:p w14:paraId="5835445E">
      <w:pPr>
        <w:pStyle w:val="16"/>
        <w:numPr>
          <w:ilvl w:val="0"/>
          <w:numId w:val="1"/>
        </w:numPr>
        <w:spacing w:after="90" w:line="264" w:lineRule="auto"/>
        <w:jc w:val="both"/>
      </w:pPr>
      <w:r>
        <w:rPr>
          <w:rFonts w:ascii="Calibri" w:hAnsi="Calibri" w:eastAsia="Calibri" w:cs="Calibri"/>
          <w:color w:val="363435"/>
          <w:sz w:val="21"/>
          <w:szCs w:val="21"/>
        </w:rPr>
        <w:t>Support delivery of the Campus Ambassador Programme, including recruitment, onboarding, deployment, and reporting, under the Lead’s direction.</w:t>
      </w:r>
    </w:p>
    <w:p w14:paraId="6A35049B">
      <w:pPr>
        <w:pStyle w:val="16"/>
        <w:numPr>
          <w:ilvl w:val="0"/>
          <w:numId w:val="1"/>
        </w:numPr>
        <w:spacing w:after="90" w:line="264" w:lineRule="auto"/>
        <w:jc w:val="both"/>
      </w:pPr>
      <w:r>
        <w:rPr>
          <w:rFonts w:ascii="Calibri" w:hAnsi="Calibri" w:eastAsia="Calibri" w:cs="Calibri"/>
          <w:color w:val="363435"/>
          <w:sz w:val="21"/>
          <w:szCs w:val="21"/>
        </w:rPr>
        <w:t>Provide ambassadors with approved programme information and messaging, and support consistent, professional representation of Grow With Educ8Africa.</w:t>
      </w:r>
    </w:p>
    <w:p w14:paraId="14B71626">
      <w:pPr>
        <w:pStyle w:val="16"/>
        <w:numPr>
          <w:ilvl w:val="0"/>
          <w:numId w:val="1"/>
        </w:numPr>
        <w:spacing w:after="90" w:line="264" w:lineRule="auto"/>
        <w:jc w:val="both"/>
      </w:pPr>
      <w:r>
        <w:rPr>
          <w:rFonts w:ascii="Calibri" w:hAnsi="Calibri" w:eastAsia="Calibri" w:cs="Calibri"/>
          <w:color w:val="363435"/>
          <w:sz w:val="21"/>
          <w:szCs w:val="21"/>
        </w:rPr>
        <w:t>Track ambassador activities and outcomes, flag performance gaps, and support follow-up and recognition actions.</w:t>
      </w:r>
    </w:p>
    <w:p w14:paraId="03DBD0E7">
      <w:pPr>
        <w:spacing w:before="200" w:after="70"/>
        <w:jc w:val="both"/>
      </w:pPr>
      <w:r>
        <w:rPr>
          <w:rFonts w:ascii="Calibri" w:hAnsi="Calibri" w:eastAsia="Calibri" w:cs="Calibri"/>
          <w:b/>
          <w:bCs/>
          <w:color w:val="AE3033"/>
          <w:sz w:val="21"/>
          <w:szCs w:val="21"/>
        </w:rPr>
        <w:t>Programme Promotion and Recruitment</w:t>
      </w:r>
    </w:p>
    <w:p w14:paraId="415268AE">
      <w:pPr>
        <w:pStyle w:val="16"/>
        <w:numPr>
          <w:ilvl w:val="0"/>
          <w:numId w:val="1"/>
        </w:numPr>
        <w:spacing w:after="90" w:line="264" w:lineRule="auto"/>
        <w:jc w:val="both"/>
      </w:pPr>
      <w:r>
        <w:rPr>
          <w:rFonts w:ascii="Calibri" w:hAnsi="Calibri" w:eastAsia="Calibri" w:cs="Calibri"/>
          <w:color w:val="363435"/>
          <w:sz w:val="21"/>
          <w:szCs w:val="21"/>
        </w:rPr>
        <w:t>Promote Grow With Educ8Africa’s certification programmes and opportunities through assigned campus and community engagement activities.</w:t>
      </w:r>
    </w:p>
    <w:p w14:paraId="2E3BF458">
      <w:pPr>
        <w:pStyle w:val="16"/>
        <w:numPr>
          <w:ilvl w:val="0"/>
          <w:numId w:val="1"/>
        </w:numPr>
        <w:spacing w:after="90" w:line="264" w:lineRule="auto"/>
        <w:jc w:val="both"/>
      </w:pPr>
      <w:r>
        <w:rPr>
          <w:rFonts w:ascii="Calibri" w:hAnsi="Calibri" w:eastAsia="Calibri" w:cs="Calibri"/>
          <w:color w:val="363435"/>
          <w:sz w:val="21"/>
          <w:szCs w:val="21"/>
        </w:rPr>
        <w:t>Generate, capture, and follow up on student leads, support applications and registrations, and ensure timely handover into onboarding.</w:t>
      </w:r>
    </w:p>
    <w:p w14:paraId="1812D59D">
      <w:pPr>
        <w:pStyle w:val="16"/>
        <w:numPr>
          <w:ilvl w:val="0"/>
          <w:numId w:val="1"/>
        </w:numPr>
        <w:spacing w:after="90" w:line="264" w:lineRule="auto"/>
        <w:jc w:val="both"/>
      </w:pPr>
      <w:r>
        <w:rPr>
          <w:rFonts w:ascii="Calibri" w:hAnsi="Calibri" w:eastAsia="Calibri" w:cs="Calibri"/>
          <w:color w:val="363435"/>
          <w:sz w:val="21"/>
          <w:szCs w:val="21"/>
        </w:rPr>
        <w:t>Work with the Lead and Programmes team to maintain accurate programme information, deadlines, and approved messaging for outreach activities.</w:t>
      </w:r>
    </w:p>
    <w:p w14:paraId="3F955F48">
      <w:pPr>
        <w:spacing w:before="200" w:after="70"/>
        <w:jc w:val="both"/>
      </w:pPr>
      <w:r>
        <w:rPr>
          <w:rFonts w:ascii="Calibri" w:hAnsi="Calibri" w:eastAsia="Calibri" w:cs="Calibri"/>
          <w:b/>
          <w:bCs/>
          <w:color w:val="AE3033"/>
          <w:sz w:val="21"/>
          <w:szCs w:val="21"/>
        </w:rPr>
        <w:t>Event Planning and Execution Support</w:t>
      </w:r>
    </w:p>
    <w:p w14:paraId="20E0393E">
      <w:pPr>
        <w:pStyle w:val="16"/>
        <w:numPr>
          <w:ilvl w:val="0"/>
          <w:numId w:val="1"/>
        </w:numPr>
        <w:spacing w:after="90" w:line="264" w:lineRule="auto"/>
        <w:jc w:val="both"/>
      </w:pPr>
      <w:r>
        <w:rPr>
          <w:rFonts w:ascii="Calibri" w:hAnsi="Calibri" w:eastAsia="Calibri" w:cs="Calibri"/>
          <w:color w:val="363435"/>
          <w:sz w:val="21"/>
          <w:szCs w:val="21"/>
        </w:rPr>
        <w:t>Support the planning and execution of Grow With Educ8Africa events, including logistics, participant coordination, on-ground execution, and follow-up reporting.</w:t>
      </w:r>
    </w:p>
    <w:p w14:paraId="67F6490D">
      <w:pPr>
        <w:pStyle w:val="16"/>
        <w:numPr>
          <w:ilvl w:val="0"/>
          <w:numId w:val="1"/>
        </w:numPr>
        <w:spacing w:after="90" w:line="264" w:lineRule="auto"/>
        <w:jc w:val="both"/>
      </w:pPr>
      <w:r>
        <w:rPr>
          <w:rFonts w:ascii="Calibri" w:hAnsi="Calibri" w:eastAsia="Calibri" w:cs="Calibri"/>
          <w:color w:val="363435"/>
          <w:sz w:val="21"/>
          <w:szCs w:val="21"/>
        </w:rPr>
        <w:t>Coordinate with the Lead and relevant Creative Multimedia, Social Media, Programmes, and Partnerships contacts to support smooth event delivery.</w:t>
      </w:r>
    </w:p>
    <w:p w14:paraId="684052CD">
      <w:pPr>
        <w:spacing w:before="200" w:after="70"/>
        <w:jc w:val="both"/>
      </w:pPr>
      <w:r>
        <w:rPr>
          <w:rFonts w:ascii="Calibri" w:hAnsi="Calibri" w:eastAsia="Calibri" w:cs="Calibri"/>
          <w:b/>
          <w:bCs/>
          <w:color w:val="AE3033"/>
          <w:sz w:val="21"/>
          <w:szCs w:val="21"/>
        </w:rPr>
        <w:t>Reporting and Documentation</w:t>
      </w:r>
    </w:p>
    <w:p w14:paraId="1C8BEC1E">
      <w:pPr>
        <w:pStyle w:val="16"/>
        <w:numPr>
          <w:ilvl w:val="0"/>
          <w:numId w:val="1"/>
        </w:numPr>
        <w:spacing w:after="90" w:line="264" w:lineRule="auto"/>
        <w:jc w:val="both"/>
      </w:pPr>
      <w:r>
        <w:rPr>
          <w:rFonts w:ascii="Calibri" w:hAnsi="Calibri" w:eastAsia="Calibri" w:cs="Calibri"/>
          <w:color w:val="363435"/>
          <w:sz w:val="21"/>
          <w:szCs w:val="21"/>
        </w:rPr>
        <w:t>Maintain accurate records of campus activities, stakeholder contacts, leads, registrations, and event outcomes, providing accurate KPI data to the Lead.</w:t>
      </w:r>
    </w:p>
    <w:p w14:paraId="6D081E0A">
      <w:pPr>
        <w:pStyle w:val="16"/>
        <w:numPr>
          <w:ilvl w:val="0"/>
          <w:numId w:val="1"/>
        </w:numPr>
        <w:spacing w:after="90" w:line="264" w:lineRule="auto"/>
        <w:jc w:val="both"/>
      </w:pPr>
      <w:r>
        <w:rPr>
          <w:rFonts w:ascii="Calibri" w:hAnsi="Calibri" w:eastAsia="Calibri" w:cs="Calibri"/>
          <w:color w:val="363435"/>
          <w:sz w:val="21"/>
          <w:szCs w:val="21"/>
        </w:rPr>
        <w:t>Support the Lead with periodic outreach reports by providing activity data, progress updates, and recommended actions.</w:t>
      </w:r>
    </w:p>
    <w:p w14:paraId="3FA7256C">
      <w:pPr>
        <w:spacing w:before="200" w:after="70"/>
        <w:jc w:val="both"/>
        <w:rPr>
          <w:rFonts w:ascii="Calibri" w:hAnsi="Calibri" w:eastAsia="Calibri" w:cs="Calibri"/>
          <w:b/>
          <w:bCs/>
          <w:color w:val="AE3033"/>
          <w:sz w:val="21"/>
          <w:szCs w:val="21"/>
        </w:rPr>
      </w:pPr>
    </w:p>
    <w:p w14:paraId="54126973">
      <w:pPr>
        <w:spacing w:before="200" w:after="70"/>
        <w:jc w:val="both"/>
      </w:pPr>
      <w:r>
        <w:rPr>
          <w:rFonts w:ascii="Calibri" w:hAnsi="Calibri" w:eastAsia="Calibri" w:cs="Calibri"/>
          <w:b/>
          <w:bCs/>
          <w:color w:val="AE3033"/>
          <w:sz w:val="21"/>
          <w:szCs w:val="21"/>
        </w:rPr>
        <w:t>Cross-Functional Collaboration</w:t>
      </w:r>
    </w:p>
    <w:p w14:paraId="2AB7D1FF">
      <w:pPr>
        <w:pStyle w:val="16"/>
        <w:numPr>
          <w:ilvl w:val="0"/>
          <w:numId w:val="1"/>
        </w:numPr>
        <w:spacing w:after="90" w:line="264" w:lineRule="auto"/>
        <w:jc w:val="both"/>
      </w:pPr>
      <w:r>
        <w:rPr>
          <w:rFonts w:ascii="Calibri" w:hAnsi="Calibri" w:eastAsia="Calibri" w:cs="Calibri"/>
          <w:color w:val="363435"/>
          <w:sz w:val="21"/>
          <w:szCs w:val="21"/>
        </w:rPr>
        <w:t>Support coordination with the Partnerships team where non-institutional activities require outreach support.</w:t>
      </w:r>
    </w:p>
    <w:p w14:paraId="01FE9D86">
      <w:pPr>
        <w:pStyle w:val="16"/>
        <w:numPr>
          <w:ilvl w:val="0"/>
          <w:numId w:val="1"/>
        </w:numPr>
        <w:spacing w:after="90" w:line="264" w:lineRule="auto"/>
        <w:jc w:val="both"/>
      </w:pPr>
      <w:r>
        <w:rPr>
          <w:rFonts w:ascii="Calibri" w:hAnsi="Calibri" w:eastAsia="Calibri" w:cs="Calibri"/>
          <w:color w:val="363435"/>
          <w:sz w:val="21"/>
          <w:szCs w:val="21"/>
        </w:rPr>
        <w:t>Provide the Social Media team with timely information and approved materials needed to promote campus activities and outreach outcomes.</w:t>
      </w:r>
    </w:p>
    <w:p w14:paraId="6A31ADE9">
      <w:pPr>
        <w:pStyle w:val="16"/>
        <w:numPr>
          <w:ilvl w:val="0"/>
          <w:numId w:val="1"/>
        </w:numPr>
        <w:spacing w:after="90" w:line="264" w:lineRule="auto"/>
        <w:jc w:val="both"/>
      </w:pPr>
      <w:r>
        <w:rPr>
          <w:rFonts w:ascii="Calibri" w:hAnsi="Calibri" w:eastAsia="Calibri" w:cs="Calibri"/>
          <w:color w:val="363435"/>
          <w:sz w:val="21"/>
          <w:szCs w:val="21"/>
        </w:rPr>
        <w:t>Work with the Programmes team to ensure timely handover from outreach and events to registration and onboarding, escalating recurring student questions to the Lead.</w:t>
      </w:r>
    </w:p>
    <w:p w14:paraId="04E73873">
      <w:pPr>
        <w:pStyle w:val="2"/>
        <w:pBdr>
          <w:bottom w:val="single" w:color="AE3033" w:sz="6" w:space="4"/>
        </w:pBdr>
        <w:spacing w:before="320" w:after="140"/>
        <w:jc w:val="both"/>
      </w:pPr>
      <w:r>
        <w:rPr>
          <w:rFonts w:ascii="Calibri" w:hAnsi="Calibri" w:eastAsia="Calibri" w:cs="Calibri"/>
          <w:b/>
          <w:bCs/>
          <w:color w:val="AE3033"/>
          <w:sz w:val="24"/>
          <w:szCs w:val="24"/>
        </w:rPr>
        <w:t>QUALIFICATIONS &amp; REQUIREMENTS</w:t>
      </w:r>
    </w:p>
    <w:p w14:paraId="362438EE">
      <w:pPr>
        <w:spacing w:before="200" w:after="80"/>
        <w:jc w:val="both"/>
      </w:pPr>
      <w:r>
        <w:rPr>
          <w:rFonts w:ascii="Calibri" w:hAnsi="Calibri" w:eastAsia="Calibri" w:cs="Calibri"/>
          <w:b/>
          <w:bCs/>
          <w:i/>
          <w:iCs/>
          <w:color w:val="363435"/>
          <w:sz w:val="22"/>
          <w:szCs w:val="22"/>
        </w:rPr>
        <w:t>Educational Background</w:t>
      </w:r>
    </w:p>
    <w:p w14:paraId="06409D3E">
      <w:pPr>
        <w:spacing w:after="160" w:line="276" w:lineRule="auto"/>
        <w:jc w:val="both"/>
      </w:pPr>
      <w:r>
        <w:rPr>
          <w:rFonts w:ascii="Calibri" w:hAnsi="Calibri" w:eastAsia="Calibri" w:cs="Calibri"/>
          <w:color w:val="363435"/>
          <w:sz w:val="21"/>
          <w:szCs w:val="21"/>
        </w:rPr>
        <w:t>A degree in Cybersecurity, Information Technology, Computer Engineering, Communications, Marketing, Public Relations, Education, Social Sciences, Development Studies, Business Administration, or a related field.</w:t>
      </w:r>
    </w:p>
    <w:p w14:paraId="486DC206">
      <w:pPr>
        <w:spacing w:before="200" w:after="80"/>
        <w:jc w:val="both"/>
      </w:pPr>
      <w:r>
        <w:rPr>
          <w:rFonts w:ascii="Calibri" w:hAnsi="Calibri" w:eastAsia="Calibri" w:cs="Calibri"/>
          <w:b/>
          <w:bCs/>
          <w:i/>
          <w:iCs/>
          <w:color w:val="363435"/>
          <w:sz w:val="22"/>
          <w:szCs w:val="22"/>
        </w:rPr>
        <w:t>Professional Competencies</w:t>
      </w:r>
    </w:p>
    <w:p w14:paraId="18E4A45E">
      <w:pPr>
        <w:pStyle w:val="16"/>
        <w:numPr>
          <w:ilvl w:val="0"/>
          <w:numId w:val="1"/>
        </w:numPr>
        <w:spacing w:after="90" w:line="264" w:lineRule="auto"/>
        <w:jc w:val="both"/>
      </w:pPr>
      <w:r>
        <w:rPr>
          <w:rFonts w:ascii="Calibri" w:hAnsi="Calibri" w:eastAsia="Calibri" w:cs="Calibri"/>
          <w:color w:val="363435"/>
          <w:sz w:val="21"/>
          <w:szCs w:val="21"/>
        </w:rPr>
        <w:t>Practical experience or strong interest in campus engagement, student recruitment, or community outreach.</w:t>
      </w:r>
    </w:p>
    <w:p w14:paraId="59B068EB">
      <w:pPr>
        <w:pStyle w:val="16"/>
        <w:numPr>
          <w:ilvl w:val="0"/>
          <w:numId w:val="1"/>
        </w:numPr>
        <w:spacing w:after="90" w:line="264" w:lineRule="auto"/>
        <w:jc w:val="both"/>
      </w:pPr>
      <w:r>
        <w:rPr>
          <w:rFonts w:ascii="Calibri" w:hAnsi="Calibri" w:eastAsia="Calibri" w:cs="Calibri"/>
          <w:color w:val="363435"/>
          <w:sz w:val="21"/>
          <w:szCs w:val="21"/>
        </w:rPr>
        <w:t>Comfortable building and maintaining stakeholder relationships under a Lead’s direction.</w:t>
      </w:r>
    </w:p>
    <w:p w14:paraId="3187FF16">
      <w:pPr>
        <w:pStyle w:val="16"/>
        <w:numPr>
          <w:ilvl w:val="0"/>
          <w:numId w:val="1"/>
        </w:numPr>
        <w:spacing w:after="90" w:line="264" w:lineRule="auto"/>
        <w:jc w:val="both"/>
      </w:pPr>
      <w:r>
        <w:rPr>
          <w:rFonts w:ascii="Calibri" w:hAnsi="Calibri" w:eastAsia="Calibri" w:cs="Calibri"/>
          <w:color w:val="363435"/>
          <w:sz w:val="21"/>
          <w:szCs w:val="21"/>
        </w:rPr>
        <w:t>Strong follow-through on assigned leads, tasks, and action points.</w:t>
      </w:r>
    </w:p>
    <w:p w14:paraId="6566BA02">
      <w:pPr>
        <w:pStyle w:val="16"/>
        <w:numPr>
          <w:ilvl w:val="0"/>
          <w:numId w:val="1"/>
        </w:numPr>
        <w:spacing w:after="90" w:line="264" w:lineRule="auto"/>
        <w:jc w:val="both"/>
      </w:pPr>
      <w:r>
        <w:rPr>
          <w:rFonts w:ascii="Calibri" w:hAnsi="Calibri" w:eastAsia="Calibri" w:cs="Calibri"/>
          <w:color w:val="363435"/>
          <w:sz w:val="21"/>
          <w:szCs w:val="21"/>
        </w:rPr>
        <w:t>Comfortable using data and records to support outreach coordination and reporting.</w:t>
      </w:r>
    </w:p>
    <w:p w14:paraId="53BD0F54">
      <w:pPr>
        <w:spacing w:before="200" w:after="80"/>
        <w:jc w:val="both"/>
      </w:pPr>
      <w:r>
        <w:rPr>
          <w:rFonts w:ascii="Calibri" w:hAnsi="Calibri" w:eastAsia="Calibri" w:cs="Calibri"/>
          <w:b/>
          <w:bCs/>
          <w:i/>
          <w:iCs/>
          <w:color w:val="363435"/>
          <w:sz w:val="22"/>
          <w:szCs w:val="22"/>
        </w:rPr>
        <w:t>AI Fluency</w:t>
      </w:r>
    </w:p>
    <w:p w14:paraId="506947BD">
      <w:pPr>
        <w:pStyle w:val="16"/>
        <w:numPr>
          <w:ilvl w:val="0"/>
          <w:numId w:val="1"/>
        </w:numPr>
        <w:spacing w:after="90" w:line="264" w:lineRule="auto"/>
        <w:jc w:val="both"/>
      </w:pPr>
      <w:r>
        <w:rPr>
          <w:rFonts w:ascii="Calibri" w:hAnsi="Calibri" w:eastAsia="Calibri" w:cs="Calibri"/>
          <w:color w:val="363435"/>
          <w:sz w:val="21"/>
          <w:szCs w:val="21"/>
        </w:rPr>
        <w:t>Familiarity with AI-powered research, productivity, communication, and planning tools.</w:t>
      </w:r>
    </w:p>
    <w:p w14:paraId="6E5E556C">
      <w:pPr>
        <w:pStyle w:val="16"/>
        <w:numPr>
          <w:ilvl w:val="0"/>
          <w:numId w:val="1"/>
        </w:numPr>
        <w:spacing w:after="90" w:line="264" w:lineRule="auto"/>
        <w:jc w:val="both"/>
      </w:pPr>
      <w:r>
        <w:rPr>
          <w:rFonts w:ascii="Calibri" w:hAnsi="Calibri" w:eastAsia="Calibri" w:cs="Calibri"/>
          <w:color w:val="363435"/>
          <w:sz w:val="21"/>
          <w:szCs w:val="21"/>
        </w:rPr>
        <w:t>Ability to use AI responsibly to support research, planning, and reporting without compromising accuracy or confidentiality.</w:t>
      </w:r>
    </w:p>
    <w:p w14:paraId="482706C4">
      <w:pPr>
        <w:pStyle w:val="16"/>
        <w:numPr>
          <w:ilvl w:val="0"/>
          <w:numId w:val="1"/>
        </w:numPr>
        <w:spacing w:after="90" w:line="264" w:lineRule="auto"/>
        <w:jc w:val="both"/>
      </w:pPr>
      <w:r>
        <w:rPr>
          <w:rFonts w:ascii="Calibri" w:hAnsi="Calibri" w:eastAsia="Calibri" w:cs="Calibri"/>
          <w:color w:val="363435"/>
          <w:sz w:val="21"/>
          <w:szCs w:val="21"/>
        </w:rPr>
        <w:t>Willingness to continuously learn and adapt to emerging AI and digital tools.</w:t>
      </w:r>
    </w:p>
    <w:p w14:paraId="330FD2E1">
      <w:pPr>
        <w:spacing w:before="200" w:after="80"/>
        <w:jc w:val="both"/>
      </w:pPr>
      <w:r>
        <w:rPr>
          <w:rFonts w:ascii="Calibri" w:hAnsi="Calibri" w:eastAsia="Calibri" w:cs="Calibri"/>
          <w:b/>
          <w:bCs/>
          <w:i/>
          <w:iCs/>
          <w:color w:val="363435"/>
          <w:sz w:val="22"/>
          <w:szCs w:val="22"/>
        </w:rPr>
        <w:t>Tools &amp; Platforms</w:t>
      </w:r>
    </w:p>
    <w:p w14:paraId="53C16D6F">
      <w:pPr>
        <w:pStyle w:val="16"/>
        <w:numPr>
          <w:ilvl w:val="0"/>
          <w:numId w:val="1"/>
        </w:numPr>
        <w:spacing w:after="90" w:line="264" w:lineRule="auto"/>
        <w:jc w:val="both"/>
      </w:pPr>
      <w:r>
        <w:rPr>
          <w:rFonts w:ascii="Calibri" w:hAnsi="Calibri" w:eastAsia="Calibri" w:cs="Calibri"/>
          <w:color w:val="363435"/>
          <w:sz w:val="21"/>
          <w:szCs w:val="21"/>
        </w:rPr>
        <w:t>Familiarity with Microsoft Excel, Microsoft Forms, Teams, Outlook, OneDrive, WhatsApp Business, CRM or contact-management systems, or equivalent tools.</w:t>
      </w:r>
    </w:p>
    <w:p w14:paraId="0A58BA0F">
      <w:pPr>
        <w:pStyle w:val="16"/>
        <w:numPr>
          <w:ilvl w:val="0"/>
          <w:numId w:val="1"/>
        </w:numPr>
        <w:spacing w:after="90" w:line="264" w:lineRule="auto"/>
        <w:jc w:val="both"/>
      </w:pPr>
      <w:r>
        <w:rPr>
          <w:rFonts w:ascii="Calibri" w:hAnsi="Calibri" w:eastAsia="Calibri" w:cs="Calibri"/>
          <w:color w:val="363435"/>
          <w:sz w:val="21"/>
          <w:szCs w:val="21"/>
        </w:rPr>
        <w:t>Basic familiarity with Canva, CapCut, or similar creative tools is an advantage for preparing simple outreach materials.</w:t>
      </w:r>
    </w:p>
    <w:p w14:paraId="234BCC7E">
      <w:pPr>
        <w:pStyle w:val="16"/>
        <w:numPr>
          <w:ilvl w:val="0"/>
          <w:numId w:val="1"/>
        </w:numPr>
        <w:spacing w:after="90" w:line="264" w:lineRule="auto"/>
        <w:jc w:val="both"/>
      </w:pPr>
      <w:r>
        <w:rPr>
          <w:rFonts w:ascii="Calibri" w:hAnsi="Calibri" w:eastAsia="Calibri" w:cs="Calibri"/>
          <w:color w:val="363435"/>
          <w:sz w:val="21"/>
          <w:szCs w:val="21"/>
        </w:rPr>
        <w:t>Ability to use digital collaboration and data-collection tools effectively while maintaining organized records.</w:t>
      </w:r>
    </w:p>
    <w:p w14:paraId="38E877A9">
      <w:pPr>
        <w:spacing w:before="200" w:after="80"/>
        <w:jc w:val="both"/>
      </w:pPr>
      <w:r>
        <w:rPr>
          <w:rFonts w:ascii="Calibri" w:hAnsi="Calibri" w:eastAsia="Calibri" w:cs="Calibri"/>
          <w:b/>
          <w:bCs/>
          <w:i/>
          <w:iCs/>
          <w:color w:val="363435"/>
          <w:sz w:val="22"/>
          <w:szCs w:val="22"/>
        </w:rPr>
        <w:t>Work Requirements</w:t>
      </w:r>
    </w:p>
    <w:p w14:paraId="04618139">
      <w:pPr>
        <w:pStyle w:val="16"/>
        <w:numPr>
          <w:ilvl w:val="0"/>
          <w:numId w:val="1"/>
        </w:numPr>
        <w:spacing w:after="90" w:line="264" w:lineRule="auto"/>
        <w:jc w:val="both"/>
      </w:pPr>
      <w:r>
        <w:rPr>
          <w:rFonts w:ascii="Calibri" w:hAnsi="Calibri" w:eastAsia="Calibri" w:cs="Calibri"/>
          <w:color w:val="363435"/>
          <w:sz w:val="21"/>
          <w:szCs w:val="21"/>
        </w:rPr>
        <w:t>Must be able to commit to full-time hybrid/remote work while remaining available for regular campus visits and in-person engagements.</w:t>
      </w:r>
    </w:p>
    <w:p w14:paraId="731C9F94">
      <w:pPr>
        <w:pStyle w:val="16"/>
        <w:numPr>
          <w:ilvl w:val="0"/>
          <w:numId w:val="1"/>
        </w:numPr>
        <w:spacing w:after="90" w:line="264" w:lineRule="auto"/>
        <w:jc w:val="both"/>
      </w:pPr>
      <w:r>
        <w:rPr>
          <w:rFonts w:ascii="Calibri" w:hAnsi="Calibri" w:eastAsia="Calibri" w:cs="Calibri"/>
          <w:color w:val="363435"/>
          <w:sz w:val="21"/>
          <w:szCs w:val="21"/>
        </w:rPr>
        <w:t>A functioning personal laptop and stable internet access are required.</w:t>
      </w:r>
    </w:p>
    <w:p w14:paraId="0B8A2517">
      <w:pPr>
        <w:pStyle w:val="16"/>
        <w:numPr>
          <w:ilvl w:val="0"/>
          <w:numId w:val="1"/>
        </w:numPr>
        <w:spacing w:after="90" w:line="264" w:lineRule="auto"/>
        <w:jc w:val="both"/>
      </w:pPr>
      <w:r>
        <w:rPr>
          <w:rFonts w:ascii="Calibri" w:hAnsi="Calibri" w:eastAsia="Calibri" w:cs="Calibri"/>
          <w:color w:val="363435"/>
          <w:sz w:val="21"/>
          <w:szCs w:val="21"/>
        </w:rPr>
        <w:t>Availability for occasional weekend work, campus events, travel, or urgent outreach requirements when necessary.</w:t>
      </w:r>
    </w:p>
    <w:p w14:paraId="4AF383BE">
      <w:pPr>
        <w:pStyle w:val="2"/>
        <w:pBdr>
          <w:bottom w:val="single" w:color="AE3033" w:sz="6" w:space="4"/>
        </w:pBdr>
        <w:spacing w:before="320" w:after="140"/>
        <w:jc w:val="both"/>
        <w:rPr>
          <w:rFonts w:ascii="Calibri" w:hAnsi="Calibri" w:eastAsia="Calibri" w:cs="Calibri"/>
          <w:b/>
          <w:bCs/>
          <w:color w:val="AE3033"/>
          <w:sz w:val="24"/>
          <w:szCs w:val="24"/>
        </w:rPr>
      </w:pPr>
    </w:p>
    <w:p w14:paraId="47B50824">
      <w:pPr>
        <w:pStyle w:val="2"/>
        <w:pBdr>
          <w:bottom w:val="single" w:color="AE3033" w:sz="6" w:space="4"/>
        </w:pBdr>
        <w:spacing w:before="320" w:after="140"/>
        <w:jc w:val="both"/>
      </w:pPr>
      <w:r>
        <w:rPr>
          <w:rFonts w:ascii="Calibri" w:hAnsi="Calibri" w:eastAsia="Calibri" w:cs="Calibri"/>
          <w:b/>
          <w:bCs/>
          <w:color w:val="AE3033"/>
          <w:sz w:val="24"/>
          <w:szCs w:val="24"/>
        </w:rPr>
        <w:t>CORE COMPETENCIES</w:t>
      </w:r>
    </w:p>
    <w:p w14:paraId="68C980A2">
      <w:pPr>
        <w:pStyle w:val="16"/>
        <w:numPr>
          <w:ilvl w:val="0"/>
          <w:numId w:val="1"/>
        </w:numPr>
        <w:spacing w:after="90" w:line="264" w:lineRule="auto"/>
        <w:jc w:val="both"/>
      </w:pPr>
      <w:r>
        <w:rPr>
          <w:rFonts w:ascii="Calibri" w:hAnsi="Calibri" w:eastAsia="Calibri" w:cs="Calibri"/>
          <w:color w:val="363435"/>
          <w:sz w:val="21"/>
          <w:szCs w:val="21"/>
        </w:rPr>
        <w:t>Ownership and initiative within a defined scope</w:t>
      </w:r>
    </w:p>
    <w:p w14:paraId="30717633">
      <w:pPr>
        <w:pStyle w:val="16"/>
        <w:numPr>
          <w:ilvl w:val="0"/>
          <w:numId w:val="1"/>
        </w:numPr>
        <w:spacing w:after="90" w:line="264" w:lineRule="auto"/>
        <w:jc w:val="both"/>
      </w:pPr>
      <w:r>
        <w:rPr>
          <w:rFonts w:ascii="Calibri" w:hAnsi="Calibri" w:eastAsia="Calibri" w:cs="Calibri"/>
          <w:color w:val="363435"/>
          <w:sz w:val="21"/>
          <w:szCs w:val="21"/>
        </w:rPr>
        <w:t>Communication and interpersonal skills</w:t>
      </w:r>
    </w:p>
    <w:p w14:paraId="0FA4FAF4">
      <w:pPr>
        <w:pStyle w:val="16"/>
        <w:numPr>
          <w:ilvl w:val="0"/>
          <w:numId w:val="1"/>
        </w:numPr>
        <w:spacing w:after="90" w:line="264" w:lineRule="auto"/>
        <w:jc w:val="both"/>
      </w:pPr>
      <w:r>
        <w:rPr>
          <w:rFonts w:ascii="Calibri" w:hAnsi="Calibri" w:eastAsia="Calibri" w:cs="Calibri"/>
          <w:color w:val="363435"/>
          <w:sz w:val="21"/>
          <w:szCs w:val="21"/>
        </w:rPr>
        <w:t>Relationship building</w:t>
      </w:r>
    </w:p>
    <w:p w14:paraId="715238B8">
      <w:pPr>
        <w:pStyle w:val="16"/>
        <w:numPr>
          <w:ilvl w:val="0"/>
          <w:numId w:val="1"/>
        </w:numPr>
        <w:spacing w:after="90" w:line="264" w:lineRule="auto"/>
        <w:jc w:val="both"/>
      </w:pPr>
      <w:r>
        <w:rPr>
          <w:rFonts w:ascii="Calibri" w:hAnsi="Calibri" w:eastAsia="Calibri" w:cs="Calibri"/>
          <w:color w:val="363435"/>
          <w:sz w:val="21"/>
          <w:szCs w:val="21"/>
        </w:rPr>
        <w:t>Organization and time management</w:t>
      </w:r>
    </w:p>
    <w:p w14:paraId="214F771A">
      <w:pPr>
        <w:pStyle w:val="16"/>
        <w:numPr>
          <w:ilvl w:val="0"/>
          <w:numId w:val="1"/>
        </w:numPr>
        <w:spacing w:after="90" w:line="264" w:lineRule="auto"/>
        <w:jc w:val="both"/>
      </w:pPr>
      <w:r>
        <w:rPr>
          <w:rFonts w:ascii="Calibri" w:hAnsi="Calibri" w:eastAsia="Calibri" w:cs="Calibri"/>
          <w:color w:val="363435"/>
          <w:sz w:val="21"/>
          <w:szCs w:val="21"/>
        </w:rPr>
        <w:t>Follow-through and accountability</w:t>
      </w:r>
    </w:p>
    <w:p w14:paraId="43CA8BEF">
      <w:pPr>
        <w:pStyle w:val="16"/>
        <w:numPr>
          <w:ilvl w:val="0"/>
          <w:numId w:val="1"/>
        </w:numPr>
        <w:spacing w:after="90" w:line="264" w:lineRule="auto"/>
        <w:jc w:val="both"/>
      </w:pPr>
      <w:r>
        <w:rPr>
          <w:rFonts w:ascii="Calibri" w:hAnsi="Calibri" w:eastAsia="Calibri" w:cs="Calibri"/>
          <w:color w:val="363435"/>
          <w:sz w:val="21"/>
          <w:szCs w:val="21"/>
        </w:rPr>
        <w:t>Adaptability and resourcefulness</w:t>
      </w:r>
    </w:p>
    <w:p w14:paraId="7648EDB5">
      <w:pPr>
        <w:pStyle w:val="16"/>
        <w:numPr>
          <w:ilvl w:val="0"/>
          <w:numId w:val="1"/>
        </w:numPr>
        <w:spacing w:after="90" w:line="264" w:lineRule="auto"/>
        <w:jc w:val="both"/>
      </w:pPr>
      <w:r>
        <w:rPr>
          <w:rFonts w:ascii="Calibri" w:hAnsi="Calibri" w:eastAsia="Calibri" w:cs="Calibri"/>
          <w:color w:val="363435"/>
          <w:sz w:val="21"/>
          <w:szCs w:val="21"/>
        </w:rPr>
        <w:t>Attention to detail</w:t>
      </w:r>
    </w:p>
    <w:p w14:paraId="0F63BBDE">
      <w:pPr>
        <w:pStyle w:val="16"/>
        <w:numPr>
          <w:ilvl w:val="0"/>
          <w:numId w:val="1"/>
        </w:numPr>
        <w:spacing w:after="90" w:line="264" w:lineRule="auto"/>
        <w:jc w:val="both"/>
      </w:pPr>
      <w:r>
        <w:rPr>
          <w:rFonts w:ascii="Calibri" w:hAnsi="Calibri" w:eastAsia="Calibri" w:cs="Calibri"/>
          <w:color w:val="363435"/>
          <w:sz w:val="21"/>
          <w:szCs w:val="21"/>
        </w:rPr>
        <w:t>Judgment and escalation</w:t>
      </w:r>
    </w:p>
    <w:p w14:paraId="4F3911DD">
      <w:pPr>
        <w:pStyle w:val="2"/>
        <w:pBdr>
          <w:bottom w:val="single" w:color="AE3033" w:sz="6" w:space="4"/>
        </w:pBdr>
        <w:spacing w:before="320" w:after="140"/>
        <w:jc w:val="both"/>
      </w:pPr>
      <w:r>
        <w:rPr>
          <w:rFonts w:ascii="Calibri" w:hAnsi="Calibri" w:eastAsia="Calibri" w:cs="Calibri"/>
          <w:b/>
          <w:bCs/>
          <w:color w:val="AE3033"/>
          <w:sz w:val="24"/>
          <w:szCs w:val="24"/>
        </w:rPr>
        <w:t>REPORTING STRUCTURE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793B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D25E3BC">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63DE4C17">
            <w:pPr>
              <w:jc w:val="both"/>
            </w:pPr>
            <w:r>
              <w:rPr>
                <w:rFonts w:ascii="Calibri" w:hAnsi="Calibri" w:eastAsia="Calibri" w:cs="Calibri"/>
                <w:color w:val="363435"/>
                <w:sz w:val="20"/>
                <w:szCs w:val="20"/>
              </w:rPr>
              <w:t>Lead, Outreach and Campus Engagement</w:t>
            </w:r>
          </w:p>
        </w:tc>
      </w:tr>
      <w:tr w14:paraId="17F1F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2B81426B">
            <w:pPr>
              <w:jc w:val="both"/>
            </w:pPr>
            <w:r>
              <w:rPr>
                <w:rFonts w:ascii="Calibri" w:hAnsi="Calibri" w:eastAsia="Calibri" w:cs="Calibri"/>
                <w:b/>
                <w:bCs/>
                <w:color w:val="FFFFFF"/>
                <w:sz w:val="20"/>
                <w:szCs w:val="20"/>
              </w:rPr>
              <w:t>Collaborates With</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7E4B6469">
            <w:pPr>
              <w:jc w:val="both"/>
            </w:pPr>
            <w:r>
              <w:rPr>
                <w:rFonts w:ascii="Calibri" w:hAnsi="Calibri" w:eastAsia="Calibri" w:cs="Calibri"/>
                <w:color w:val="363435"/>
                <w:sz w:val="20"/>
                <w:szCs w:val="20"/>
              </w:rPr>
              <w:t>Lead, Outreach and Campus Engagement; Lead, Programmes, Training and Technical Enablement; Lead, Social Media and Digital Communities; Creative Multimedia Lead; Lead, Partnerships and People Operations</w:t>
            </w:r>
          </w:p>
        </w:tc>
      </w:tr>
      <w:tr w14:paraId="2E1E0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7C91E93">
            <w:pPr>
              <w:jc w:val="both"/>
            </w:pPr>
            <w:r>
              <w:rPr>
                <w:rFonts w:ascii="Calibri" w:hAnsi="Calibri" w:eastAsia="Calibri" w:cs="Calibri"/>
                <w:b/>
                <w:bCs/>
                <w:color w:val="FFFFFF"/>
                <w:sz w:val="20"/>
                <w:szCs w:val="20"/>
              </w:rPr>
              <w:t>Supervises</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67874FD2">
            <w:pPr>
              <w:jc w:val="both"/>
            </w:pPr>
            <w:r>
              <w:rPr>
                <w:rFonts w:ascii="Calibri" w:hAnsi="Calibri" w:eastAsia="Calibri" w:cs="Calibri"/>
                <w:color w:val="363435"/>
                <w:sz w:val="20"/>
                <w:szCs w:val="20"/>
              </w:rPr>
              <w:t>Outreach Assistants and Campus Ambassadors, as assigned</w:t>
            </w:r>
          </w:p>
        </w:tc>
      </w:tr>
    </w:tbl>
    <w:p w14:paraId="623B14D0">
      <w:pPr>
        <w:spacing w:after="120"/>
        <w:jc w:val="both"/>
      </w:pPr>
    </w:p>
    <w:p w14:paraId="2609881A">
      <w:pPr>
        <w:pStyle w:val="2"/>
        <w:pBdr>
          <w:bottom w:val="single" w:color="AE3033" w:sz="6" w:space="4"/>
        </w:pBdr>
        <w:spacing w:before="320" w:after="140"/>
        <w:jc w:val="both"/>
      </w:pPr>
      <w:bookmarkStart w:id="0" w:name="_GoBack"/>
      <w:bookmarkEnd w:id="0"/>
      <w:r>
        <w:rPr>
          <w:rFonts w:ascii="Calibri" w:hAnsi="Calibri" w:eastAsia="Calibri" w:cs="Calibri"/>
          <w:b/>
          <w:bCs/>
          <w:color w:val="AE3033"/>
          <w:sz w:val="24"/>
          <w:szCs w:val="24"/>
        </w:rPr>
        <w:t>BENEFITS</w:t>
      </w:r>
    </w:p>
    <w:p w14:paraId="0B418C22">
      <w:pPr>
        <w:pStyle w:val="16"/>
        <w:numPr>
          <w:ilvl w:val="0"/>
          <w:numId w:val="1"/>
        </w:numPr>
        <w:spacing w:after="90" w:line="264" w:lineRule="auto"/>
        <w:jc w:val="both"/>
      </w:pPr>
      <w:r>
        <w:rPr>
          <w:rFonts w:ascii="Calibri" w:hAnsi="Calibri" w:eastAsia="Calibri" w:cs="Calibri"/>
          <w:color w:val="363435"/>
          <w:sz w:val="21"/>
          <w:szCs w:val="21"/>
        </w:rPr>
        <w:t>Hands-on outreach and campus engagement experience in a dynamic, impact-driven organization.</w:t>
      </w:r>
    </w:p>
    <w:p w14:paraId="7F1BD63A">
      <w:pPr>
        <w:pStyle w:val="16"/>
        <w:numPr>
          <w:ilvl w:val="0"/>
          <w:numId w:val="1"/>
        </w:numPr>
        <w:spacing w:after="90" w:line="264" w:lineRule="auto"/>
        <w:jc w:val="both"/>
      </w:pPr>
      <w:r>
        <w:rPr>
          <w:rFonts w:ascii="Calibri" w:hAnsi="Calibri" w:eastAsia="Calibri" w:cs="Calibri"/>
          <w:color w:val="363435"/>
          <w:sz w:val="21"/>
          <w:szCs w:val="21"/>
        </w:rPr>
        <w:t>Opportunity to contribute to Grow With Educ8Africa’s campus reach, student engagement, and impact across Ghana.</w:t>
      </w:r>
    </w:p>
    <w:p w14:paraId="40C45CC3">
      <w:pPr>
        <w:pStyle w:val="16"/>
        <w:numPr>
          <w:ilvl w:val="0"/>
          <w:numId w:val="1"/>
        </w:numPr>
        <w:spacing w:after="90" w:line="264" w:lineRule="auto"/>
        <w:jc w:val="both"/>
      </w:pPr>
      <w:r>
        <w:rPr>
          <w:rFonts w:ascii="Calibri" w:hAnsi="Calibri" w:eastAsia="Calibri" w:cs="Calibri"/>
          <w:color w:val="363435"/>
          <w:sz w:val="21"/>
          <w:szCs w:val="21"/>
        </w:rPr>
        <w:t>Direct exposure to organizational leadership, outreach operations, events, and high-impact programmes.</w:t>
      </w:r>
    </w:p>
    <w:p w14:paraId="6701F121">
      <w:pPr>
        <w:pStyle w:val="16"/>
        <w:numPr>
          <w:ilvl w:val="0"/>
          <w:numId w:val="1"/>
        </w:numPr>
        <w:spacing w:after="90" w:line="264" w:lineRule="auto"/>
        <w:jc w:val="both"/>
      </w:pPr>
      <w:r>
        <w:rPr>
          <w:rFonts w:ascii="Calibri" w:hAnsi="Calibri" w:eastAsia="Calibri" w:cs="Calibri"/>
          <w:color w:val="363435"/>
          <w:sz w:val="21"/>
          <w:szCs w:val="21"/>
        </w:rPr>
        <w:t>Access to learning, mentorship, and professional development opportunities.</w:t>
      </w:r>
    </w:p>
    <w:p w14:paraId="5FA7F1C2">
      <w:pPr>
        <w:pStyle w:val="16"/>
        <w:numPr>
          <w:ilvl w:val="0"/>
          <w:numId w:val="1"/>
        </w:numPr>
        <w:spacing w:after="90" w:line="264" w:lineRule="auto"/>
        <w:jc w:val="both"/>
      </w:pPr>
      <w:r>
        <w:rPr>
          <w:rFonts w:ascii="Calibri" w:hAnsi="Calibri" w:eastAsia="Calibri" w:cs="Calibri"/>
          <w:color w:val="363435"/>
          <w:sz w:val="21"/>
          <w:szCs w:val="21"/>
        </w:rPr>
        <w:t>Certificate of recommendation and professional endorsement upon successful completion.</w:t>
      </w:r>
    </w:p>
    <w:p w14:paraId="5BC0CAA4">
      <w:pPr>
        <w:pStyle w:val="16"/>
        <w:numPr>
          <w:ilvl w:val="0"/>
          <w:numId w:val="1"/>
        </w:numPr>
        <w:spacing w:after="90" w:line="264" w:lineRule="auto"/>
        <w:jc w:val="both"/>
      </w:pPr>
      <w:r>
        <w:rPr>
          <w:rFonts w:ascii="Calibri" w:hAnsi="Calibri" w:eastAsia="Calibri" w:cs="Calibri"/>
          <w:color w:val="363435"/>
          <w:sz w:val="21"/>
          <w:szCs w:val="21"/>
        </w:rPr>
        <w:t>Exceptional performance may lead to priority consideration for future freelance, contract, or full-time opportunities within Grow With Educ8Africa, its ecosystem, partners, or client organizations, subject to availability.</w:t>
      </w:r>
    </w:p>
    <w:p w14:paraId="64994C19">
      <w:pPr>
        <w:pStyle w:val="2"/>
        <w:pBdr>
          <w:bottom w:val="single" w:color="AE3033" w:sz="6" w:space="4"/>
        </w:pBdr>
        <w:spacing w:before="320" w:after="140"/>
        <w:jc w:val="both"/>
      </w:pPr>
      <w:r>
        <w:rPr>
          <w:rFonts w:ascii="Calibri" w:hAnsi="Calibri" w:eastAsia="Calibri" w:cs="Calibri"/>
          <w:b/>
          <w:bCs/>
          <w:color w:val="AE3033"/>
          <w:sz w:val="24"/>
          <w:szCs w:val="24"/>
        </w:rPr>
        <w:t>SCOPE OF ROLE</w:t>
      </w:r>
    </w:p>
    <w:p w14:paraId="32ECF327">
      <w:pPr>
        <w:spacing w:after="160" w:line="276" w:lineRule="auto"/>
        <w:jc w:val="both"/>
      </w:pPr>
      <w:r>
        <w:rPr>
          <w:rFonts w:ascii="Calibri" w:hAnsi="Calibri" w:eastAsia="Calibri" w:cs="Calibri"/>
          <w:color w:val="363435"/>
          <w:sz w:val="21"/>
          <w:szCs w:val="21"/>
        </w:rPr>
        <w:t>This job description outlines the primary responsibilities, tools, and competencies associated with the role at the time of issue and is not exhaustive. Grow With Educ8Africa reserves the right to review and update the scope of the role as organisational priorities, programme needs, and operating requirements evolve. Material changes will be communicated and reflected in a revised, versioned document.</w:t>
      </w:r>
    </w:p>
    <w:p w14:paraId="4111675B">
      <w:pPr>
        <w:pStyle w:val="2"/>
        <w:pBdr>
          <w:bottom w:val="single" w:color="AE3033" w:sz="6" w:space="4"/>
        </w:pBdr>
        <w:spacing w:before="320" w:after="140"/>
        <w:jc w:val="both"/>
      </w:pPr>
      <w:r>
        <w:rPr>
          <w:rFonts w:ascii="Calibri" w:hAnsi="Calibri" w:eastAsia="Calibri" w:cs="Calibri"/>
          <w:b/>
          <w:bCs/>
          <w:color w:val="AE3033"/>
          <w:sz w:val="24"/>
          <w:szCs w:val="24"/>
        </w:rPr>
        <w:t>EQUAL OPPORTUNITY</w:t>
      </w:r>
    </w:p>
    <w:p w14:paraId="6FADDFE8">
      <w:pPr>
        <w:spacing w:after="160" w:line="276" w:lineRule="auto"/>
        <w:jc w:val="both"/>
      </w:pPr>
      <w:r>
        <w:rPr>
          <w:rFonts w:ascii="Calibri" w:hAnsi="Calibri" w:eastAsia="Calibri" w:cs="Calibri"/>
          <w:color w:val="363435"/>
          <w:sz w:val="21"/>
          <w:szCs w:val="21"/>
        </w:rPr>
        <w:t>Grow With Educ8Africa is an equal opportunity organization. All qualified applicants are considered without regard to gender, ethnicity, religion, disability, or any status unrelated to job performance.</w:t>
      </w:r>
    </w:p>
    <w:p w14:paraId="4C379A32">
      <w:pPr>
        <w:pStyle w:val="2"/>
        <w:pBdr>
          <w:bottom w:val="single" w:color="AE3033" w:sz="6" w:space="4"/>
        </w:pBdr>
        <w:spacing w:before="320" w:after="140"/>
        <w:jc w:val="both"/>
      </w:pPr>
      <w:r>
        <w:rPr>
          <w:rFonts w:ascii="Calibri" w:hAnsi="Calibri" w:eastAsia="Calibri" w:cs="Calibri"/>
          <w:b/>
          <w:bCs/>
          <w:color w:val="AE3033"/>
          <w:sz w:val="24"/>
          <w:szCs w:val="24"/>
        </w:rPr>
        <w:t>HOW TO APPLY</w:t>
      </w:r>
    </w:p>
    <w:p w14:paraId="31F465EE">
      <w:pPr>
        <w:spacing w:after="100"/>
        <w:jc w:val="both"/>
      </w:pPr>
      <w:r>
        <w:rPr>
          <w:rFonts w:ascii="Calibri" w:hAnsi="Calibri" w:eastAsia="Calibri" w:cs="Calibri"/>
          <w:b/>
          <w:bCs/>
          <w:color w:val="363435"/>
          <w:sz w:val="21"/>
          <w:szCs w:val="21"/>
        </w:rPr>
        <w:t xml:space="preserve">Application: </w:t>
      </w:r>
      <w:r>
        <w:rPr>
          <w:rFonts w:ascii="Calibri" w:hAnsi="Calibri" w:eastAsia="Calibri" w:cs="Calibri"/>
          <w:color w:val="363435"/>
          <w:sz w:val="21"/>
          <w:szCs w:val="21"/>
        </w:rPr>
        <w:t>Rolling Basis – First Come, First Served</w:t>
      </w:r>
    </w:p>
    <w:p w14:paraId="33BE3198">
      <w:pPr>
        <w:spacing w:after="160" w:line="276" w:lineRule="auto"/>
        <w:jc w:val="both"/>
      </w:pPr>
      <w:r>
        <w:rPr>
          <w:rFonts w:ascii="Calibri" w:hAnsi="Calibri" w:eastAsia="Calibri" w:cs="Calibri"/>
          <w:color w:val="363435"/>
          <w:sz w:val="21"/>
          <w:szCs w:val="21"/>
        </w:rPr>
        <w:t>Send your CV and a one-page cover letter to careers@educ8africa.com.</w:t>
      </w:r>
    </w:p>
    <w:p w14:paraId="113FB1B6">
      <w:pPr>
        <w:spacing w:after="160"/>
        <w:jc w:val="both"/>
      </w:pPr>
      <w:r>
        <w:rPr>
          <w:rFonts w:ascii="Calibri" w:hAnsi="Calibri" w:eastAsia="Calibri" w:cs="Calibri"/>
          <w:b/>
          <w:bCs/>
          <w:color w:val="363435"/>
          <w:sz w:val="21"/>
          <w:szCs w:val="21"/>
        </w:rPr>
        <w:t xml:space="preserve">Subject Line: </w:t>
      </w:r>
      <w:r>
        <w:rPr>
          <w:rFonts w:ascii="Calibri" w:hAnsi="Calibri" w:eastAsia="Calibri" w:cs="Calibri"/>
          <w:color w:val="363435"/>
          <w:sz w:val="21"/>
          <w:szCs w:val="21"/>
        </w:rPr>
        <w:t>Application – Assistant Lead, Outreach and Campus Engagement (National Service Personnel)</w:t>
      </w:r>
    </w:p>
    <w:sectPr>
      <w:headerReference r:id="rId3" w:type="default"/>
      <w:footerReference r:id="rId4" w:type="default"/>
      <w:pgSz w:w="12240" w:h="15840"/>
      <w:pgMar w:top="125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6FA79">
    <w:pPr>
      <w:pBdr>
        <w:top w:val="single" w:color="AE3033" w:sz="6" w:space="6"/>
      </w:pBdr>
      <w:spacing w:after="40"/>
      <w:jc w:val="center"/>
    </w:pPr>
    <w:r>
      <w:rPr>
        <w:rFonts w:ascii="Calibri" w:hAnsi="Calibri" w:eastAsia="Calibri" w:cs="Calibri"/>
        <w:color w:val="363435"/>
        <w:sz w:val="15"/>
        <w:szCs w:val="15"/>
      </w:rPr>
      <w:t>Head Office, P.O. Box DM 10, Makola, Accra – Ghana  |  Tel: +233 (0) 558677477  |  Email: info@educ8africa.com  |  www.educ8africa.com</w:t>
    </w:r>
  </w:p>
  <w:p w14:paraId="0CFBDF20">
    <w:pPr>
      <w:jc w:val="center"/>
    </w:pPr>
    <w:r>
      <w:rPr>
        <w:rFonts w:ascii="Calibri" w:hAnsi="Calibri" w:eastAsia="Calibri" w:cs="Calibri"/>
        <w:i/>
        <w:iCs/>
        <w:color w:val="6B6969"/>
        <w:sz w:val="14"/>
        <w:szCs w:val="14"/>
      </w:rPr>
      <w:t>Document Version: 2.1   |   Prepared By: Grow With Educ8Africa – People Operations   |   Approved By: Chief Executive Officer (CEO)   |   Review Cycle: Annually, or upon material change in role scope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22722">
    <w:pPr>
      <w:pBdr>
        <w:bottom w:val="single" w:color="AE3033" w:sz="12" w:space="6"/>
      </w:pBdr>
      <w:jc w:val="left"/>
    </w:pPr>
    <w:r>
      <w:drawing>
        <wp:inline distT="0" distB="0" distL="0" distR="0">
          <wp:extent cx="1809750" cy="45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809750" cy="4524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50" w:hanging="260"/>
      </w:pPr>
      <w:rPr>
        <w:color w:val="AE3033"/>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C0117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63435"/>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63435"/>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363435"/>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363435"/>
      <w:sz w:val="56"/>
      <w:szCs w:val="56"/>
    </w:rPr>
  </w:style>
  <w:style w:type="paragraph" w:styleId="16">
    <w:name w:val="List Paragraph"/>
    <w:qFormat/>
    <w:uiPriority w:val="0"/>
    <w:rPr>
      <w:rFonts w:ascii="Calibri" w:hAnsi="Calibri" w:eastAsia="Calibri" w:cs="Calibri"/>
      <w:color w:val="363435"/>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882</Words>
  <Characters>6218</Characters>
  <TotalTime>1</TotalTime>
  <ScaleCrop>false</ScaleCrop>
  <LinksUpToDate>false</LinksUpToDate>
  <CharactersWithSpaces>7023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2026-08-20T18:52:00Z</dcterms:created>
  <dc:creator>Un-named</dc:creator>
  <cp:lastModifiedBy>Admin</cp:lastModifiedBy>
  <dcterms:modified xsi:type="dcterms:W3CDTF">2026-08-21T12:26:41Z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eyJoZGlkIjoiZTMyZTYzNjlkYjUyMmU3MTY0NjNlNDRhOWEyMWJkNGIifQ==</vt:lpwstr>
  </property>
  <property fmtid="{D5CDD505-2E9C-101B-9397-08002B2CF9AE}" pid="3" name="KSOProductBuildVer">
    <vt:lpwstr>1033-12.1.0.25862</vt:lpwstr>
  </property>
  <property fmtid="{D5CDD505-2E9C-101B-9397-08002B2CF9AE}" pid="4" name="ICV">
    <vt:lpwstr>39C8711E14F3406EA773FD5CC8F524FE_12</vt:lpwstr>
  </property>
</Properties>
</file>