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919BF">
      <w:pPr>
        <w:spacing w:after="200"/>
        <w:jc w:val="both"/>
      </w:pPr>
      <w:r>
        <w:rPr>
          <w:rFonts w:ascii="Calibri" w:hAnsi="Calibri" w:eastAsia="Calibri" w:cs="Calibri"/>
          <w:b/>
          <w:bCs/>
          <w:color w:val="363435"/>
          <w:sz w:val="34"/>
          <w:szCs w:val="34"/>
        </w:rPr>
        <w:t>Assistant, Programmes, Training and Technical Enablement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6DAF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23C8FACB">
            <w:pPr>
              <w:jc w:val="both"/>
            </w:pPr>
            <w:r>
              <w:rPr>
                <w:rFonts w:ascii="Calibri" w:hAnsi="Calibri" w:eastAsia="Calibri" w:cs="Calibri"/>
                <w:b/>
                <w:bCs/>
                <w:color w:val="FFFFFF"/>
                <w:sz w:val="20"/>
                <w:szCs w:val="20"/>
              </w:rPr>
              <w:t>Job Title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33CA8717">
            <w:pPr>
              <w:jc w:val="both"/>
            </w:pPr>
            <w:r>
              <w:rPr>
                <w:rFonts w:ascii="Calibri" w:hAnsi="Calibri" w:eastAsia="Calibri" w:cs="Calibri"/>
                <w:color w:val="363435"/>
                <w:sz w:val="20"/>
                <w:szCs w:val="20"/>
              </w:rPr>
              <w:t>Assistant, Programmes, Training and Technical Enablement (National Service Personnel)</w:t>
            </w:r>
          </w:p>
        </w:tc>
      </w:tr>
      <w:tr w14:paraId="4D4F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6D6BE8A6">
            <w:pPr>
              <w:jc w:val="both"/>
            </w:pPr>
            <w:r>
              <w:rPr>
                <w:rFonts w:ascii="Calibri" w:hAnsi="Calibri" w:eastAsia="Calibri" w:cs="Calibri"/>
                <w:b/>
                <w:bCs/>
                <w:color w:val="FFFFFF"/>
                <w:sz w:val="20"/>
                <w:szCs w:val="20"/>
              </w:rPr>
              <w:t>Department</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6ECDA6B5">
            <w:pPr>
              <w:jc w:val="both"/>
            </w:pPr>
            <w:r>
              <w:rPr>
                <w:rFonts w:ascii="Calibri" w:hAnsi="Calibri" w:eastAsia="Calibri" w:cs="Calibri"/>
                <w:color w:val="363435"/>
                <w:sz w:val="20"/>
                <w:szCs w:val="20"/>
              </w:rPr>
              <w:t>Programmes, Training and Technical Enablement</w:t>
            </w:r>
          </w:p>
        </w:tc>
      </w:tr>
      <w:tr w14:paraId="29B98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6D40278C">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374DCA88">
            <w:pPr>
              <w:jc w:val="both"/>
            </w:pPr>
            <w:r>
              <w:rPr>
                <w:rFonts w:ascii="Calibri" w:hAnsi="Calibri" w:eastAsia="Calibri" w:cs="Calibri"/>
                <w:color w:val="363435"/>
                <w:sz w:val="20"/>
                <w:szCs w:val="20"/>
              </w:rPr>
              <w:t>Lead, Programmes, Training and Technical Enablement</w:t>
            </w:r>
          </w:p>
        </w:tc>
      </w:tr>
      <w:tr w14:paraId="4338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3D102FBA">
            <w:pPr>
              <w:jc w:val="both"/>
            </w:pPr>
            <w:r>
              <w:rPr>
                <w:rFonts w:ascii="Calibri" w:hAnsi="Calibri" w:eastAsia="Calibri" w:cs="Calibri"/>
                <w:b/>
                <w:bCs/>
                <w:color w:val="FFFFFF"/>
                <w:sz w:val="20"/>
                <w:szCs w:val="20"/>
              </w:rPr>
              <w:t>Location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4997CE42">
            <w:pPr>
              <w:jc w:val="both"/>
            </w:pPr>
            <w:r>
              <w:rPr>
                <w:rFonts w:ascii="Calibri" w:hAnsi="Calibri" w:eastAsia="Calibri" w:cs="Calibri"/>
                <w:color w:val="363435"/>
                <w:sz w:val="20"/>
                <w:szCs w:val="20"/>
              </w:rPr>
              <w:t>Hybrid (Mostly Remote)</w:t>
            </w:r>
          </w:p>
        </w:tc>
      </w:tr>
      <w:tr w14:paraId="149A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0A5CEA18">
            <w:pPr>
              <w:jc w:val="both"/>
            </w:pPr>
            <w:r>
              <w:rPr>
                <w:rFonts w:ascii="Calibri" w:hAnsi="Calibri" w:eastAsia="Calibri" w:cs="Calibri"/>
                <w:b/>
                <w:bCs/>
                <w:color w:val="FFFFFF"/>
                <w:sz w:val="20"/>
                <w:szCs w:val="20"/>
              </w:rPr>
              <w:t>Job Type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3DCAB309">
            <w:pPr>
              <w:jc w:val="both"/>
            </w:pPr>
            <w:r>
              <w:rPr>
                <w:rFonts w:ascii="Calibri" w:hAnsi="Calibri" w:eastAsia="Calibri" w:cs="Calibri"/>
                <w:color w:val="363435"/>
                <w:sz w:val="20"/>
                <w:szCs w:val="20"/>
              </w:rPr>
              <w:t>Full-Time (National Service Posting)</w:t>
            </w:r>
          </w:p>
        </w:tc>
      </w:tr>
      <w:tr w14:paraId="64525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2DDFE552">
            <w:pPr>
              <w:jc w:val="both"/>
            </w:pPr>
            <w:r>
              <w:rPr>
                <w:rFonts w:ascii="Calibri" w:hAnsi="Calibri" w:eastAsia="Calibri" w:cs="Calibri"/>
                <w:b/>
                <w:bCs/>
                <w:color w:val="FFFFFF"/>
                <w:sz w:val="20"/>
                <w:szCs w:val="20"/>
              </w:rPr>
              <w:t>Compensation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1F55D46F">
            <w:pPr>
              <w:jc w:val="both"/>
            </w:pPr>
            <w:r>
              <w:rPr>
                <w:rFonts w:ascii="Calibri" w:hAnsi="Calibri" w:eastAsia="Calibri" w:cs="Calibri"/>
                <w:color w:val="363435"/>
                <w:sz w:val="20"/>
                <w:szCs w:val="20"/>
              </w:rPr>
              <w:t>Monthly National Service Allowance (per National Service Authority guidelines), plus a performance-based allowance awarded at management's discretion based on demonstrated impact, initiative, and delivery against role objectives.</w:t>
            </w:r>
          </w:p>
        </w:tc>
      </w:tr>
    </w:tbl>
    <w:p w14:paraId="2835C7CD">
      <w:pPr>
        <w:spacing w:after="120"/>
        <w:jc w:val="both"/>
      </w:pPr>
    </w:p>
    <w:p w14:paraId="18922404">
      <w:pPr>
        <w:pStyle w:val="2"/>
        <w:pBdr>
          <w:bottom w:val="single" w:color="AE3033" w:sz="6" w:space="4"/>
        </w:pBdr>
        <w:spacing w:before="320" w:after="140"/>
        <w:jc w:val="both"/>
      </w:pPr>
      <w:r>
        <w:rPr>
          <w:rFonts w:ascii="Calibri" w:hAnsi="Calibri" w:eastAsia="Calibri" w:cs="Calibri"/>
          <w:b/>
          <w:bCs/>
          <w:color w:val="AE3033"/>
          <w:sz w:val="24"/>
          <w:szCs w:val="24"/>
        </w:rPr>
        <w:t>ABOUT GROW WITH EDUC8AFRICA</w:t>
      </w:r>
    </w:p>
    <w:p w14:paraId="532BDC67">
      <w:pPr>
        <w:spacing w:after="160" w:line="276" w:lineRule="auto"/>
        <w:jc w:val="both"/>
      </w:pPr>
      <w:r>
        <w:rPr>
          <w:rFonts w:ascii="Calibri" w:hAnsi="Calibri" w:eastAsia="Calibri" w:cs="Calibri"/>
          <w:color w:val="363435"/>
          <w:sz w:val="21"/>
          <w:szCs w:val="21"/>
        </w:rPr>
        <w:t>Grow With Educ8Africa is the Corporate Social Responsibility (CSR) arm of Educ8Africa, a dynamic knowledge and skills transfer company committed to closing Africa's cybersecurity skills gap. Through highly subsidized certification programs, career acceleration initiatives, mentorship, industry partnerships, and workforce development interventions, Grow with Educ8Africa equips students and young professionals with globally relevant cybersecurity and digital skills that prepare them for meaningful careers in the digital economy.</w:t>
      </w:r>
    </w:p>
    <w:p w14:paraId="50FA8906">
      <w:pPr>
        <w:pStyle w:val="2"/>
        <w:pBdr>
          <w:bottom w:val="single" w:color="AE3033" w:sz="6" w:space="4"/>
        </w:pBdr>
        <w:spacing w:before="320" w:after="140"/>
        <w:jc w:val="both"/>
      </w:pPr>
      <w:r>
        <w:rPr>
          <w:rFonts w:ascii="Calibri" w:hAnsi="Calibri" w:eastAsia="Calibri" w:cs="Calibri"/>
          <w:b/>
          <w:bCs/>
          <w:color w:val="AE3033"/>
          <w:sz w:val="24"/>
          <w:szCs w:val="24"/>
        </w:rPr>
        <w:t>ROLE OVERVIEW</w:t>
      </w:r>
    </w:p>
    <w:p w14:paraId="5F5E8AB0">
      <w:pPr>
        <w:spacing w:after="200" w:line="276" w:lineRule="auto"/>
        <w:jc w:val="both"/>
      </w:pPr>
      <w:r>
        <w:rPr>
          <w:rFonts w:ascii="Calibri" w:hAnsi="Calibri" w:eastAsia="Calibri" w:cs="Calibri"/>
          <w:b/>
          <w:bCs/>
          <w:i/>
          <w:iCs/>
          <w:color w:val="AE3033"/>
          <w:sz w:val="21"/>
          <w:szCs w:val="21"/>
        </w:rPr>
        <w:t xml:space="preserve">Job Purpose: </w:t>
      </w:r>
      <w:r>
        <w:rPr>
          <w:rFonts w:ascii="Calibri" w:hAnsi="Calibri" w:eastAsia="Calibri" w:cs="Calibri"/>
          <w:i/>
          <w:iCs/>
          <w:color w:val="363435"/>
          <w:sz w:val="21"/>
          <w:szCs w:val="21"/>
        </w:rPr>
        <w:t>To provide hands-on technical, administrative, and delivery support that enables Grow With Educ8Africa's training programs to run smoothly and professionally.</w:t>
      </w:r>
    </w:p>
    <w:p w14:paraId="090B119B">
      <w:pPr>
        <w:spacing w:after="160" w:line="276" w:lineRule="auto"/>
        <w:jc w:val="both"/>
      </w:pPr>
      <w:r>
        <w:rPr>
          <w:rFonts w:ascii="Calibri" w:hAnsi="Calibri" w:eastAsia="Calibri" w:cs="Calibri"/>
          <w:color w:val="363435"/>
          <w:sz w:val="21"/>
          <w:szCs w:val="21"/>
        </w:rPr>
        <w:t>The Assistant, Programmes, Training and Technical Enablement supports the Lead across curriculum, teaching, technical and lab support, webinar coordination, and day-to-day program administration. It is an execution-focused, hands-on role.</w:t>
      </w:r>
    </w:p>
    <w:p w14:paraId="128A3235">
      <w:pPr>
        <w:spacing w:after="160" w:line="276" w:lineRule="auto"/>
        <w:jc w:val="both"/>
      </w:pPr>
      <w:r>
        <w:rPr>
          <w:rFonts w:ascii="Calibri" w:hAnsi="Calibri" w:eastAsia="Calibri" w:cs="Calibri"/>
          <w:color w:val="363435"/>
          <w:sz w:val="21"/>
          <w:szCs w:val="21"/>
        </w:rPr>
        <w:t>Curriculum support applies only to in-house courses; certification programs follow a fixed third-party syllabus and are delivered, not developed. Strategic decisions on curriculum, staffing, mentor and trainer selection, AI adoption, and program direction remain with the Lead.</w:t>
      </w:r>
    </w:p>
    <w:p w14:paraId="235B2B7E">
      <w:pPr>
        <w:pStyle w:val="2"/>
        <w:pBdr>
          <w:bottom w:val="single" w:color="AE3033" w:sz="6" w:space="4"/>
        </w:pBdr>
        <w:spacing w:before="320" w:after="140"/>
        <w:jc w:val="both"/>
      </w:pPr>
      <w:r>
        <w:rPr>
          <w:rFonts w:ascii="Calibri" w:hAnsi="Calibri" w:eastAsia="Calibri" w:cs="Calibri"/>
          <w:b/>
          <w:bCs/>
          <w:color w:val="AE3033"/>
          <w:sz w:val="24"/>
          <w:szCs w:val="24"/>
        </w:rPr>
        <w:t>KEY RESPONSIBILITIES</w:t>
      </w:r>
    </w:p>
    <w:p w14:paraId="6C36BF7D">
      <w:pPr>
        <w:spacing w:before="200" w:after="70"/>
        <w:jc w:val="both"/>
      </w:pPr>
      <w:r>
        <w:rPr>
          <w:rFonts w:ascii="Calibri" w:hAnsi="Calibri" w:eastAsia="Calibri" w:cs="Calibri"/>
          <w:b/>
          <w:bCs/>
          <w:color w:val="AE3033"/>
          <w:sz w:val="21"/>
          <w:szCs w:val="21"/>
        </w:rPr>
        <w:t>Curriculum Development Support (In-House Courses Only)</w:t>
      </w:r>
    </w:p>
    <w:p w14:paraId="6DA8689F">
      <w:pPr>
        <w:pStyle w:val="16"/>
        <w:numPr>
          <w:ilvl w:val="0"/>
          <w:numId w:val="1"/>
        </w:numPr>
        <w:spacing w:after="90" w:line="264" w:lineRule="auto"/>
        <w:jc w:val="both"/>
      </w:pPr>
      <w:r>
        <w:rPr>
          <w:rFonts w:ascii="Calibri" w:hAnsi="Calibri" w:eastAsia="Calibri" w:cs="Calibri"/>
          <w:color w:val="363435"/>
          <w:sz w:val="21"/>
          <w:szCs w:val="21"/>
        </w:rPr>
        <w:t>Assist the Lead in developing and updating course outlines, assessments, and lab exercises for in-house courses.</w:t>
      </w:r>
    </w:p>
    <w:p w14:paraId="69A858AA">
      <w:pPr>
        <w:pStyle w:val="16"/>
        <w:numPr>
          <w:ilvl w:val="0"/>
          <w:numId w:val="1"/>
        </w:numPr>
        <w:spacing w:after="90" w:line="264" w:lineRule="auto"/>
        <w:jc w:val="both"/>
      </w:pPr>
      <w:r>
        <w:rPr>
          <w:rFonts w:ascii="Calibri" w:hAnsi="Calibri" w:eastAsia="Calibri" w:cs="Calibri"/>
          <w:color w:val="363435"/>
          <w:sz w:val="21"/>
          <w:szCs w:val="21"/>
        </w:rPr>
        <w:t>Maintain version-controlled curriculum documentation and flag relevant learner feedback to the Lead.</w:t>
      </w:r>
    </w:p>
    <w:p w14:paraId="5D1E69AB">
      <w:pPr>
        <w:pStyle w:val="16"/>
        <w:numPr>
          <w:ilvl w:val="0"/>
          <w:numId w:val="1"/>
        </w:numPr>
        <w:spacing w:after="90" w:line="264" w:lineRule="auto"/>
        <w:jc w:val="both"/>
      </w:pPr>
      <w:r>
        <w:rPr>
          <w:rFonts w:ascii="Calibri" w:hAnsi="Calibri" w:eastAsia="Calibri" w:cs="Calibri"/>
          <w:color w:val="363435"/>
          <w:sz w:val="21"/>
          <w:szCs w:val="21"/>
        </w:rPr>
        <w:t>Note: certification programs use a fixed syllabus and require no development.</w:t>
      </w:r>
    </w:p>
    <w:p w14:paraId="104EBC0D">
      <w:pPr>
        <w:spacing w:before="200" w:after="70"/>
        <w:jc w:val="both"/>
        <w:rPr>
          <w:rFonts w:ascii="Calibri" w:hAnsi="Calibri" w:eastAsia="Calibri" w:cs="Calibri"/>
          <w:b/>
          <w:bCs/>
          <w:color w:val="AE3033"/>
          <w:sz w:val="21"/>
          <w:szCs w:val="21"/>
        </w:rPr>
      </w:pPr>
    </w:p>
    <w:p w14:paraId="5DC7CA6F">
      <w:pPr>
        <w:spacing w:before="200" w:after="70"/>
        <w:jc w:val="both"/>
      </w:pPr>
      <w:r>
        <w:rPr>
          <w:rFonts w:ascii="Calibri" w:hAnsi="Calibri" w:eastAsia="Calibri" w:cs="Calibri"/>
          <w:b/>
          <w:bCs/>
          <w:color w:val="AE3033"/>
          <w:sz w:val="21"/>
          <w:szCs w:val="21"/>
        </w:rPr>
        <w:t>Teaching &amp; Learner Support</w:t>
      </w:r>
    </w:p>
    <w:p w14:paraId="2C15C2C1">
      <w:pPr>
        <w:pStyle w:val="16"/>
        <w:numPr>
          <w:ilvl w:val="0"/>
          <w:numId w:val="1"/>
        </w:numPr>
        <w:spacing w:after="90" w:line="264" w:lineRule="auto"/>
        <w:jc w:val="both"/>
      </w:pPr>
      <w:r>
        <w:rPr>
          <w:rFonts w:ascii="Calibri" w:hAnsi="Calibri" w:eastAsia="Calibri" w:cs="Calibri"/>
          <w:color w:val="363435"/>
          <w:sz w:val="21"/>
          <w:szCs w:val="21"/>
        </w:rPr>
        <w:t>Support the Lead and Trainers in delivering in-house courses and certification programs, under direction.</w:t>
      </w:r>
    </w:p>
    <w:p w14:paraId="5C96039A">
      <w:pPr>
        <w:pStyle w:val="16"/>
        <w:numPr>
          <w:ilvl w:val="0"/>
          <w:numId w:val="1"/>
        </w:numPr>
        <w:spacing w:after="90" w:line="264" w:lineRule="auto"/>
        <w:jc w:val="both"/>
      </w:pPr>
      <w:r>
        <w:rPr>
          <w:rFonts w:ascii="Calibri" w:hAnsi="Calibri" w:eastAsia="Calibri" w:cs="Calibri"/>
          <w:color w:val="363435"/>
          <w:sz w:val="21"/>
          <w:szCs w:val="21"/>
        </w:rPr>
        <w:t>Assist with preparing teaching materials and tracking learner progress.</w:t>
      </w:r>
    </w:p>
    <w:p w14:paraId="3BA6E717">
      <w:pPr>
        <w:pStyle w:val="16"/>
        <w:numPr>
          <w:ilvl w:val="0"/>
          <w:numId w:val="1"/>
        </w:numPr>
        <w:spacing w:after="90" w:line="264" w:lineRule="auto"/>
        <w:jc w:val="both"/>
      </w:pPr>
      <w:r>
        <w:rPr>
          <w:rFonts w:ascii="Calibri" w:hAnsi="Calibri" w:eastAsia="Calibri" w:cs="Calibri"/>
          <w:color w:val="363435"/>
          <w:sz w:val="21"/>
          <w:szCs w:val="21"/>
        </w:rPr>
        <w:t>Provide learner follow-up through Q&amp;A sessions and lab assistance.</w:t>
      </w:r>
    </w:p>
    <w:p w14:paraId="0ACD08A8">
      <w:pPr>
        <w:pStyle w:val="16"/>
        <w:numPr>
          <w:ilvl w:val="0"/>
          <w:numId w:val="1"/>
        </w:numPr>
        <w:spacing w:after="90" w:line="264" w:lineRule="auto"/>
        <w:jc w:val="both"/>
      </w:pPr>
      <w:r>
        <w:rPr>
          <w:rFonts w:ascii="Calibri" w:hAnsi="Calibri" w:eastAsia="Calibri" w:cs="Calibri"/>
          <w:color w:val="363435"/>
          <w:sz w:val="21"/>
          <w:szCs w:val="21"/>
        </w:rPr>
        <w:t>Assist the Lead in grouping learners into knowledge-balanced study groups and coordinating peer tutoring and Trainer/facilitator tutoring sessions.</w:t>
      </w:r>
    </w:p>
    <w:p w14:paraId="385EFFC9">
      <w:pPr>
        <w:pStyle w:val="16"/>
        <w:numPr>
          <w:ilvl w:val="0"/>
          <w:numId w:val="1"/>
        </w:numPr>
        <w:spacing w:after="90" w:line="264" w:lineRule="auto"/>
        <w:jc w:val="both"/>
      </w:pPr>
      <w:r>
        <w:rPr>
          <w:rFonts w:ascii="Calibri" w:hAnsi="Calibri" w:eastAsia="Calibri" w:cs="Calibri"/>
          <w:color w:val="363435"/>
          <w:sz w:val="21"/>
          <w:szCs w:val="21"/>
        </w:rPr>
        <w:t>Help organize and run mock exams and mock discussion sessions.</w:t>
      </w:r>
    </w:p>
    <w:p w14:paraId="4EFC2A0E">
      <w:pPr>
        <w:spacing w:before="200" w:after="70"/>
        <w:jc w:val="both"/>
      </w:pPr>
      <w:r>
        <w:rPr>
          <w:rFonts w:ascii="Calibri" w:hAnsi="Calibri" w:eastAsia="Calibri" w:cs="Calibri"/>
          <w:b/>
          <w:bCs/>
          <w:color w:val="AE3033"/>
          <w:sz w:val="21"/>
          <w:szCs w:val="21"/>
        </w:rPr>
        <w:t>Technical &amp; Lab Support</w:t>
      </w:r>
    </w:p>
    <w:p w14:paraId="258B54E0">
      <w:pPr>
        <w:pStyle w:val="16"/>
        <w:numPr>
          <w:ilvl w:val="0"/>
          <w:numId w:val="1"/>
        </w:numPr>
        <w:spacing w:after="90" w:line="264" w:lineRule="auto"/>
        <w:jc w:val="both"/>
      </w:pPr>
      <w:r>
        <w:rPr>
          <w:rFonts w:ascii="Calibri" w:hAnsi="Calibri" w:eastAsia="Calibri" w:cs="Calibri"/>
          <w:color w:val="363435"/>
          <w:sz w:val="21"/>
          <w:szCs w:val="21"/>
        </w:rPr>
        <w:t>Set up and maintain lab environments ahead of training sessions.</w:t>
      </w:r>
    </w:p>
    <w:p w14:paraId="6FE1F583">
      <w:pPr>
        <w:pStyle w:val="16"/>
        <w:numPr>
          <w:ilvl w:val="0"/>
          <w:numId w:val="1"/>
        </w:numPr>
        <w:spacing w:after="90" w:line="264" w:lineRule="auto"/>
        <w:jc w:val="both"/>
      </w:pPr>
      <w:r>
        <w:rPr>
          <w:rFonts w:ascii="Calibri" w:hAnsi="Calibri" w:eastAsia="Calibri" w:cs="Calibri"/>
          <w:color w:val="363435"/>
          <w:sz w:val="21"/>
          <w:szCs w:val="21"/>
        </w:rPr>
        <w:t>Troubleshoot routine technical issues, escalating complex ones to the Lead.</w:t>
      </w:r>
    </w:p>
    <w:p w14:paraId="584669E8">
      <w:pPr>
        <w:pStyle w:val="16"/>
        <w:numPr>
          <w:ilvl w:val="0"/>
          <w:numId w:val="1"/>
        </w:numPr>
        <w:spacing w:after="90" w:line="264" w:lineRule="auto"/>
        <w:jc w:val="both"/>
      </w:pPr>
      <w:r>
        <w:rPr>
          <w:rFonts w:ascii="Calibri" w:hAnsi="Calibri" w:eastAsia="Calibri" w:cs="Calibri"/>
          <w:color w:val="363435"/>
          <w:sz w:val="21"/>
          <w:szCs w:val="21"/>
        </w:rPr>
        <w:t>Maintain technical documentation and help communicate outage updates to learners as directed.</w:t>
      </w:r>
    </w:p>
    <w:p w14:paraId="507F89F3">
      <w:pPr>
        <w:pStyle w:val="16"/>
        <w:numPr>
          <w:ilvl w:val="0"/>
          <w:numId w:val="1"/>
        </w:numPr>
        <w:spacing w:after="90" w:line="264" w:lineRule="auto"/>
        <w:jc w:val="both"/>
      </w:pPr>
      <w:r>
        <w:rPr>
          <w:rFonts w:ascii="Calibri" w:hAnsi="Calibri" w:eastAsia="Calibri" w:cs="Calibri"/>
          <w:color w:val="363435"/>
          <w:sz w:val="21"/>
          <w:szCs w:val="21"/>
        </w:rPr>
        <w:t>Provide first-line, best-effort technical troubleshooting to other internal teams as directed by the Lead, prioritized behind core program duties.</w:t>
      </w:r>
    </w:p>
    <w:p w14:paraId="666A2898">
      <w:pPr>
        <w:spacing w:before="200" w:after="70"/>
        <w:jc w:val="both"/>
      </w:pPr>
      <w:r>
        <w:rPr>
          <w:rFonts w:ascii="Calibri" w:hAnsi="Calibri" w:eastAsia="Calibri" w:cs="Calibri"/>
          <w:b/>
          <w:bCs/>
          <w:color w:val="AE3033"/>
          <w:sz w:val="21"/>
          <w:szCs w:val="21"/>
        </w:rPr>
        <w:t>Webinar Coordination Support</w:t>
      </w:r>
    </w:p>
    <w:p w14:paraId="74B8988A">
      <w:pPr>
        <w:pStyle w:val="16"/>
        <w:numPr>
          <w:ilvl w:val="0"/>
          <w:numId w:val="1"/>
        </w:numPr>
        <w:spacing w:after="90" w:line="264" w:lineRule="auto"/>
        <w:jc w:val="both"/>
      </w:pPr>
      <w:r>
        <w:rPr>
          <w:rFonts w:ascii="Calibri" w:hAnsi="Calibri" w:eastAsia="Calibri" w:cs="Calibri"/>
          <w:color w:val="363435"/>
          <w:sz w:val="21"/>
          <w:szCs w:val="21"/>
        </w:rPr>
        <w:t>Support the Lead in preparing webinar content, speaker coordination, and run-throughs.</w:t>
      </w:r>
    </w:p>
    <w:p w14:paraId="06142A1E">
      <w:pPr>
        <w:pStyle w:val="16"/>
        <w:numPr>
          <w:ilvl w:val="0"/>
          <w:numId w:val="1"/>
        </w:numPr>
        <w:spacing w:after="90" w:line="264" w:lineRule="auto"/>
        <w:jc w:val="both"/>
      </w:pPr>
      <w:r>
        <w:rPr>
          <w:rFonts w:ascii="Calibri" w:hAnsi="Calibri" w:eastAsia="Calibri" w:cs="Calibri"/>
          <w:color w:val="363435"/>
          <w:sz w:val="21"/>
          <w:szCs w:val="21"/>
        </w:rPr>
        <w:t>Coordinate with the Creative Multimedia Lead on technical setup, streaming, and branding requirements.</w:t>
      </w:r>
    </w:p>
    <w:p w14:paraId="33888298">
      <w:pPr>
        <w:pStyle w:val="16"/>
        <w:numPr>
          <w:ilvl w:val="0"/>
          <w:numId w:val="1"/>
        </w:numPr>
        <w:spacing w:after="90" w:line="264" w:lineRule="auto"/>
        <w:jc w:val="both"/>
      </w:pPr>
      <w:r>
        <w:rPr>
          <w:rFonts w:ascii="Calibri" w:hAnsi="Calibri" w:eastAsia="Calibri" w:cs="Calibri"/>
          <w:color w:val="363435"/>
          <w:sz w:val="21"/>
          <w:szCs w:val="21"/>
        </w:rPr>
        <w:t>Monitor chat and Q&amp;A during live webinars and flag issues to the Lead.</w:t>
      </w:r>
    </w:p>
    <w:p w14:paraId="19CC21F9">
      <w:pPr>
        <w:spacing w:before="200" w:after="70"/>
        <w:jc w:val="both"/>
      </w:pPr>
      <w:r>
        <w:rPr>
          <w:rFonts w:ascii="Calibri" w:hAnsi="Calibri" w:eastAsia="Calibri" w:cs="Calibri"/>
          <w:b/>
          <w:bCs/>
          <w:color w:val="AE3033"/>
          <w:sz w:val="21"/>
          <w:szCs w:val="21"/>
        </w:rPr>
        <w:t>Program Administration Support</w:t>
      </w:r>
    </w:p>
    <w:p w14:paraId="5CF1A1AB">
      <w:pPr>
        <w:pStyle w:val="16"/>
        <w:numPr>
          <w:ilvl w:val="0"/>
          <w:numId w:val="1"/>
        </w:numPr>
        <w:spacing w:after="90" w:line="264" w:lineRule="auto"/>
        <w:jc w:val="both"/>
      </w:pPr>
      <w:r>
        <w:rPr>
          <w:rFonts w:ascii="Calibri" w:hAnsi="Calibri" w:eastAsia="Calibri" w:cs="Calibri"/>
          <w:color w:val="363435"/>
          <w:sz w:val="21"/>
          <w:szCs w:val="21"/>
        </w:rPr>
        <w:t>Assist with enrollment logistics, scheduling, resource allocation, and certification exam registration.</w:t>
      </w:r>
    </w:p>
    <w:p w14:paraId="3B2C12FA">
      <w:pPr>
        <w:pStyle w:val="16"/>
        <w:numPr>
          <w:ilvl w:val="0"/>
          <w:numId w:val="1"/>
        </w:numPr>
        <w:spacing w:after="90" w:line="264" w:lineRule="auto"/>
        <w:jc w:val="both"/>
      </w:pPr>
      <w:r>
        <w:rPr>
          <w:rFonts w:ascii="Calibri" w:hAnsi="Calibri" w:eastAsia="Calibri" w:cs="Calibri"/>
          <w:color w:val="363435"/>
          <w:sz w:val="21"/>
          <w:szCs w:val="21"/>
        </w:rPr>
        <w:t>Monitor and respond to the learner WhatsApp group in real time for general queries, and provide backup coverage for the support email inbox, escalating welfare concerns to the Lead.</w:t>
      </w:r>
    </w:p>
    <w:p w14:paraId="1AB6D4EB">
      <w:pPr>
        <w:pStyle w:val="16"/>
        <w:numPr>
          <w:ilvl w:val="0"/>
          <w:numId w:val="1"/>
        </w:numPr>
        <w:spacing w:after="90" w:line="264" w:lineRule="auto"/>
        <w:jc w:val="both"/>
      </w:pPr>
      <w:r>
        <w:rPr>
          <w:rFonts w:ascii="Calibri" w:hAnsi="Calibri" w:eastAsia="Calibri" w:cs="Calibri"/>
          <w:color w:val="363435"/>
          <w:sz w:val="21"/>
          <w:szCs w:val="21"/>
        </w:rPr>
        <w:t>Support data collection and reporting on program performance metrics, including post-completion outcomes.</w:t>
      </w:r>
    </w:p>
    <w:p w14:paraId="2466E909">
      <w:pPr>
        <w:spacing w:before="200" w:after="70"/>
        <w:jc w:val="both"/>
      </w:pPr>
      <w:r>
        <w:rPr>
          <w:rFonts w:ascii="Calibri" w:hAnsi="Calibri" w:eastAsia="Calibri" w:cs="Calibri"/>
          <w:b/>
          <w:bCs/>
          <w:color w:val="AE3033"/>
          <w:sz w:val="21"/>
          <w:szCs w:val="21"/>
        </w:rPr>
        <w:t>Student Engagement &amp; Visibility Support</w:t>
      </w:r>
    </w:p>
    <w:p w14:paraId="27D9494F">
      <w:pPr>
        <w:pStyle w:val="16"/>
        <w:numPr>
          <w:ilvl w:val="0"/>
          <w:numId w:val="1"/>
        </w:numPr>
        <w:spacing w:after="90" w:line="264" w:lineRule="auto"/>
        <w:jc w:val="both"/>
      </w:pPr>
      <w:r>
        <w:rPr>
          <w:rFonts w:ascii="Calibri" w:hAnsi="Calibri" w:eastAsia="Calibri" w:cs="Calibri"/>
          <w:color w:val="363435"/>
          <w:sz w:val="21"/>
          <w:szCs w:val="21"/>
        </w:rPr>
        <w:t>Support the Outreach team with logistics for webinars, hackathons, showcases, and other visibility initiatives aimed at prospective learners.</w:t>
      </w:r>
    </w:p>
    <w:p w14:paraId="63ED358B">
      <w:pPr>
        <w:pStyle w:val="16"/>
        <w:numPr>
          <w:ilvl w:val="0"/>
          <w:numId w:val="1"/>
        </w:numPr>
        <w:spacing w:after="90" w:line="264" w:lineRule="auto"/>
        <w:jc w:val="both"/>
      </w:pPr>
      <w:r>
        <w:rPr>
          <w:rFonts w:ascii="Calibri" w:hAnsi="Calibri" w:eastAsia="Calibri" w:cs="Calibri"/>
          <w:color w:val="363435"/>
          <w:sz w:val="21"/>
          <w:szCs w:val="21"/>
        </w:rPr>
        <w:t>Assist with basic promotional content for prospective students, for the Lead’s review.</w:t>
      </w:r>
    </w:p>
    <w:p w14:paraId="2E33257D">
      <w:pPr>
        <w:pStyle w:val="16"/>
        <w:numPr>
          <w:ilvl w:val="0"/>
          <w:numId w:val="1"/>
        </w:numPr>
        <w:spacing w:after="90" w:line="264" w:lineRule="auto"/>
        <w:jc w:val="both"/>
      </w:pPr>
      <w:r>
        <w:rPr>
          <w:rFonts w:ascii="Calibri" w:hAnsi="Calibri" w:eastAsia="Calibri" w:cs="Calibri"/>
          <w:color w:val="363435"/>
          <w:sz w:val="21"/>
          <w:szCs w:val="21"/>
        </w:rPr>
        <w:t>Respond to routine inquiries using approved templates, escalating others to the Lead.</w:t>
      </w:r>
    </w:p>
    <w:p w14:paraId="170B95CD">
      <w:pPr>
        <w:spacing w:before="200" w:after="70"/>
        <w:jc w:val="both"/>
      </w:pPr>
      <w:r>
        <w:rPr>
          <w:rFonts w:ascii="Calibri" w:hAnsi="Calibri" w:eastAsia="Calibri" w:cs="Calibri"/>
          <w:b/>
          <w:bCs/>
          <w:color w:val="AE3033"/>
          <w:sz w:val="21"/>
          <w:szCs w:val="21"/>
        </w:rPr>
        <w:t>AI &amp; Business Process Automation Support</w:t>
      </w:r>
    </w:p>
    <w:p w14:paraId="6ABF1F51">
      <w:pPr>
        <w:pStyle w:val="16"/>
        <w:numPr>
          <w:ilvl w:val="0"/>
          <w:numId w:val="1"/>
        </w:numPr>
        <w:spacing w:after="90" w:line="264" w:lineRule="auto"/>
        <w:jc w:val="both"/>
      </w:pPr>
      <w:r>
        <w:rPr>
          <w:rFonts w:ascii="Calibri" w:hAnsi="Calibri" w:eastAsia="Calibri" w:cs="Calibri"/>
          <w:color w:val="363435"/>
          <w:sz w:val="21"/>
          <w:szCs w:val="21"/>
        </w:rPr>
        <w:t>Assist the Lead in researching, trialing, and helping implement AI tools and process automations, including open-source options, across Programmes and other departments.</w:t>
      </w:r>
    </w:p>
    <w:p w14:paraId="40326F78">
      <w:pPr>
        <w:pStyle w:val="16"/>
        <w:numPr>
          <w:ilvl w:val="0"/>
          <w:numId w:val="1"/>
        </w:numPr>
        <w:spacing w:after="90" w:line="264" w:lineRule="auto"/>
        <w:jc w:val="both"/>
      </w:pPr>
      <w:r>
        <w:rPr>
          <w:rFonts w:ascii="Calibri" w:hAnsi="Calibri" w:eastAsia="Calibri" w:cs="Calibri"/>
          <w:color w:val="363435"/>
          <w:sz w:val="21"/>
          <w:szCs w:val="21"/>
        </w:rPr>
        <w:t>Document findings and basic usage guidance for tools and automations recommended for adoption.</w:t>
      </w:r>
    </w:p>
    <w:p w14:paraId="50BC6E11">
      <w:pPr>
        <w:pStyle w:val="16"/>
        <w:numPr>
          <w:ilvl w:val="0"/>
          <w:numId w:val="1"/>
        </w:numPr>
        <w:spacing w:after="90" w:line="264" w:lineRule="auto"/>
        <w:jc w:val="both"/>
      </w:pPr>
      <w:r>
        <w:rPr>
          <w:rFonts w:ascii="Calibri" w:hAnsi="Calibri" w:eastAsia="Calibri" w:cs="Calibri"/>
          <w:color w:val="363435"/>
          <w:sz w:val="21"/>
          <w:szCs w:val="21"/>
        </w:rPr>
        <w:t>Support implementation of approved AI tools and automations under the Lead’s direction, including in other departments once CEO-approved.</w:t>
      </w:r>
    </w:p>
    <w:p w14:paraId="7BC0D999">
      <w:pPr>
        <w:pStyle w:val="2"/>
        <w:pBdr>
          <w:bottom w:val="single" w:color="AE3033" w:sz="6" w:space="4"/>
        </w:pBdr>
        <w:spacing w:before="320" w:after="140"/>
        <w:jc w:val="both"/>
      </w:pPr>
      <w:r>
        <w:rPr>
          <w:rFonts w:ascii="Calibri" w:hAnsi="Calibri" w:eastAsia="Calibri" w:cs="Calibri"/>
          <w:b/>
          <w:bCs/>
          <w:color w:val="AE3033"/>
          <w:sz w:val="24"/>
          <w:szCs w:val="24"/>
        </w:rPr>
        <w:t>QUALIFICATIONS &amp; REQUIREMENTS</w:t>
      </w:r>
    </w:p>
    <w:p w14:paraId="11B0916A">
      <w:pPr>
        <w:spacing w:before="200" w:after="80"/>
        <w:jc w:val="both"/>
      </w:pPr>
      <w:r>
        <w:rPr>
          <w:rFonts w:ascii="Calibri" w:hAnsi="Calibri" w:eastAsia="Calibri" w:cs="Calibri"/>
          <w:b/>
          <w:bCs/>
          <w:i/>
          <w:iCs/>
          <w:color w:val="363435"/>
          <w:sz w:val="22"/>
          <w:szCs w:val="22"/>
        </w:rPr>
        <w:t>Educational Background</w:t>
      </w:r>
    </w:p>
    <w:p w14:paraId="783E1040">
      <w:pPr>
        <w:spacing w:after="160" w:line="276" w:lineRule="auto"/>
        <w:jc w:val="both"/>
      </w:pPr>
      <w:r>
        <w:rPr>
          <w:rFonts w:ascii="Calibri" w:hAnsi="Calibri" w:eastAsia="Calibri" w:cs="Calibri"/>
          <w:color w:val="363435"/>
          <w:sz w:val="21"/>
          <w:szCs w:val="21"/>
        </w:rPr>
        <w:t>A degree, HND, or equivalent qualification in Information Technology, Computer Science, Cybersecurity, Engineering, or a related field.</w:t>
      </w:r>
    </w:p>
    <w:p w14:paraId="5AE84BD4">
      <w:pPr>
        <w:spacing w:before="200" w:after="80"/>
        <w:jc w:val="both"/>
      </w:pPr>
      <w:r>
        <w:rPr>
          <w:rFonts w:ascii="Calibri" w:hAnsi="Calibri" w:eastAsia="Calibri" w:cs="Calibri"/>
          <w:b/>
          <w:bCs/>
          <w:i/>
          <w:iCs/>
          <w:color w:val="363435"/>
          <w:sz w:val="22"/>
          <w:szCs w:val="22"/>
        </w:rPr>
        <w:t>Professional Competencies</w:t>
      </w:r>
    </w:p>
    <w:p w14:paraId="28D4535E">
      <w:pPr>
        <w:pStyle w:val="16"/>
        <w:numPr>
          <w:ilvl w:val="0"/>
          <w:numId w:val="1"/>
        </w:numPr>
        <w:spacing w:after="90" w:line="264" w:lineRule="auto"/>
        <w:jc w:val="both"/>
      </w:pPr>
      <w:r>
        <w:rPr>
          <w:rFonts w:ascii="Calibri" w:hAnsi="Calibri" w:eastAsia="Calibri" w:cs="Calibri"/>
          <w:color w:val="363435"/>
          <w:sz w:val="21"/>
          <w:szCs w:val="21"/>
        </w:rPr>
        <w:t>Foundational knowledge of IT and cybersecurity concepts, with willingness to develop teaching skills.</w:t>
      </w:r>
    </w:p>
    <w:p w14:paraId="5EB1F6DE">
      <w:pPr>
        <w:pStyle w:val="16"/>
        <w:numPr>
          <w:ilvl w:val="0"/>
          <w:numId w:val="1"/>
        </w:numPr>
        <w:spacing w:after="90" w:line="264" w:lineRule="auto"/>
        <w:jc w:val="both"/>
      </w:pPr>
      <w:r>
        <w:rPr>
          <w:rFonts w:ascii="Calibri" w:hAnsi="Calibri" w:eastAsia="Calibri" w:cs="Calibri"/>
          <w:color w:val="363435"/>
          <w:sz w:val="21"/>
          <w:szCs w:val="21"/>
        </w:rPr>
        <w:t>Comfortable assisting with curriculum materials for in-house courses under guidance.</w:t>
      </w:r>
    </w:p>
    <w:p w14:paraId="528EF088">
      <w:pPr>
        <w:pStyle w:val="16"/>
        <w:numPr>
          <w:ilvl w:val="0"/>
          <w:numId w:val="1"/>
        </w:numPr>
        <w:spacing w:after="90" w:line="264" w:lineRule="auto"/>
        <w:jc w:val="both"/>
      </w:pPr>
      <w:r>
        <w:rPr>
          <w:rFonts w:ascii="Calibri" w:hAnsi="Calibri" w:eastAsia="Calibri" w:cs="Calibri"/>
          <w:color w:val="363435"/>
          <w:sz w:val="21"/>
          <w:szCs w:val="21"/>
        </w:rPr>
        <w:t>Comfortable helping coordinate peer-tutoring groups and mock exam sessions.</w:t>
      </w:r>
    </w:p>
    <w:p w14:paraId="71ED84BB">
      <w:pPr>
        <w:pStyle w:val="16"/>
        <w:numPr>
          <w:ilvl w:val="0"/>
          <w:numId w:val="1"/>
        </w:numPr>
        <w:spacing w:after="90" w:line="264" w:lineRule="auto"/>
        <w:jc w:val="both"/>
      </w:pPr>
      <w:r>
        <w:rPr>
          <w:rFonts w:ascii="Calibri" w:hAnsi="Calibri" w:eastAsia="Calibri" w:cs="Calibri"/>
          <w:color w:val="363435"/>
          <w:sz w:val="21"/>
          <w:szCs w:val="21"/>
        </w:rPr>
        <w:t>Comfortable troubleshooting routine technical issues in lab and virtual environments, including basic requests from other internal teams.</w:t>
      </w:r>
    </w:p>
    <w:p w14:paraId="5427141E">
      <w:pPr>
        <w:pStyle w:val="16"/>
        <w:numPr>
          <w:ilvl w:val="0"/>
          <w:numId w:val="1"/>
        </w:numPr>
        <w:spacing w:after="90" w:line="264" w:lineRule="auto"/>
        <w:jc w:val="both"/>
      </w:pPr>
      <w:r>
        <w:rPr>
          <w:rFonts w:ascii="Calibri" w:hAnsi="Calibri" w:eastAsia="Calibri" w:cs="Calibri"/>
          <w:color w:val="363435"/>
          <w:sz w:val="21"/>
          <w:szCs w:val="21"/>
        </w:rPr>
        <w:t>A friendly, customer-service-oriented communication style.</w:t>
      </w:r>
    </w:p>
    <w:p w14:paraId="5118F49A">
      <w:pPr>
        <w:pStyle w:val="16"/>
        <w:numPr>
          <w:ilvl w:val="0"/>
          <w:numId w:val="1"/>
        </w:numPr>
        <w:spacing w:after="90" w:line="264" w:lineRule="auto"/>
        <w:jc w:val="both"/>
      </w:pPr>
      <w:r>
        <w:rPr>
          <w:rFonts w:ascii="Calibri" w:hAnsi="Calibri" w:eastAsia="Calibri" w:cs="Calibri"/>
          <w:color w:val="363435"/>
          <w:sz w:val="21"/>
          <w:szCs w:val="21"/>
        </w:rPr>
        <w:t>Comfortable assisting with AI tool research, testing, and basic implementation, including open-source software, under guidance.</w:t>
      </w:r>
    </w:p>
    <w:p w14:paraId="1E089BD2">
      <w:pPr>
        <w:pStyle w:val="16"/>
        <w:numPr>
          <w:ilvl w:val="0"/>
          <w:numId w:val="1"/>
        </w:numPr>
        <w:spacing w:after="90" w:line="264" w:lineRule="auto"/>
        <w:jc w:val="both"/>
      </w:pPr>
      <w:r>
        <w:rPr>
          <w:rFonts w:ascii="Calibri" w:hAnsi="Calibri" w:eastAsia="Calibri" w:cs="Calibri"/>
          <w:color w:val="363435"/>
          <w:sz w:val="21"/>
          <w:szCs w:val="21"/>
        </w:rPr>
        <w:t>Strong attention to detail and reliability in documentation and record-keeping.</w:t>
      </w:r>
    </w:p>
    <w:p w14:paraId="42FA5C3E">
      <w:pPr>
        <w:spacing w:before="200" w:after="80"/>
        <w:jc w:val="both"/>
      </w:pPr>
      <w:r>
        <w:rPr>
          <w:rFonts w:ascii="Calibri" w:hAnsi="Calibri" w:eastAsia="Calibri" w:cs="Calibri"/>
          <w:b/>
          <w:bCs/>
          <w:i/>
          <w:iCs/>
          <w:color w:val="363435"/>
          <w:sz w:val="22"/>
          <w:szCs w:val="22"/>
        </w:rPr>
        <w:t>AI Fluency</w:t>
      </w:r>
    </w:p>
    <w:p w14:paraId="0D87F723">
      <w:pPr>
        <w:pStyle w:val="16"/>
        <w:numPr>
          <w:ilvl w:val="0"/>
          <w:numId w:val="1"/>
        </w:numPr>
        <w:spacing w:after="90" w:line="264" w:lineRule="auto"/>
        <w:jc w:val="both"/>
      </w:pPr>
      <w:r>
        <w:rPr>
          <w:rFonts w:ascii="Calibri" w:hAnsi="Calibri" w:eastAsia="Calibri" w:cs="Calibri"/>
          <w:color w:val="363435"/>
          <w:sz w:val="21"/>
          <w:szCs w:val="21"/>
        </w:rPr>
        <w:t>Comfortable using AI tools for routine troubleshooting, documentation, and lab setup tasks.</w:t>
      </w:r>
    </w:p>
    <w:p w14:paraId="2F4B6B1C">
      <w:pPr>
        <w:pStyle w:val="16"/>
        <w:numPr>
          <w:ilvl w:val="0"/>
          <w:numId w:val="1"/>
        </w:numPr>
        <w:spacing w:after="90" w:line="264" w:lineRule="auto"/>
        <w:jc w:val="both"/>
      </w:pPr>
      <w:r>
        <w:rPr>
          <w:rFonts w:ascii="Calibri" w:hAnsi="Calibri" w:eastAsia="Calibri" w:cs="Calibri"/>
          <w:color w:val="363435"/>
          <w:sz w:val="21"/>
          <w:szCs w:val="21"/>
        </w:rPr>
        <w:t>Comfortable assisting with research, trials, and basic implementation of AI tools, including open-source options, under the Lead’s direction.</w:t>
      </w:r>
    </w:p>
    <w:p w14:paraId="70CC681B">
      <w:pPr>
        <w:pStyle w:val="16"/>
        <w:numPr>
          <w:ilvl w:val="0"/>
          <w:numId w:val="1"/>
        </w:numPr>
        <w:spacing w:after="90" w:line="264" w:lineRule="auto"/>
        <w:jc w:val="both"/>
      </w:pPr>
      <w:r>
        <w:rPr>
          <w:rFonts w:ascii="Calibri" w:hAnsi="Calibri" w:eastAsia="Calibri" w:cs="Calibri"/>
          <w:color w:val="363435"/>
          <w:sz w:val="21"/>
          <w:szCs w:val="21"/>
        </w:rPr>
        <w:t>Willingness to continuously learn and adapt to emerging AI tools relevant to technical training and support.</w:t>
      </w:r>
    </w:p>
    <w:p w14:paraId="372D453A">
      <w:pPr>
        <w:spacing w:before="200" w:after="80"/>
        <w:jc w:val="both"/>
      </w:pPr>
      <w:r>
        <w:rPr>
          <w:rFonts w:ascii="Calibri" w:hAnsi="Calibri" w:eastAsia="Calibri" w:cs="Calibri"/>
          <w:b/>
          <w:bCs/>
          <w:i/>
          <w:iCs/>
          <w:color w:val="363435"/>
          <w:sz w:val="22"/>
          <w:szCs w:val="22"/>
        </w:rPr>
        <w:t>Tools &amp; Platforms</w:t>
      </w:r>
    </w:p>
    <w:p w14:paraId="0EB841C6">
      <w:pPr>
        <w:pStyle w:val="16"/>
        <w:numPr>
          <w:ilvl w:val="0"/>
          <w:numId w:val="1"/>
        </w:numPr>
        <w:spacing w:after="90" w:line="264" w:lineRule="auto"/>
        <w:jc w:val="both"/>
      </w:pPr>
      <w:r>
        <w:rPr>
          <w:rFonts w:ascii="Calibri" w:hAnsi="Calibri" w:eastAsia="Calibri" w:cs="Calibri"/>
          <w:color w:val="363435"/>
          <w:sz w:val="21"/>
          <w:szCs w:val="21"/>
        </w:rPr>
        <w:t>Familiarity with Learning Management Systems (e.g., Moodle, Canvas) from a learner-support perspective.</w:t>
      </w:r>
    </w:p>
    <w:p w14:paraId="7818AF52">
      <w:pPr>
        <w:pStyle w:val="16"/>
        <w:numPr>
          <w:ilvl w:val="0"/>
          <w:numId w:val="1"/>
        </w:numPr>
        <w:spacing w:after="90" w:line="264" w:lineRule="auto"/>
        <w:jc w:val="both"/>
      </w:pPr>
      <w:r>
        <w:rPr>
          <w:rFonts w:ascii="Calibri" w:hAnsi="Calibri" w:eastAsia="Calibri" w:cs="Calibri"/>
          <w:color w:val="363435"/>
          <w:sz w:val="21"/>
          <w:szCs w:val="21"/>
        </w:rPr>
        <w:t>Familiarity with virtual lab/VM environments used in cybersecurity training.</w:t>
      </w:r>
    </w:p>
    <w:p w14:paraId="5D1DBA71">
      <w:pPr>
        <w:pStyle w:val="16"/>
        <w:numPr>
          <w:ilvl w:val="0"/>
          <w:numId w:val="1"/>
        </w:numPr>
        <w:spacing w:after="90" w:line="264" w:lineRule="auto"/>
        <w:jc w:val="both"/>
      </w:pPr>
      <w:r>
        <w:rPr>
          <w:rFonts w:ascii="Calibri" w:hAnsi="Calibri" w:eastAsia="Calibri" w:cs="Calibri"/>
          <w:color w:val="363435"/>
          <w:sz w:val="21"/>
          <w:szCs w:val="21"/>
        </w:rPr>
        <w:t>Familiarity with webinar platforms (Zoom, Google Meet, Teams), helpdesk/ticketing tools (Freshdesk, Zendesk), and everyday collaboration tools (Microsoft Teams, Outlook, OneDrive).</w:t>
      </w:r>
    </w:p>
    <w:p w14:paraId="393BDAD7">
      <w:pPr>
        <w:spacing w:before="200" w:after="80"/>
        <w:jc w:val="both"/>
      </w:pPr>
      <w:r>
        <w:rPr>
          <w:rFonts w:ascii="Calibri" w:hAnsi="Calibri" w:eastAsia="Calibri" w:cs="Calibri"/>
          <w:b/>
          <w:bCs/>
          <w:i/>
          <w:iCs/>
          <w:color w:val="363435"/>
          <w:sz w:val="22"/>
          <w:szCs w:val="22"/>
        </w:rPr>
        <w:t>Work Requirements</w:t>
      </w:r>
    </w:p>
    <w:p w14:paraId="1C273466">
      <w:pPr>
        <w:pStyle w:val="16"/>
        <w:numPr>
          <w:ilvl w:val="0"/>
          <w:numId w:val="1"/>
        </w:numPr>
        <w:spacing w:after="90" w:line="264" w:lineRule="auto"/>
        <w:jc w:val="both"/>
      </w:pPr>
      <w:r>
        <w:rPr>
          <w:rFonts w:ascii="Calibri" w:hAnsi="Calibri" w:eastAsia="Calibri" w:cs="Calibri"/>
          <w:color w:val="363435"/>
          <w:sz w:val="21"/>
          <w:szCs w:val="21"/>
        </w:rPr>
        <w:t>Must be able to commit to full-time remote/hybrid work.</w:t>
      </w:r>
    </w:p>
    <w:p w14:paraId="6431EE6B">
      <w:pPr>
        <w:pStyle w:val="16"/>
        <w:numPr>
          <w:ilvl w:val="0"/>
          <w:numId w:val="1"/>
        </w:numPr>
        <w:spacing w:after="90" w:line="264" w:lineRule="auto"/>
        <w:jc w:val="both"/>
      </w:pPr>
      <w:r>
        <w:rPr>
          <w:rFonts w:ascii="Calibri" w:hAnsi="Calibri" w:eastAsia="Calibri" w:cs="Calibri"/>
          <w:color w:val="363435"/>
          <w:sz w:val="21"/>
          <w:szCs w:val="21"/>
        </w:rPr>
        <w:t>A functioning personal laptop and stable internet access are required.</w:t>
      </w:r>
    </w:p>
    <w:p w14:paraId="3FFFA58B">
      <w:pPr>
        <w:pStyle w:val="16"/>
        <w:numPr>
          <w:ilvl w:val="0"/>
          <w:numId w:val="1"/>
        </w:numPr>
        <w:spacing w:after="90" w:line="264" w:lineRule="auto"/>
        <w:jc w:val="both"/>
      </w:pPr>
      <w:r>
        <w:rPr>
          <w:rFonts w:ascii="Calibri" w:hAnsi="Calibri" w:eastAsia="Calibri" w:cs="Calibri"/>
          <w:color w:val="363435"/>
          <w:sz w:val="21"/>
          <w:szCs w:val="21"/>
        </w:rPr>
        <w:t>Availability for occasional weekend work, events, or urgent campaign requirements when necessary.</w:t>
      </w:r>
    </w:p>
    <w:p w14:paraId="2D4D1FF4">
      <w:pPr>
        <w:pStyle w:val="2"/>
        <w:pBdr>
          <w:bottom w:val="single" w:color="AE3033" w:sz="6" w:space="4"/>
        </w:pBdr>
        <w:spacing w:before="320" w:after="140"/>
        <w:jc w:val="both"/>
      </w:pPr>
      <w:r>
        <w:rPr>
          <w:rFonts w:ascii="Calibri" w:hAnsi="Calibri" w:eastAsia="Calibri" w:cs="Calibri"/>
          <w:b/>
          <w:bCs/>
          <w:color w:val="AE3033"/>
          <w:sz w:val="24"/>
          <w:szCs w:val="24"/>
        </w:rPr>
        <w:t>CORE COMPETENCIES</w:t>
      </w:r>
    </w:p>
    <w:p w14:paraId="54FD12DE">
      <w:pPr>
        <w:pStyle w:val="16"/>
        <w:numPr>
          <w:ilvl w:val="0"/>
          <w:numId w:val="1"/>
        </w:numPr>
        <w:spacing w:after="90" w:line="264" w:lineRule="auto"/>
        <w:jc w:val="both"/>
      </w:pPr>
      <w:r>
        <w:rPr>
          <w:rFonts w:ascii="Calibri" w:hAnsi="Calibri" w:eastAsia="Calibri" w:cs="Calibri"/>
          <w:color w:val="363435"/>
          <w:sz w:val="21"/>
          <w:szCs w:val="21"/>
        </w:rPr>
        <w:t>Reliability and follow-through</w:t>
      </w:r>
    </w:p>
    <w:p w14:paraId="211868CD">
      <w:pPr>
        <w:pStyle w:val="16"/>
        <w:numPr>
          <w:ilvl w:val="0"/>
          <w:numId w:val="1"/>
        </w:numPr>
        <w:spacing w:after="90" w:line="264" w:lineRule="auto"/>
        <w:jc w:val="both"/>
      </w:pPr>
      <w:r>
        <w:rPr>
          <w:rFonts w:ascii="Calibri" w:hAnsi="Calibri" w:eastAsia="Calibri" w:cs="Calibri"/>
          <w:color w:val="363435"/>
          <w:sz w:val="21"/>
          <w:szCs w:val="21"/>
        </w:rPr>
        <w:t>Teamwork and collaboration</w:t>
      </w:r>
    </w:p>
    <w:p w14:paraId="24334104">
      <w:pPr>
        <w:pStyle w:val="16"/>
        <w:numPr>
          <w:ilvl w:val="0"/>
          <w:numId w:val="1"/>
        </w:numPr>
        <w:spacing w:after="90" w:line="264" w:lineRule="auto"/>
        <w:jc w:val="both"/>
      </w:pPr>
      <w:r>
        <w:rPr>
          <w:rFonts w:ascii="Calibri" w:hAnsi="Calibri" w:eastAsia="Calibri" w:cs="Calibri"/>
          <w:color w:val="363435"/>
          <w:sz w:val="21"/>
          <w:szCs w:val="21"/>
        </w:rPr>
        <w:t>Attention to detail</w:t>
      </w:r>
    </w:p>
    <w:p w14:paraId="6DF1CC44">
      <w:pPr>
        <w:pStyle w:val="16"/>
        <w:numPr>
          <w:ilvl w:val="0"/>
          <w:numId w:val="1"/>
        </w:numPr>
        <w:spacing w:after="90" w:line="264" w:lineRule="auto"/>
        <w:jc w:val="both"/>
      </w:pPr>
      <w:r>
        <w:rPr>
          <w:rFonts w:ascii="Calibri" w:hAnsi="Calibri" w:eastAsia="Calibri" w:cs="Calibri"/>
          <w:color w:val="363435"/>
          <w:sz w:val="21"/>
          <w:szCs w:val="21"/>
        </w:rPr>
        <w:t>Adaptability and willingness to learn</w:t>
      </w:r>
    </w:p>
    <w:p w14:paraId="13EA194F">
      <w:pPr>
        <w:pStyle w:val="16"/>
        <w:numPr>
          <w:ilvl w:val="0"/>
          <w:numId w:val="1"/>
        </w:numPr>
        <w:spacing w:after="90" w:line="264" w:lineRule="auto"/>
        <w:jc w:val="both"/>
      </w:pPr>
      <w:r>
        <w:rPr>
          <w:rFonts w:ascii="Calibri" w:hAnsi="Calibri" w:eastAsia="Calibri" w:cs="Calibri"/>
          <w:color w:val="363435"/>
          <w:sz w:val="21"/>
          <w:szCs w:val="21"/>
        </w:rPr>
        <w:t>Customer-service orientation</w:t>
      </w:r>
    </w:p>
    <w:p w14:paraId="37F21E4B">
      <w:pPr>
        <w:pStyle w:val="16"/>
        <w:numPr>
          <w:ilvl w:val="0"/>
          <w:numId w:val="1"/>
        </w:numPr>
        <w:spacing w:after="90" w:line="264" w:lineRule="auto"/>
        <w:jc w:val="both"/>
      </w:pPr>
      <w:r>
        <w:rPr>
          <w:rFonts w:ascii="Calibri" w:hAnsi="Calibri" w:eastAsia="Calibri" w:cs="Calibri"/>
          <w:color w:val="363435"/>
          <w:sz w:val="21"/>
          <w:szCs w:val="21"/>
        </w:rPr>
        <w:t>Initiative within a defined scope</w:t>
      </w:r>
    </w:p>
    <w:p w14:paraId="70722AD2">
      <w:pPr>
        <w:pStyle w:val="2"/>
        <w:pBdr>
          <w:bottom w:val="single" w:color="AE3033" w:sz="6" w:space="4"/>
        </w:pBdr>
        <w:spacing w:before="320" w:after="140"/>
        <w:jc w:val="both"/>
      </w:pPr>
      <w:r>
        <w:rPr>
          <w:rFonts w:ascii="Calibri" w:hAnsi="Calibri" w:eastAsia="Calibri" w:cs="Calibri"/>
          <w:b/>
          <w:bCs/>
          <w:color w:val="AE3033"/>
          <w:sz w:val="24"/>
          <w:szCs w:val="24"/>
        </w:rPr>
        <w:t>REPORTING STRUCTURE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716C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11A95C9F">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279FD4B7">
            <w:pPr>
              <w:jc w:val="both"/>
            </w:pPr>
            <w:r>
              <w:rPr>
                <w:rFonts w:ascii="Calibri" w:hAnsi="Calibri" w:eastAsia="Calibri" w:cs="Calibri"/>
                <w:color w:val="363435"/>
                <w:sz w:val="20"/>
                <w:szCs w:val="20"/>
              </w:rPr>
              <w:t>Lead, Programmes, Training and Technical Enablement</w:t>
            </w:r>
          </w:p>
        </w:tc>
      </w:tr>
      <w:tr w14:paraId="2175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45B56D16">
            <w:pPr>
              <w:jc w:val="both"/>
            </w:pPr>
            <w:r>
              <w:rPr>
                <w:rFonts w:ascii="Calibri" w:hAnsi="Calibri" w:eastAsia="Calibri" w:cs="Calibri"/>
                <w:b/>
                <w:bCs/>
                <w:color w:val="FFFFFF"/>
                <w:sz w:val="20"/>
                <w:szCs w:val="20"/>
              </w:rPr>
              <w:t>Collaborates With</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54446613">
            <w:pPr>
              <w:jc w:val="both"/>
            </w:pPr>
            <w:r>
              <w:rPr>
                <w:rFonts w:ascii="Calibri" w:hAnsi="Calibri" w:eastAsia="Calibri" w:cs="Calibri"/>
                <w:color w:val="363435"/>
                <w:sz w:val="20"/>
                <w:szCs w:val="20"/>
              </w:rPr>
              <w:t>Program interns and Trainers; Assistant Lead, Outreach and Campus Engagement; Creative Multimedia Lead (webinar technical setup)</w:t>
            </w:r>
          </w:p>
        </w:tc>
      </w:tr>
    </w:tbl>
    <w:p w14:paraId="7EF04E3A">
      <w:pPr>
        <w:spacing w:after="120"/>
        <w:jc w:val="both"/>
      </w:pPr>
    </w:p>
    <w:p w14:paraId="24E9DB28">
      <w:pPr>
        <w:pStyle w:val="2"/>
        <w:pBdr>
          <w:bottom w:val="single" w:color="AE3033" w:sz="6" w:space="4"/>
        </w:pBdr>
        <w:spacing w:before="320" w:after="140"/>
        <w:jc w:val="both"/>
      </w:pPr>
      <w:r>
        <w:rPr>
          <w:rFonts w:ascii="Calibri" w:hAnsi="Calibri" w:eastAsia="Calibri" w:cs="Calibri"/>
          <w:b/>
          <w:bCs/>
          <w:color w:val="AE3033"/>
          <w:sz w:val="24"/>
          <w:szCs w:val="24"/>
        </w:rPr>
        <w:t>KEY PERFORMANCE INDICATORS</w:t>
      </w:r>
    </w:p>
    <w:p w14:paraId="24CBDA32">
      <w:pPr>
        <w:pStyle w:val="16"/>
        <w:numPr>
          <w:ilvl w:val="0"/>
          <w:numId w:val="1"/>
        </w:numPr>
        <w:spacing w:after="90" w:line="264" w:lineRule="auto"/>
        <w:jc w:val="both"/>
      </w:pPr>
      <w:r>
        <w:rPr>
          <w:rFonts w:ascii="Calibri" w:hAnsi="Calibri" w:eastAsia="Calibri" w:cs="Calibri"/>
          <w:color w:val="363435"/>
          <w:sz w:val="21"/>
          <w:szCs w:val="21"/>
        </w:rPr>
        <w:t>Timeliness of technical setup and support ahead of training sessions</w:t>
      </w:r>
    </w:p>
    <w:p w14:paraId="14D765B1">
      <w:pPr>
        <w:pStyle w:val="16"/>
        <w:numPr>
          <w:ilvl w:val="0"/>
          <w:numId w:val="1"/>
        </w:numPr>
        <w:spacing w:after="90" w:line="264" w:lineRule="auto"/>
        <w:jc w:val="both"/>
      </w:pPr>
      <w:r>
        <w:rPr>
          <w:rFonts w:ascii="Calibri" w:hAnsi="Calibri" w:eastAsia="Calibri" w:cs="Calibri"/>
          <w:color w:val="363435"/>
          <w:sz w:val="21"/>
          <w:szCs w:val="21"/>
        </w:rPr>
        <w:t>WhatsApp and support email backup response time against defined standards</w:t>
      </w:r>
    </w:p>
    <w:p w14:paraId="5E58A203">
      <w:pPr>
        <w:pStyle w:val="16"/>
        <w:numPr>
          <w:ilvl w:val="0"/>
          <w:numId w:val="1"/>
        </w:numPr>
        <w:spacing w:after="90" w:line="264" w:lineRule="auto"/>
        <w:jc w:val="both"/>
      </w:pPr>
      <w:r>
        <w:rPr>
          <w:rFonts w:ascii="Calibri" w:hAnsi="Calibri" w:eastAsia="Calibri" w:cs="Calibri"/>
          <w:color w:val="363435"/>
          <w:sz w:val="21"/>
          <w:szCs w:val="21"/>
        </w:rPr>
        <w:t>Accuracy and currency of curriculum and technical documentation maintained</w:t>
      </w:r>
    </w:p>
    <w:p w14:paraId="0DF8A83C">
      <w:pPr>
        <w:pStyle w:val="16"/>
        <w:numPr>
          <w:ilvl w:val="0"/>
          <w:numId w:val="1"/>
        </w:numPr>
        <w:spacing w:after="90" w:line="264" w:lineRule="auto"/>
        <w:jc w:val="both"/>
      </w:pPr>
      <w:r>
        <w:rPr>
          <w:rFonts w:ascii="Calibri" w:hAnsi="Calibri" w:eastAsia="Calibri" w:cs="Calibri"/>
          <w:color w:val="363435"/>
          <w:sz w:val="21"/>
          <w:szCs w:val="21"/>
        </w:rPr>
        <w:t>Learner feedback on assisted teaching and support quality</w:t>
      </w:r>
    </w:p>
    <w:p w14:paraId="573646FD">
      <w:pPr>
        <w:pStyle w:val="2"/>
        <w:pBdr>
          <w:bottom w:val="single" w:color="AE3033" w:sz="6" w:space="4"/>
        </w:pBdr>
        <w:spacing w:before="320" w:after="140"/>
        <w:jc w:val="both"/>
      </w:pPr>
      <w:r>
        <w:rPr>
          <w:rFonts w:ascii="Calibri" w:hAnsi="Calibri" w:eastAsia="Calibri" w:cs="Calibri"/>
          <w:b/>
          <w:bCs/>
          <w:color w:val="AE3033"/>
          <w:sz w:val="24"/>
          <w:szCs w:val="24"/>
        </w:rPr>
        <w:t>BENEFITS</w:t>
      </w:r>
    </w:p>
    <w:p w14:paraId="08E4011F">
      <w:pPr>
        <w:pStyle w:val="16"/>
        <w:numPr>
          <w:ilvl w:val="0"/>
          <w:numId w:val="1"/>
        </w:numPr>
        <w:spacing w:after="90" w:line="264" w:lineRule="auto"/>
        <w:jc w:val="both"/>
      </w:pPr>
      <w:r>
        <w:rPr>
          <w:rFonts w:ascii="Calibri" w:hAnsi="Calibri" w:eastAsia="Calibri" w:cs="Calibri"/>
          <w:color w:val="363435"/>
          <w:sz w:val="21"/>
          <w:szCs w:val="21"/>
        </w:rPr>
        <w:t>Hands-on, practical experience in a dynamic, impact-driven organization.</w:t>
      </w:r>
    </w:p>
    <w:p w14:paraId="3D058132">
      <w:pPr>
        <w:pStyle w:val="16"/>
        <w:numPr>
          <w:ilvl w:val="0"/>
          <w:numId w:val="1"/>
        </w:numPr>
        <w:spacing w:after="90" w:line="264" w:lineRule="auto"/>
        <w:jc w:val="both"/>
      </w:pPr>
      <w:r>
        <w:rPr>
          <w:rFonts w:ascii="Calibri" w:hAnsi="Calibri" w:eastAsia="Calibri" w:cs="Calibri"/>
          <w:color w:val="363435"/>
          <w:sz w:val="21"/>
          <w:szCs w:val="21"/>
        </w:rPr>
        <w:t>Opportunity to contribute directly to the reach and impact of a leading cybersecurity and workforce development initiative.</w:t>
      </w:r>
    </w:p>
    <w:p w14:paraId="5A21FCC0">
      <w:pPr>
        <w:pStyle w:val="16"/>
        <w:numPr>
          <w:ilvl w:val="0"/>
          <w:numId w:val="1"/>
        </w:numPr>
        <w:spacing w:after="90" w:line="264" w:lineRule="auto"/>
        <w:jc w:val="both"/>
      </w:pPr>
      <w:r>
        <w:rPr>
          <w:rFonts w:ascii="Calibri" w:hAnsi="Calibri" w:eastAsia="Calibri" w:cs="Calibri"/>
          <w:color w:val="363435"/>
          <w:sz w:val="21"/>
          <w:szCs w:val="21"/>
        </w:rPr>
        <w:t>Regular exposure to organizational leadership, program delivery, and cross-functional teams.</w:t>
      </w:r>
    </w:p>
    <w:p w14:paraId="096EECF4">
      <w:pPr>
        <w:pStyle w:val="16"/>
        <w:numPr>
          <w:ilvl w:val="0"/>
          <w:numId w:val="1"/>
        </w:numPr>
        <w:spacing w:after="90" w:line="264" w:lineRule="auto"/>
        <w:jc w:val="both"/>
      </w:pPr>
      <w:r>
        <w:rPr>
          <w:rFonts w:ascii="Calibri" w:hAnsi="Calibri" w:eastAsia="Calibri" w:cs="Calibri"/>
          <w:color w:val="363435"/>
          <w:sz w:val="21"/>
          <w:szCs w:val="21"/>
        </w:rPr>
        <w:t>Access to learning, mentorship, and professional development opportunities.</w:t>
      </w:r>
    </w:p>
    <w:p w14:paraId="525EFC33">
      <w:pPr>
        <w:pStyle w:val="16"/>
        <w:numPr>
          <w:ilvl w:val="0"/>
          <w:numId w:val="1"/>
        </w:numPr>
        <w:spacing w:after="90" w:line="264" w:lineRule="auto"/>
        <w:jc w:val="both"/>
      </w:pPr>
      <w:r>
        <w:rPr>
          <w:rFonts w:ascii="Calibri" w:hAnsi="Calibri" w:eastAsia="Calibri" w:cs="Calibri"/>
          <w:color w:val="363435"/>
          <w:sz w:val="21"/>
          <w:szCs w:val="21"/>
        </w:rPr>
        <w:t>Certificate of recommendation and professional endorsement upon successful completion.</w:t>
      </w:r>
    </w:p>
    <w:p w14:paraId="73CEC476">
      <w:pPr>
        <w:pStyle w:val="16"/>
        <w:numPr>
          <w:ilvl w:val="0"/>
          <w:numId w:val="1"/>
        </w:numPr>
        <w:spacing w:after="90" w:line="264" w:lineRule="auto"/>
        <w:jc w:val="both"/>
      </w:pPr>
      <w:r>
        <w:rPr>
          <w:rFonts w:ascii="Calibri" w:hAnsi="Calibri" w:eastAsia="Calibri" w:cs="Calibri"/>
          <w:color w:val="363435"/>
          <w:sz w:val="21"/>
          <w:szCs w:val="21"/>
        </w:rPr>
        <w:t>Priority consideration for future freelance, contract, and full-time opportunities within Educ8Africa and its ecosystem.</w:t>
      </w:r>
    </w:p>
    <w:p w14:paraId="79C70F9B">
      <w:pPr>
        <w:pStyle w:val="16"/>
        <w:numPr>
          <w:ilvl w:val="0"/>
          <w:numId w:val="1"/>
        </w:numPr>
        <w:spacing w:after="90" w:line="264" w:lineRule="auto"/>
        <w:jc w:val="both"/>
      </w:pPr>
      <w:r>
        <w:rPr>
          <w:rFonts w:ascii="Calibri" w:hAnsi="Calibri" w:eastAsia="Calibri" w:cs="Calibri"/>
          <w:color w:val="363435"/>
          <w:sz w:val="21"/>
          <w:szCs w:val="21"/>
        </w:rPr>
        <w:t>Strong performance may lead to priority consideration for future roles, including Lead-level positions, within Educ8Africa and its ecosystem, subject to availability.</w:t>
      </w:r>
    </w:p>
    <w:p w14:paraId="51780450">
      <w:pPr>
        <w:pStyle w:val="2"/>
        <w:pBdr>
          <w:bottom w:val="single" w:color="AE3033" w:sz="6" w:space="4"/>
        </w:pBdr>
        <w:spacing w:before="320" w:after="140"/>
        <w:jc w:val="both"/>
      </w:pPr>
      <w:r>
        <w:rPr>
          <w:rFonts w:ascii="Calibri" w:hAnsi="Calibri" w:eastAsia="Calibri" w:cs="Calibri"/>
          <w:b/>
          <w:bCs/>
          <w:color w:val="AE3033"/>
          <w:sz w:val="24"/>
          <w:szCs w:val="24"/>
        </w:rPr>
        <w:t>SCOPE OF ROLE</w:t>
      </w:r>
    </w:p>
    <w:p w14:paraId="542932AD">
      <w:pPr>
        <w:spacing w:after="160" w:line="276" w:lineRule="auto"/>
        <w:jc w:val="both"/>
      </w:pPr>
      <w:r>
        <w:rPr>
          <w:rFonts w:ascii="Calibri" w:hAnsi="Calibri" w:eastAsia="Calibri" w:cs="Calibri"/>
          <w:color w:val="363435"/>
          <w:sz w:val="21"/>
          <w:szCs w:val="21"/>
        </w:rPr>
        <w:t>This job description outlines the primary responsibilities, tools, and competencies associated with the role at the time of issue and is not exhaustive. Grow With Educ8Africa reserves the right to review and update the scope of the role as organisational priorities, programme needs, and operating requirements evolve. Material changes will be communicated and reflected in a revised, versioned document.</w:t>
      </w:r>
    </w:p>
    <w:p w14:paraId="195E9F22">
      <w:pPr>
        <w:pStyle w:val="2"/>
        <w:pBdr>
          <w:bottom w:val="single" w:color="AE3033" w:sz="6" w:space="4"/>
        </w:pBdr>
        <w:spacing w:before="320" w:after="140"/>
        <w:jc w:val="both"/>
      </w:pPr>
      <w:r>
        <w:rPr>
          <w:rFonts w:ascii="Calibri" w:hAnsi="Calibri" w:eastAsia="Calibri" w:cs="Calibri"/>
          <w:b/>
          <w:bCs/>
          <w:color w:val="AE3033"/>
          <w:sz w:val="24"/>
          <w:szCs w:val="24"/>
        </w:rPr>
        <w:t>EQUAL OPPORTUNITY</w:t>
      </w:r>
    </w:p>
    <w:p w14:paraId="6C0180C5">
      <w:pPr>
        <w:spacing w:after="160" w:line="276" w:lineRule="auto"/>
        <w:jc w:val="both"/>
      </w:pPr>
      <w:r>
        <w:rPr>
          <w:rFonts w:ascii="Calibri" w:hAnsi="Calibri" w:eastAsia="Calibri" w:cs="Calibri"/>
          <w:color w:val="363435"/>
          <w:sz w:val="21"/>
          <w:szCs w:val="21"/>
        </w:rPr>
        <w:t>Grow With Educ8Africa is an equal opportunity organization. All qualified applicants are considered without regard to gender, ethnicity, religion, disability, or any status unrelated to job performance.</w:t>
      </w:r>
    </w:p>
    <w:p w14:paraId="16D2D548">
      <w:pPr>
        <w:pStyle w:val="2"/>
        <w:pBdr>
          <w:bottom w:val="single" w:color="AE3033" w:sz="6" w:space="4"/>
        </w:pBdr>
        <w:spacing w:before="320" w:after="140"/>
        <w:jc w:val="both"/>
        <w:rPr>
          <w:rFonts w:ascii="Calibri" w:hAnsi="Calibri" w:eastAsia="Calibri" w:cs="Calibri"/>
          <w:b/>
          <w:bCs/>
          <w:color w:val="AE3033"/>
          <w:sz w:val="24"/>
          <w:szCs w:val="24"/>
        </w:rPr>
      </w:pPr>
    </w:p>
    <w:p w14:paraId="689A6F79">
      <w:pPr>
        <w:pStyle w:val="2"/>
        <w:pBdr>
          <w:bottom w:val="single" w:color="AE3033" w:sz="6" w:space="4"/>
        </w:pBdr>
        <w:spacing w:before="320" w:after="140"/>
        <w:jc w:val="both"/>
      </w:pPr>
      <w:bookmarkStart w:id="0" w:name="_GoBack"/>
      <w:bookmarkEnd w:id="0"/>
      <w:r>
        <w:rPr>
          <w:rFonts w:ascii="Calibri" w:hAnsi="Calibri" w:eastAsia="Calibri" w:cs="Calibri"/>
          <w:b/>
          <w:bCs/>
          <w:color w:val="AE3033"/>
          <w:sz w:val="24"/>
          <w:szCs w:val="24"/>
        </w:rPr>
        <w:t>HOW TO APPLY</w:t>
      </w:r>
    </w:p>
    <w:p w14:paraId="6D246B44">
      <w:pPr>
        <w:spacing w:after="100"/>
        <w:jc w:val="both"/>
      </w:pPr>
      <w:r>
        <w:rPr>
          <w:rFonts w:ascii="Calibri" w:hAnsi="Calibri" w:eastAsia="Calibri" w:cs="Calibri"/>
          <w:b/>
          <w:bCs/>
          <w:color w:val="363435"/>
          <w:sz w:val="21"/>
          <w:szCs w:val="21"/>
        </w:rPr>
        <w:t xml:space="preserve">Application: </w:t>
      </w:r>
      <w:r>
        <w:rPr>
          <w:rFonts w:ascii="Calibri" w:hAnsi="Calibri" w:eastAsia="Calibri" w:cs="Calibri"/>
          <w:color w:val="363435"/>
          <w:sz w:val="21"/>
          <w:szCs w:val="21"/>
        </w:rPr>
        <w:t>Rolling Basis – First Come, First Served</w:t>
      </w:r>
    </w:p>
    <w:p w14:paraId="30FD4F96">
      <w:pPr>
        <w:spacing w:after="160" w:line="276" w:lineRule="auto"/>
        <w:jc w:val="both"/>
      </w:pPr>
      <w:r>
        <w:rPr>
          <w:rFonts w:ascii="Calibri" w:hAnsi="Calibri" w:eastAsia="Calibri" w:cs="Calibri"/>
          <w:color w:val="363435"/>
          <w:sz w:val="21"/>
          <w:szCs w:val="21"/>
        </w:rPr>
        <w:t>Send your CV and a one-page cover letter to careers@educ8africa.com.</w:t>
      </w:r>
    </w:p>
    <w:p w14:paraId="18DF0297">
      <w:pPr>
        <w:spacing w:after="160"/>
        <w:jc w:val="both"/>
      </w:pPr>
      <w:r>
        <w:rPr>
          <w:rFonts w:ascii="Calibri" w:hAnsi="Calibri" w:eastAsia="Calibri" w:cs="Calibri"/>
          <w:b/>
          <w:bCs/>
          <w:color w:val="363435"/>
          <w:sz w:val="21"/>
          <w:szCs w:val="21"/>
        </w:rPr>
        <w:t xml:space="preserve">Subject Line: </w:t>
      </w:r>
      <w:r>
        <w:rPr>
          <w:rFonts w:ascii="Calibri" w:hAnsi="Calibri" w:eastAsia="Calibri" w:cs="Calibri"/>
          <w:color w:val="363435"/>
          <w:sz w:val="21"/>
          <w:szCs w:val="21"/>
        </w:rPr>
        <w:t>Application – Assistant, Programmes, Training and Technical Enablement (National Service Personnel)</w:t>
      </w:r>
    </w:p>
    <w:sectPr>
      <w:headerReference r:id="rId3" w:type="default"/>
      <w:footerReference r:id="rId4" w:type="default"/>
      <w:pgSz w:w="12240" w:h="15840"/>
      <w:pgMar w:top="1250" w:right="1080" w:bottom="10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7D3F0">
    <w:pPr>
      <w:pBdr>
        <w:top w:val="single" w:color="AE3033" w:sz="6" w:space="6"/>
      </w:pBdr>
      <w:spacing w:after="40"/>
      <w:jc w:val="center"/>
    </w:pPr>
    <w:r>
      <w:rPr>
        <w:rFonts w:ascii="Calibri" w:hAnsi="Calibri" w:eastAsia="Calibri" w:cs="Calibri"/>
        <w:color w:val="363435"/>
        <w:sz w:val="15"/>
        <w:szCs w:val="15"/>
      </w:rPr>
      <w:t>Head Office, P.O. Box DM 10, Makola, Accra – Ghana  |  Tel: +233 (0) 558677477  |  Email: info@educ8africa.com  |  www.educ8africa.com</w:t>
    </w:r>
  </w:p>
  <w:p w14:paraId="136E9B18">
    <w:pPr>
      <w:jc w:val="center"/>
    </w:pPr>
    <w:r>
      <w:rPr>
        <w:rFonts w:ascii="Calibri" w:hAnsi="Calibri" w:eastAsia="Calibri" w:cs="Calibri"/>
        <w:i/>
        <w:iCs/>
        <w:color w:val="6B6969"/>
        <w:sz w:val="14"/>
        <w:szCs w:val="14"/>
      </w:rPr>
      <w:t>Document Version: 11.2   |   Prepared By: Grow With Educ8Africa – People Operations   |   Approved By: Chief Executive Officer (CEO)   |   Review Cycle: Annually, or upon material change in role scope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4732C">
    <w:pPr>
      <w:pBdr>
        <w:bottom w:val="single" w:color="AE3033" w:sz="12" w:space="6"/>
      </w:pBdr>
      <w:jc w:val="left"/>
    </w:pPr>
    <w:r>
      <w:drawing>
        <wp:inline distT="0" distB="0" distL="0" distR="0">
          <wp:extent cx="1809750" cy="452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a:xfrm>
                    <a:off x="0" y="0"/>
                    <a:ext cx="1809750" cy="45243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50" w:hanging="260"/>
      </w:pPr>
      <w:rPr>
        <w:color w:val="AE3033"/>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A9229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63435"/>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363435"/>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363435"/>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363435"/>
      <w:sz w:val="56"/>
      <w:szCs w:val="56"/>
    </w:rPr>
  </w:style>
  <w:style w:type="paragraph" w:styleId="16">
    <w:name w:val="List Paragraph"/>
    <w:qFormat/>
    <w:uiPriority w:val="0"/>
    <w:rPr>
      <w:rFonts w:ascii="Calibri" w:hAnsi="Calibri" w:eastAsia="Calibri" w:cs="Calibri"/>
      <w:color w:val="363435"/>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791</Words>
  <Characters>5453</Characters>
  <TotalTime>1</TotalTime>
  <ScaleCrop>false</ScaleCrop>
  <LinksUpToDate>false</LinksUpToDate>
  <CharactersWithSpaces>6174</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2026-08-20T18:52:00Z</dcterms:created>
  <dc:creator>Un-named</dc:creator>
  <cp:lastModifiedBy>Admin</cp:lastModifiedBy>
  <dcterms:modified xsi:type="dcterms:W3CDTF">2026-08-21T12:24:05Z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eyJoZGlkIjoiZTMyZTYzNjlkYjUyMmU3MTY0NjNlNDRhOWEyMWJkNGIifQ==</vt:lpwstr>
  </property>
  <property fmtid="{D5CDD505-2E9C-101B-9397-08002B2CF9AE}" pid="3" name="KSOProductBuildVer">
    <vt:lpwstr>1033-12.1.0.25862</vt:lpwstr>
  </property>
  <property fmtid="{D5CDD505-2E9C-101B-9397-08002B2CF9AE}" pid="4" name="ICV">
    <vt:lpwstr>B8E27A02B47649F49BBEEEC229BD2DD4_12</vt:lpwstr>
  </property>
</Properties>
</file>