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9ACFD8">
      <w:pPr>
        <w:spacing w:after="200"/>
        <w:jc w:val="both"/>
      </w:pPr>
      <w:r>
        <w:rPr>
          <w:rFonts w:ascii="Calibri" w:hAnsi="Calibri" w:eastAsia="Calibri" w:cs="Calibri"/>
          <w:b/>
          <w:bCs/>
          <w:color w:val="363435"/>
          <w:sz w:val="34"/>
          <w:szCs w:val="34"/>
        </w:rPr>
        <w:t>Lead, Outreach and Campus Engagement</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680"/>
      </w:tblGrid>
      <w:tr w14:paraId="358FC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338E373E">
            <w:pPr>
              <w:jc w:val="both"/>
            </w:pPr>
            <w:r>
              <w:rPr>
                <w:rFonts w:ascii="Calibri" w:hAnsi="Calibri" w:eastAsia="Calibri" w:cs="Calibri"/>
                <w:b/>
                <w:bCs/>
                <w:color w:val="FFFFFF"/>
                <w:sz w:val="20"/>
                <w:szCs w:val="20"/>
              </w:rPr>
              <w:t>Job Title</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39708F62">
            <w:pPr>
              <w:jc w:val="both"/>
            </w:pPr>
            <w:r>
              <w:rPr>
                <w:rFonts w:ascii="Calibri" w:hAnsi="Calibri" w:eastAsia="Calibri" w:cs="Calibri"/>
                <w:color w:val="363435"/>
                <w:sz w:val="20"/>
                <w:szCs w:val="20"/>
              </w:rPr>
              <w:t>Lead, Outreach and Campus Engagement (National Service Personnel)</w:t>
            </w:r>
          </w:p>
        </w:tc>
      </w:tr>
      <w:tr w14:paraId="42C03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07D4D71B">
            <w:pPr>
              <w:jc w:val="both"/>
            </w:pPr>
            <w:r>
              <w:rPr>
                <w:rFonts w:ascii="Calibri" w:hAnsi="Calibri" w:eastAsia="Calibri" w:cs="Calibri"/>
                <w:b/>
                <w:bCs/>
                <w:color w:val="FFFFFF"/>
                <w:sz w:val="20"/>
                <w:szCs w:val="20"/>
              </w:rPr>
              <w:t>Department</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21F64EC4">
            <w:pPr>
              <w:jc w:val="both"/>
            </w:pPr>
            <w:r>
              <w:rPr>
                <w:rFonts w:ascii="Calibri" w:hAnsi="Calibri" w:eastAsia="Calibri" w:cs="Calibri"/>
                <w:color w:val="363435"/>
                <w:sz w:val="20"/>
                <w:szCs w:val="20"/>
              </w:rPr>
              <w:t>Outreach and Campus Engagement</w:t>
            </w:r>
          </w:p>
        </w:tc>
      </w:tr>
      <w:tr w14:paraId="16A09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48991605">
            <w:pPr>
              <w:jc w:val="both"/>
            </w:pPr>
            <w:r>
              <w:rPr>
                <w:rFonts w:ascii="Calibri" w:hAnsi="Calibri" w:eastAsia="Calibri" w:cs="Calibri"/>
                <w:b/>
                <w:bCs/>
                <w:color w:val="FFFFFF"/>
                <w:sz w:val="20"/>
                <w:szCs w:val="20"/>
              </w:rPr>
              <w:t>Reports To</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6B8C4DB4">
            <w:pPr>
              <w:jc w:val="both"/>
            </w:pPr>
            <w:r>
              <w:rPr>
                <w:rFonts w:ascii="Calibri" w:hAnsi="Calibri" w:eastAsia="Calibri" w:cs="Calibri"/>
                <w:color w:val="363435"/>
                <w:sz w:val="20"/>
                <w:szCs w:val="20"/>
              </w:rPr>
              <w:t>Chief Executive Officer (CEO)</w:t>
            </w:r>
            <w:bookmarkStart w:id="0" w:name="_GoBack"/>
            <w:bookmarkEnd w:id="0"/>
          </w:p>
        </w:tc>
      </w:tr>
      <w:tr w14:paraId="22FC6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2ED6C915">
            <w:pPr>
              <w:jc w:val="both"/>
            </w:pPr>
            <w:r>
              <w:rPr>
                <w:rFonts w:ascii="Calibri" w:hAnsi="Calibri" w:eastAsia="Calibri" w:cs="Calibri"/>
                <w:b/>
                <w:bCs/>
                <w:color w:val="FFFFFF"/>
                <w:sz w:val="20"/>
                <w:szCs w:val="20"/>
              </w:rPr>
              <w:t>Location</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40FF554A">
            <w:pPr>
              <w:jc w:val="both"/>
            </w:pPr>
            <w:r>
              <w:rPr>
                <w:rFonts w:ascii="Calibri" w:hAnsi="Calibri" w:eastAsia="Calibri" w:cs="Calibri"/>
                <w:color w:val="363435"/>
                <w:sz w:val="20"/>
                <w:szCs w:val="20"/>
              </w:rPr>
              <w:t>Hybrid (Mostly Remote)</w:t>
            </w:r>
          </w:p>
        </w:tc>
      </w:tr>
      <w:tr w14:paraId="323CD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1BF49A3F">
            <w:pPr>
              <w:jc w:val="both"/>
            </w:pPr>
            <w:r>
              <w:rPr>
                <w:rFonts w:ascii="Calibri" w:hAnsi="Calibri" w:eastAsia="Calibri" w:cs="Calibri"/>
                <w:b/>
                <w:bCs/>
                <w:color w:val="FFFFFF"/>
                <w:sz w:val="20"/>
                <w:szCs w:val="20"/>
              </w:rPr>
              <w:t>Job Type</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40A7310D">
            <w:pPr>
              <w:jc w:val="both"/>
            </w:pPr>
            <w:r>
              <w:rPr>
                <w:rFonts w:ascii="Calibri" w:hAnsi="Calibri" w:eastAsia="Calibri" w:cs="Calibri"/>
                <w:color w:val="363435"/>
                <w:sz w:val="20"/>
                <w:szCs w:val="20"/>
              </w:rPr>
              <w:t>Full-Time (National Service Posting)</w:t>
            </w:r>
          </w:p>
        </w:tc>
      </w:tr>
      <w:tr w14:paraId="6844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40334962">
            <w:pPr>
              <w:jc w:val="both"/>
            </w:pPr>
            <w:r>
              <w:rPr>
                <w:rFonts w:ascii="Calibri" w:hAnsi="Calibri" w:eastAsia="Calibri" w:cs="Calibri"/>
                <w:b/>
                <w:bCs/>
                <w:color w:val="FFFFFF"/>
                <w:sz w:val="20"/>
                <w:szCs w:val="20"/>
              </w:rPr>
              <w:t>Compensation</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2345E3C5">
            <w:pPr>
              <w:jc w:val="both"/>
            </w:pPr>
            <w:r>
              <w:rPr>
                <w:rFonts w:ascii="Calibri" w:hAnsi="Calibri" w:eastAsia="Calibri" w:cs="Calibri"/>
                <w:color w:val="363435"/>
                <w:sz w:val="20"/>
                <w:szCs w:val="20"/>
              </w:rPr>
              <w:t>Monthly National Service Allowance (per National Service Authority guidelines), plus a performance-based allowance awarded at management's discretion based on demonstrated impact, initiative, and delivery against role objectives.</w:t>
            </w:r>
          </w:p>
        </w:tc>
      </w:tr>
    </w:tbl>
    <w:p w14:paraId="711A5C8A">
      <w:pPr>
        <w:spacing w:after="120"/>
        <w:jc w:val="both"/>
      </w:pPr>
    </w:p>
    <w:p w14:paraId="28164002">
      <w:pPr>
        <w:pStyle w:val="2"/>
        <w:pBdr>
          <w:bottom w:val="single" w:color="AE3033" w:sz="6" w:space="4"/>
        </w:pBdr>
        <w:spacing w:before="320" w:after="140"/>
        <w:jc w:val="both"/>
      </w:pPr>
      <w:r>
        <w:rPr>
          <w:rFonts w:ascii="Calibri" w:hAnsi="Calibri" w:eastAsia="Calibri" w:cs="Calibri"/>
          <w:b/>
          <w:bCs/>
          <w:color w:val="AE3033"/>
          <w:sz w:val="24"/>
          <w:szCs w:val="24"/>
        </w:rPr>
        <w:t>ABOUT GROW WITH EDUC8AFRICA</w:t>
      </w:r>
    </w:p>
    <w:p w14:paraId="2DA5A038">
      <w:pPr>
        <w:spacing w:after="160" w:line="276" w:lineRule="auto"/>
        <w:jc w:val="both"/>
      </w:pPr>
      <w:r>
        <w:rPr>
          <w:rFonts w:ascii="Calibri" w:hAnsi="Calibri" w:eastAsia="Calibri" w:cs="Calibri"/>
          <w:color w:val="363435"/>
          <w:sz w:val="21"/>
          <w:szCs w:val="21"/>
        </w:rPr>
        <w:t>Grow With Educ8Africa is the Corporate Social Responsibility (CSR) arm of Educ8Africa, a dynamic knowledge and skills transfer company committed to closing Africa's cybersecurity skills gap. Through highly subsidized certification programs, career acceleration initiatives, mentorship, industry partnerships, and workforce development interventions, Grow with Educ8Africa equips students and young professionals with globally relevant cybersecurity and digital skills that prepare them for meaningful careers in the digital economy.</w:t>
      </w:r>
    </w:p>
    <w:p w14:paraId="6DAEA9D0">
      <w:pPr>
        <w:pStyle w:val="2"/>
        <w:pBdr>
          <w:bottom w:val="single" w:color="AE3033" w:sz="6" w:space="4"/>
        </w:pBdr>
        <w:spacing w:before="320" w:after="140"/>
        <w:jc w:val="both"/>
      </w:pPr>
      <w:r>
        <w:rPr>
          <w:rFonts w:ascii="Calibri" w:hAnsi="Calibri" w:eastAsia="Calibri" w:cs="Calibri"/>
          <w:b/>
          <w:bCs/>
          <w:color w:val="AE3033"/>
          <w:sz w:val="24"/>
          <w:szCs w:val="24"/>
        </w:rPr>
        <w:t>ROLE OVERVIEW</w:t>
      </w:r>
    </w:p>
    <w:p w14:paraId="39374752">
      <w:pPr>
        <w:spacing w:after="200" w:line="276" w:lineRule="auto"/>
        <w:jc w:val="both"/>
      </w:pPr>
      <w:r>
        <w:rPr>
          <w:rFonts w:ascii="Calibri" w:hAnsi="Calibri" w:eastAsia="Calibri" w:cs="Calibri"/>
          <w:b/>
          <w:bCs/>
          <w:i/>
          <w:iCs/>
          <w:color w:val="AE3033"/>
          <w:sz w:val="21"/>
          <w:szCs w:val="21"/>
        </w:rPr>
        <w:t xml:space="preserve">Job Purpose: </w:t>
      </w:r>
      <w:r>
        <w:rPr>
          <w:rFonts w:ascii="Calibri" w:hAnsi="Calibri" w:eastAsia="Calibri" w:cs="Calibri"/>
          <w:i/>
          <w:iCs/>
          <w:color w:val="363435"/>
          <w:sz w:val="21"/>
          <w:szCs w:val="21"/>
        </w:rPr>
        <w:t>To drive Grow With Educ8Africa’s visibility, reach, and engagement across campuses and youth communities, and to convert that reach into qualified applicants for its programmes.</w:t>
      </w:r>
    </w:p>
    <w:p w14:paraId="41EC0294">
      <w:pPr>
        <w:spacing w:after="160" w:line="276" w:lineRule="auto"/>
        <w:jc w:val="both"/>
      </w:pPr>
      <w:r>
        <w:rPr>
          <w:rFonts w:ascii="Calibri" w:hAnsi="Calibri" w:eastAsia="Calibri" w:cs="Calibri"/>
          <w:color w:val="363435"/>
          <w:sz w:val="21"/>
          <w:szCs w:val="21"/>
        </w:rPr>
        <w:t>As the Lead, Outreach and Campus Engagement, you will drive Grow With Educ8Africa’s presence, reach, and engagement across universities, polytechnics, technical institutions, and youth communities, translating engagement plans into campus activity, institutional relationships, student participation, events, and measurable outcomes while leading Outreach Assistant(s).</w:t>
      </w:r>
    </w:p>
    <w:p w14:paraId="49706039">
      <w:pPr>
        <w:spacing w:after="160" w:line="276" w:lineRule="auto"/>
        <w:jc w:val="both"/>
      </w:pPr>
      <w:r>
        <w:rPr>
          <w:rFonts w:ascii="Calibri" w:hAnsi="Calibri" w:eastAsia="Calibri" w:cs="Calibri"/>
          <w:color w:val="363435"/>
          <w:sz w:val="21"/>
          <w:szCs w:val="21"/>
        </w:rPr>
        <w:t>This role requires a proactive, highly organized, and well-networked communicator who can represent the organization confidently, build relationships at multiple levels, execute ground-level activations, follow through on leads, and use data to improve outreach performance. The successful candidate must be comfortable balancing strategic planning with hands-on campus execution.</w:t>
      </w:r>
    </w:p>
    <w:p w14:paraId="6697525E">
      <w:pPr>
        <w:pStyle w:val="2"/>
        <w:pBdr>
          <w:bottom w:val="single" w:color="AE3033" w:sz="6" w:space="4"/>
        </w:pBdr>
        <w:spacing w:before="320" w:after="140"/>
        <w:jc w:val="both"/>
      </w:pPr>
      <w:r>
        <w:rPr>
          <w:rFonts w:ascii="Calibri" w:hAnsi="Calibri" w:eastAsia="Calibri" w:cs="Calibri"/>
          <w:b/>
          <w:bCs/>
          <w:color w:val="AE3033"/>
          <w:sz w:val="24"/>
          <w:szCs w:val="24"/>
        </w:rPr>
        <w:t>KEY RESPONSIBILITIES</w:t>
      </w:r>
    </w:p>
    <w:p w14:paraId="619A3E0F">
      <w:pPr>
        <w:spacing w:before="200" w:after="70"/>
        <w:jc w:val="both"/>
      </w:pPr>
      <w:r>
        <w:rPr>
          <w:rFonts w:ascii="Calibri" w:hAnsi="Calibri" w:eastAsia="Calibri" w:cs="Calibri"/>
          <w:b/>
          <w:bCs/>
          <w:color w:val="AE3033"/>
          <w:sz w:val="21"/>
          <w:szCs w:val="21"/>
        </w:rPr>
        <w:t>Campus Engagement Strategy and Execution</w:t>
      </w:r>
    </w:p>
    <w:p w14:paraId="564A7290">
      <w:pPr>
        <w:pStyle w:val="16"/>
        <w:numPr>
          <w:ilvl w:val="0"/>
          <w:numId w:val="1"/>
        </w:numPr>
        <w:spacing w:after="90" w:line="264" w:lineRule="auto"/>
        <w:jc w:val="both"/>
      </w:pPr>
      <w:r>
        <w:rPr>
          <w:rFonts w:ascii="Calibri" w:hAnsi="Calibri" w:eastAsia="Calibri" w:cs="Calibri"/>
          <w:color w:val="363435"/>
          <w:sz w:val="21"/>
          <w:szCs w:val="21"/>
        </w:rPr>
        <w:t>Develop and implement structured campus engagement plans for universities, polytechnics, and technical institutions, defining priority campuses, target audiences, engagement channels, and expected outcomes.</w:t>
      </w:r>
    </w:p>
    <w:p w14:paraId="21214606">
      <w:pPr>
        <w:pStyle w:val="16"/>
        <w:numPr>
          <w:ilvl w:val="0"/>
          <w:numId w:val="1"/>
        </w:numPr>
        <w:spacing w:after="90" w:line="264" w:lineRule="auto"/>
        <w:jc w:val="both"/>
      </w:pPr>
      <w:r>
        <w:rPr>
          <w:rFonts w:ascii="Calibri" w:hAnsi="Calibri" w:eastAsia="Calibri" w:cs="Calibri"/>
          <w:color w:val="363435"/>
          <w:sz w:val="21"/>
          <w:szCs w:val="21"/>
        </w:rPr>
        <w:t>Lead campus-wide engagement and activation activities, including campus tours, presentations, information sessions, workshops, open days, and career engagements.</w:t>
      </w:r>
    </w:p>
    <w:p w14:paraId="681AA5F2">
      <w:pPr>
        <w:pStyle w:val="16"/>
        <w:numPr>
          <w:ilvl w:val="0"/>
          <w:numId w:val="1"/>
        </w:numPr>
        <w:spacing w:after="90" w:line="264" w:lineRule="auto"/>
        <w:jc w:val="both"/>
      </w:pPr>
      <w:r>
        <w:rPr>
          <w:rFonts w:ascii="Calibri" w:hAnsi="Calibri" w:eastAsia="Calibri" w:cs="Calibri"/>
          <w:color w:val="363435"/>
          <w:sz w:val="21"/>
          <w:szCs w:val="21"/>
        </w:rPr>
        <w:t>Develop and maintain the campus engagement calendar, aligning activities with academic calendars, examination periods, and organizational priorities.</w:t>
      </w:r>
    </w:p>
    <w:p w14:paraId="3965E88A">
      <w:pPr>
        <w:pStyle w:val="16"/>
        <w:numPr>
          <w:ilvl w:val="0"/>
          <w:numId w:val="1"/>
        </w:numPr>
        <w:spacing w:after="90" w:line="264" w:lineRule="auto"/>
        <w:jc w:val="both"/>
      </w:pPr>
      <w:r>
        <w:rPr>
          <w:rFonts w:ascii="Calibri" w:hAnsi="Calibri" w:eastAsia="Calibri" w:cs="Calibri"/>
          <w:color w:val="363435"/>
          <w:sz w:val="21"/>
          <w:szCs w:val="21"/>
        </w:rPr>
        <w:t>Manage the campus portfolio through stakeholder mapping, performance tracking, and gap identification to refine and prioritize re-engagement.</w:t>
      </w:r>
    </w:p>
    <w:p w14:paraId="27FB1F49">
      <w:pPr>
        <w:spacing w:before="200" w:after="70"/>
        <w:jc w:val="both"/>
      </w:pPr>
      <w:r>
        <w:rPr>
          <w:rFonts w:ascii="Calibri" w:hAnsi="Calibri" w:eastAsia="Calibri" w:cs="Calibri"/>
          <w:b/>
          <w:bCs/>
          <w:color w:val="AE3033"/>
          <w:sz w:val="21"/>
          <w:szCs w:val="21"/>
        </w:rPr>
        <w:t>Relationship Management</w:t>
      </w:r>
    </w:p>
    <w:p w14:paraId="63D157E0">
      <w:pPr>
        <w:pStyle w:val="16"/>
        <w:numPr>
          <w:ilvl w:val="0"/>
          <w:numId w:val="1"/>
        </w:numPr>
        <w:spacing w:after="90" w:line="264" w:lineRule="auto"/>
        <w:jc w:val="both"/>
      </w:pPr>
      <w:r>
        <w:rPr>
          <w:rFonts w:ascii="Calibri" w:hAnsi="Calibri" w:eastAsia="Calibri" w:cs="Calibri"/>
          <w:color w:val="363435"/>
          <w:sz w:val="21"/>
          <w:szCs w:val="21"/>
        </w:rPr>
        <w:t>Build and sustain relationships with institutional leadership, faculties, student unions, clubs, campus ambassadors, and other relevant stakeholders, maintaining an accurate campus intelligence and contact database.</w:t>
      </w:r>
    </w:p>
    <w:p w14:paraId="06827721">
      <w:pPr>
        <w:pStyle w:val="16"/>
        <w:numPr>
          <w:ilvl w:val="0"/>
          <w:numId w:val="1"/>
        </w:numPr>
        <w:spacing w:after="90" w:line="264" w:lineRule="auto"/>
        <w:jc w:val="both"/>
      </w:pPr>
      <w:r>
        <w:rPr>
          <w:rFonts w:ascii="Calibri" w:hAnsi="Calibri" w:eastAsia="Calibri" w:cs="Calibri"/>
          <w:color w:val="363435"/>
          <w:sz w:val="21"/>
          <w:szCs w:val="21"/>
        </w:rPr>
        <w:t>Serve as the primary point of contact for institution-level relationships and own the MOU pipeline from opportunity identification through internal approvals and activation.</w:t>
      </w:r>
    </w:p>
    <w:p w14:paraId="2DB29EE0">
      <w:pPr>
        <w:pStyle w:val="16"/>
        <w:numPr>
          <w:ilvl w:val="0"/>
          <w:numId w:val="1"/>
        </w:numPr>
        <w:spacing w:after="90" w:line="264" w:lineRule="auto"/>
        <w:jc w:val="both"/>
      </w:pPr>
      <w:r>
        <w:rPr>
          <w:rFonts w:ascii="Calibri" w:hAnsi="Calibri" w:eastAsia="Calibri" w:cs="Calibri"/>
          <w:color w:val="363435"/>
          <w:sz w:val="21"/>
          <w:szCs w:val="21"/>
        </w:rPr>
        <w:t>Lead and manage Outreach Assistant(s) across assigned institutions and territories, setting priorities, reviewing outputs, and escalating issues requiring management attention.</w:t>
      </w:r>
    </w:p>
    <w:p w14:paraId="2B50CC4B">
      <w:pPr>
        <w:spacing w:before="200" w:after="70"/>
        <w:jc w:val="both"/>
      </w:pPr>
      <w:r>
        <w:rPr>
          <w:rFonts w:ascii="Calibri" w:hAnsi="Calibri" w:eastAsia="Calibri" w:cs="Calibri"/>
          <w:b/>
          <w:bCs/>
          <w:color w:val="AE3033"/>
          <w:sz w:val="21"/>
          <w:szCs w:val="21"/>
        </w:rPr>
        <w:t>Ambassador Programme Management</w:t>
      </w:r>
    </w:p>
    <w:p w14:paraId="777A1004">
      <w:pPr>
        <w:pStyle w:val="16"/>
        <w:numPr>
          <w:ilvl w:val="0"/>
          <w:numId w:val="1"/>
        </w:numPr>
        <w:spacing w:after="90" w:line="264" w:lineRule="auto"/>
        <w:jc w:val="both"/>
      </w:pPr>
      <w:r>
        <w:rPr>
          <w:rFonts w:ascii="Calibri" w:hAnsi="Calibri" w:eastAsia="Calibri" w:cs="Calibri"/>
          <w:color w:val="363435"/>
          <w:sz w:val="21"/>
          <w:szCs w:val="21"/>
        </w:rPr>
        <w:t>Own the Grow With Educ8Africa Campus Ambassador Programme end-to-end, including recruitment, selection, onboarding, and deployment.</w:t>
      </w:r>
    </w:p>
    <w:p w14:paraId="3D817C8F">
      <w:pPr>
        <w:pStyle w:val="16"/>
        <w:numPr>
          <w:ilvl w:val="0"/>
          <w:numId w:val="1"/>
        </w:numPr>
        <w:spacing w:after="90" w:line="264" w:lineRule="auto"/>
        <w:jc w:val="both"/>
      </w:pPr>
      <w:r>
        <w:rPr>
          <w:rFonts w:ascii="Calibri" w:hAnsi="Calibri" w:eastAsia="Calibri" w:cs="Calibri"/>
          <w:color w:val="363435"/>
          <w:sz w:val="21"/>
          <w:szCs w:val="21"/>
        </w:rPr>
        <w:t>Equip ambassadors with approved programme information, outreach resources, and messaging, and ensure professional representation of Grow With Educ8Africa.</w:t>
      </w:r>
    </w:p>
    <w:p w14:paraId="0FE433A9">
      <w:pPr>
        <w:pStyle w:val="16"/>
        <w:numPr>
          <w:ilvl w:val="0"/>
          <w:numId w:val="1"/>
        </w:numPr>
        <w:spacing w:after="90" w:line="264" w:lineRule="auto"/>
        <w:jc w:val="both"/>
      </w:pPr>
      <w:r>
        <w:rPr>
          <w:rFonts w:ascii="Calibri" w:hAnsi="Calibri" w:eastAsia="Calibri" w:cs="Calibri"/>
          <w:color w:val="363435"/>
          <w:sz w:val="21"/>
          <w:szCs w:val="21"/>
        </w:rPr>
        <w:t>Set and track ambassador KPIs, recognize high performers, and address underperformance or inactivity.</w:t>
      </w:r>
    </w:p>
    <w:p w14:paraId="36680FE6">
      <w:pPr>
        <w:pStyle w:val="16"/>
        <w:numPr>
          <w:ilvl w:val="0"/>
          <w:numId w:val="1"/>
        </w:numPr>
        <w:spacing w:after="90" w:line="264" w:lineRule="auto"/>
        <w:jc w:val="both"/>
      </w:pPr>
      <w:r>
        <w:rPr>
          <w:rFonts w:ascii="Calibri" w:hAnsi="Calibri" w:eastAsia="Calibri" w:cs="Calibri"/>
          <w:color w:val="363435"/>
          <w:sz w:val="21"/>
          <w:szCs w:val="21"/>
        </w:rPr>
        <w:t>Use ambassadors to extend campus reach and provide current campus intelligence, including student sentiment and programme demand.</w:t>
      </w:r>
    </w:p>
    <w:p w14:paraId="7F50B2E9">
      <w:pPr>
        <w:spacing w:before="200" w:after="70"/>
        <w:jc w:val="both"/>
      </w:pPr>
      <w:r>
        <w:rPr>
          <w:rFonts w:ascii="Calibri" w:hAnsi="Calibri" w:eastAsia="Calibri" w:cs="Calibri"/>
          <w:b/>
          <w:bCs/>
          <w:color w:val="AE3033"/>
          <w:sz w:val="21"/>
          <w:szCs w:val="21"/>
        </w:rPr>
        <w:t>Programme Promotion and Recruitment Support</w:t>
      </w:r>
    </w:p>
    <w:p w14:paraId="3354D5B9">
      <w:pPr>
        <w:pStyle w:val="16"/>
        <w:numPr>
          <w:ilvl w:val="0"/>
          <w:numId w:val="1"/>
        </w:numPr>
        <w:spacing w:after="90" w:line="264" w:lineRule="auto"/>
        <w:jc w:val="both"/>
      </w:pPr>
      <w:r>
        <w:rPr>
          <w:rFonts w:ascii="Calibri" w:hAnsi="Calibri" w:eastAsia="Calibri" w:cs="Calibri"/>
          <w:color w:val="363435"/>
          <w:sz w:val="21"/>
          <w:szCs w:val="21"/>
        </w:rPr>
        <w:t>Promote Grow With Educ8Africa’s certification programmes, career development initiatives, and scholarships through targeted campus and community engagement.</w:t>
      </w:r>
    </w:p>
    <w:p w14:paraId="0DBE858E">
      <w:pPr>
        <w:pStyle w:val="16"/>
        <w:numPr>
          <w:ilvl w:val="0"/>
          <w:numId w:val="1"/>
        </w:numPr>
        <w:spacing w:after="90" w:line="264" w:lineRule="auto"/>
        <w:jc w:val="both"/>
      </w:pPr>
      <w:r>
        <w:rPr>
          <w:rFonts w:ascii="Calibri" w:hAnsi="Calibri" w:eastAsia="Calibri" w:cs="Calibri"/>
          <w:color w:val="363435"/>
          <w:sz w:val="21"/>
          <w:szCs w:val="21"/>
        </w:rPr>
        <w:t>Drive the outreach-to-registration pipeline by generating, qualifying, and following up on student leads through to application and registration.</w:t>
      </w:r>
    </w:p>
    <w:p w14:paraId="39F46453">
      <w:pPr>
        <w:pStyle w:val="16"/>
        <w:numPr>
          <w:ilvl w:val="0"/>
          <w:numId w:val="1"/>
        </w:numPr>
        <w:spacing w:after="90" w:line="264" w:lineRule="auto"/>
        <w:jc w:val="both"/>
      </w:pPr>
      <w:r>
        <w:rPr>
          <w:rFonts w:ascii="Calibri" w:hAnsi="Calibri" w:eastAsia="Calibri" w:cs="Calibri"/>
          <w:color w:val="363435"/>
          <w:sz w:val="21"/>
          <w:szCs w:val="21"/>
        </w:rPr>
        <w:t>Collaborate with the Lead, Programmes, Training and Technical Enablement to ensure outreach teams have accurate programme information, deadlines, and approved messaging.</w:t>
      </w:r>
    </w:p>
    <w:p w14:paraId="3C92AB20">
      <w:pPr>
        <w:spacing w:before="200" w:after="70"/>
        <w:jc w:val="both"/>
      </w:pPr>
      <w:r>
        <w:rPr>
          <w:rFonts w:ascii="Calibri" w:hAnsi="Calibri" w:eastAsia="Calibri" w:cs="Calibri"/>
          <w:b/>
          <w:bCs/>
          <w:color w:val="AE3033"/>
          <w:sz w:val="21"/>
          <w:szCs w:val="21"/>
        </w:rPr>
        <w:t>Event Strategy, Ownership and Coordination</w:t>
      </w:r>
    </w:p>
    <w:p w14:paraId="63443A01">
      <w:pPr>
        <w:pStyle w:val="16"/>
        <w:numPr>
          <w:ilvl w:val="0"/>
          <w:numId w:val="1"/>
        </w:numPr>
        <w:spacing w:after="90" w:line="264" w:lineRule="auto"/>
        <w:jc w:val="both"/>
      </w:pPr>
      <w:r>
        <w:rPr>
          <w:rFonts w:ascii="Calibri" w:hAnsi="Calibri" w:eastAsia="Calibri" w:cs="Calibri"/>
          <w:color w:val="363435"/>
          <w:sz w:val="21"/>
          <w:szCs w:val="21"/>
        </w:rPr>
        <w:t>Own the Grow With Educ8Africa event portfolio and lifecycle, including hackathons, campus activations, information sessions, and flagship programmes, from concept through execution and evaluation.</w:t>
      </w:r>
    </w:p>
    <w:p w14:paraId="52CE65D6">
      <w:pPr>
        <w:pStyle w:val="16"/>
        <w:numPr>
          <w:ilvl w:val="0"/>
          <w:numId w:val="1"/>
        </w:numPr>
        <w:spacing w:after="90" w:line="264" w:lineRule="auto"/>
        <w:jc w:val="both"/>
      </w:pPr>
      <w:r>
        <w:rPr>
          <w:rFonts w:ascii="Calibri" w:hAnsi="Calibri" w:eastAsia="Calibri" w:cs="Calibri"/>
          <w:color w:val="363435"/>
          <w:sz w:val="21"/>
          <w:szCs w:val="21"/>
        </w:rPr>
        <w:t>Coordinate with the Creative Multimedia Lead, Social Media Lead, Programmes Lead, and Partnerships Lead to deliver events professionally and achieve agreed outcomes.</w:t>
      </w:r>
    </w:p>
    <w:p w14:paraId="1CAC46CD">
      <w:pPr>
        <w:spacing w:before="200" w:after="70"/>
        <w:jc w:val="both"/>
      </w:pPr>
      <w:r>
        <w:rPr>
          <w:rFonts w:ascii="Calibri" w:hAnsi="Calibri" w:eastAsia="Calibri" w:cs="Calibri"/>
          <w:b/>
          <w:bCs/>
          <w:color w:val="AE3033"/>
          <w:sz w:val="21"/>
          <w:szCs w:val="21"/>
        </w:rPr>
        <w:t>Reporting and Documentation</w:t>
      </w:r>
    </w:p>
    <w:p w14:paraId="51196980">
      <w:pPr>
        <w:pStyle w:val="16"/>
        <w:numPr>
          <w:ilvl w:val="0"/>
          <w:numId w:val="1"/>
        </w:numPr>
        <w:spacing w:after="90" w:line="264" w:lineRule="auto"/>
        <w:jc w:val="both"/>
      </w:pPr>
      <w:r>
        <w:rPr>
          <w:rFonts w:ascii="Calibri" w:hAnsi="Calibri" w:eastAsia="Calibri" w:cs="Calibri"/>
          <w:color w:val="363435"/>
          <w:sz w:val="21"/>
          <w:szCs w:val="21"/>
        </w:rPr>
        <w:t>Maintain accurate outreach records and track KPIs covering campus coverage, student reach, lead generation, conversion, and ambassador performance.</w:t>
      </w:r>
    </w:p>
    <w:p w14:paraId="2B477CA7">
      <w:pPr>
        <w:pStyle w:val="16"/>
        <w:numPr>
          <w:ilvl w:val="0"/>
          <w:numId w:val="1"/>
        </w:numPr>
        <w:spacing w:after="90" w:line="264" w:lineRule="auto"/>
        <w:jc w:val="both"/>
      </w:pPr>
      <w:r>
        <w:rPr>
          <w:rFonts w:ascii="Calibri" w:hAnsi="Calibri" w:eastAsia="Calibri" w:cs="Calibri"/>
          <w:color w:val="363435"/>
          <w:sz w:val="21"/>
          <w:szCs w:val="21"/>
        </w:rPr>
        <w:t>Prepare periodic target-versus-actual reports for the CEO, highlighting performance, variances, and recommended actions.</w:t>
      </w:r>
    </w:p>
    <w:p w14:paraId="101F71D3">
      <w:pPr>
        <w:spacing w:before="200" w:after="70"/>
        <w:jc w:val="both"/>
      </w:pPr>
      <w:r>
        <w:rPr>
          <w:rFonts w:ascii="Calibri" w:hAnsi="Calibri" w:eastAsia="Calibri" w:cs="Calibri"/>
          <w:b/>
          <w:bCs/>
          <w:color w:val="AE3033"/>
          <w:sz w:val="21"/>
          <w:szCs w:val="21"/>
        </w:rPr>
        <w:t>Cross-Functional Collaboration</w:t>
      </w:r>
    </w:p>
    <w:p w14:paraId="111E6A88">
      <w:pPr>
        <w:pStyle w:val="16"/>
        <w:numPr>
          <w:ilvl w:val="0"/>
          <w:numId w:val="1"/>
        </w:numPr>
        <w:spacing w:after="90" w:line="264" w:lineRule="auto"/>
        <w:jc w:val="both"/>
      </w:pPr>
      <w:r>
        <w:rPr>
          <w:rFonts w:ascii="Calibri" w:hAnsi="Calibri" w:eastAsia="Calibri" w:cs="Calibri"/>
          <w:color w:val="363435"/>
          <w:sz w:val="21"/>
          <w:szCs w:val="21"/>
        </w:rPr>
        <w:t>Coordinate with the Lead, Partnerships and People Operations on activities involving non-institutional organizations where outreach support is required.</w:t>
      </w:r>
    </w:p>
    <w:p w14:paraId="19BFA6DF">
      <w:pPr>
        <w:pStyle w:val="16"/>
        <w:numPr>
          <w:ilvl w:val="0"/>
          <w:numId w:val="1"/>
        </w:numPr>
        <w:spacing w:after="90" w:line="264" w:lineRule="auto"/>
        <w:jc w:val="both"/>
      </w:pPr>
      <w:r>
        <w:rPr>
          <w:rFonts w:ascii="Calibri" w:hAnsi="Calibri" w:eastAsia="Calibri" w:cs="Calibri"/>
          <w:color w:val="363435"/>
          <w:sz w:val="21"/>
          <w:szCs w:val="21"/>
        </w:rPr>
        <w:t>Collaborate with the Lead, Social Media and Digital Communities to promote events, campus activities, and outreach outcomes through digital channels.</w:t>
      </w:r>
    </w:p>
    <w:p w14:paraId="6C7D2807">
      <w:pPr>
        <w:pStyle w:val="16"/>
        <w:numPr>
          <w:ilvl w:val="0"/>
          <w:numId w:val="1"/>
        </w:numPr>
        <w:spacing w:after="90" w:line="264" w:lineRule="auto"/>
        <w:jc w:val="both"/>
      </w:pPr>
      <w:r>
        <w:rPr>
          <w:rFonts w:ascii="Calibri" w:hAnsi="Calibri" w:eastAsia="Calibri" w:cs="Calibri"/>
          <w:color w:val="363435"/>
          <w:sz w:val="21"/>
          <w:szCs w:val="21"/>
        </w:rPr>
        <w:t>Work with the Programmes team to ensure a seamless transition from outreach and events to application, registration, and onboarding, and communicate recurring student questions or barriers.</w:t>
      </w:r>
    </w:p>
    <w:p w14:paraId="751329C9">
      <w:pPr>
        <w:pStyle w:val="2"/>
        <w:pBdr>
          <w:bottom w:val="single" w:color="AE3033" w:sz="6" w:space="4"/>
        </w:pBdr>
        <w:spacing w:before="320" w:after="140"/>
        <w:jc w:val="both"/>
      </w:pPr>
      <w:r>
        <w:rPr>
          <w:rFonts w:ascii="Calibri" w:hAnsi="Calibri" w:eastAsia="Calibri" w:cs="Calibri"/>
          <w:b/>
          <w:bCs/>
          <w:color w:val="AE3033"/>
          <w:sz w:val="24"/>
          <w:szCs w:val="24"/>
        </w:rPr>
        <w:t>QUALIFICATIONS &amp; REQUIREMENTS</w:t>
      </w:r>
    </w:p>
    <w:p w14:paraId="54A7D6E5">
      <w:pPr>
        <w:spacing w:before="200" w:after="80"/>
        <w:jc w:val="both"/>
      </w:pPr>
      <w:r>
        <w:rPr>
          <w:rFonts w:ascii="Calibri" w:hAnsi="Calibri" w:eastAsia="Calibri" w:cs="Calibri"/>
          <w:b/>
          <w:bCs/>
          <w:i/>
          <w:iCs/>
          <w:color w:val="363435"/>
          <w:sz w:val="22"/>
          <w:szCs w:val="22"/>
        </w:rPr>
        <w:t>Educational Background</w:t>
      </w:r>
    </w:p>
    <w:p w14:paraId="01E5962B">
      <w:pPr>
        <w:spacing w:after="160" w:line="276" w:lineRule="auto"/>
        <w:jc w:val="both"/>
      </w:pPr>
      <w:r>
        <w:rPr>
          <w:rFonts w:ascii="Calibri" w:hAnsi="Calibri" w:eastAsia="Calibri" w:cs="Calibri"/>
          <w:color w:val="363435"/>
          <w:sz w:val="21"/>
          <w:szCs w:val="21"/>
        </w:rPr>
        <w:t>A degree in Cybersecurity, Information Technology, Computer Engineering, Communications, Marketing, Public Relations, Education, Social Sciences, Development Studies, Business Administration, or a related field.</w:t>
      </w:r>
    </w:p>
    <w:p w14:paraId="06E30F40">
      <w:pPr>
        <w:spacing w:before="200" w:after="80"/>
        <w:jc w:val="both"/>
      </w:pPr>
      <w:r>
        <w:rPr>
          <w:rFonts w:ascii="Calibri" w:hAnsi="Calibri" w:eastAsia="Calibri" w:cs="Calibri"/>
          <w:b/>
          <w:bCs/>
          <w:i/>
          <w:iCs/>
          <w:color w:val="363435"/>
          <w:sz w:val="22"/>
          <w:szCs w:val="22"/>
        </w:rPr>
        <w:t>Professional Competencies</w:t>
      </w:r>
    </w:p>
    <w:p w14:paraId="190D87CB">
      <w:pPr>
        <w:pStyle w:val="16"/>
        <w:numPr>
          <w:ilvl w:val="0"/>
          <w:numId w:val="1"/>
        </w:numPr>
        <w:spacing w:after="90" w:line="264" w:lineRule="auto"/>
        <w:jc w:val="both"/>
      </w:pPr>
      <w:r>
        <w:rPr>
          <w:rFonts w:ascii="Calibri" w:hAnsi="Calibri" w:eastAsia="Calibri" w:cs="Calibri"/>
          <w:color w:val="363435"/>
          <w:sz w:val="21"/>
          <w:szCs w:val="21"/>
        </w:rPr>
        <w:t>Campus engagement and outreach execution, including stakeholder engagement and intelligence-gathering.</w:t>
      </w:r>
    </w:p>
    <w:p w14:paraId="05C8713C">
      <w:pPr>
        <w:pStyle w:val="16"/>
        <w:numPr>
          <w:ilvl w:val="0"/>
          <w:numId w:val="1"/>
        </w:numPr>
        <w:spacing w:after="90" w:line="264" w:lineRule="auto"/>
        <w:jc w:val="both"/>
      </w:pPr>
      <w:r>
        <w:rPr>
          <w:rFonts w:ascii="Calibri" w:hAnsi="Calibri" w:eastAsia="Calibri" w:cs="Calibri"/>
          <w:color w:val="363435"/>
          <w:sz w:val="21"/>
          <w:szCs w:val="21"/>
        </w:rPr>
        <w:t>Experience supporting institutional relationships and MOU processes.</w:t>
      </w:r>
    </w:p>
    <w:p w14:paraId="78B9D85C">
      <w:pPr>
        <w:pStyle w:val="16"/>
        <w:numPr>
          <w:ilvl w:val="0"/>
          <w:numId w:val="1"/>
        </w:numPr>
        <w:spacing w:after="90" w:line="264" w:lineRule="auto"/>
        <w:jc w:val="both"/>
      </w:pPr>
      <w:r>
        <w:rPr>
          <w:rFonts w:ascii="Calibri" w:hAnsi="Calibri" w:eastAsia="Calibri" w:cs="Calibri"/>
          <w:color w:val="363435"/>
          <w:sz w:val="21"/>
          <w:szCs w:val="21"/>
        </w:rPr>
        <w:t>Demonstrated ability to generate, qualify, and convert student leads.</w:t>
      </w:r>
    </w:p>
    <w:p w14:paraId="374EB34D">
      <w:pPr>
        <w:pStyle w:val="16"/>
        <w:numPr>
          <w:ilvl w:val="0"/>
          <w:numId w:val="1"/>
        </w:numPr>
        <w:spacing w:after="90" w:line="264" w:lineRule="auto"/>
        <w:jc w:val="both"/>
      </w:pPr>
      <w:r>
        <w:rPr>
          <w:rFonts w:ascii="Calibri" w:hAnsi="Calibri" w:eastAsia="Calibri" w:cs="Calibri"/>
          <w:color w:val="363435"/>
          <w:sz w:val="21"/>
          <w:szCs w:val="21"/>
        </w:rPr>
        <w:t>Experience coordinating volunteers or ambassador-style networks.</w:t>
      </w:r>
    </w:p>
    <w:p w14:paraId="1141DBC1">
      <w:pPr>
        <w:pStyle w:val="16"/>
        <w:numPr>
          <w:ilvl w:val="0"/>
          <w:numId w:val="1"/>
        </w:numPr>
        <w:spacing w:after="90" w:line="264" w:lineRule="auto"/>
        <w:jc w:val="both"/>
      </w:pPr>
      <w:r>
        <w:rPr>
          <w:rFonts w:ascii="Calibri" w:hAnsi="Calibri" w:eastAsia="Calibri" w:cs="Calibri"/>
          <w:color w:val="363435"/>
          <w:sz w:val="21"/>
          <w:szCs w:val="21"/>
        </w:rPr>
        <w:t>Comfort managing outreach data, KPIs, and reporting.</w:t>
      </w:r>
    </w:p>
    <w:p w14:paraId="507A922A">
      <w:pPr>
        <w:spacing w:before="200" w:after="80"/>
        <w:jc w:val="both"/>
      </w:pPr>
      <w:r>
        <w:rPr>
          <w:rFonts w:ascii="Calibri" w:hAnsi="Calibri" w:eastAsia="Calibri" w:cs="Calibri"/>
          <w:b/>
          <w:bCs/>
          <w:i/>
          <w:iCs/>
          <w:color w:val="363435"/>
          <w:sz w:val="22"/>
          <w:szCs w:val="22"/>
        </w:rPr>
        <w:t>AI Fluency</w:t>
      </w:r>
    </w:p>
    <w:p w14:paraId="35BD93D6">
      <w:pPr>
        <w:pStyle w:val="16"/>
        <w:numPr>
          <w:ilvl w:val="0"/>
          <w:numId w:val="1"/>
        </w:numPr>
        <w:spacing w:after="90" w:line="264" w:lineRule="auto"/>
        <w:jc w:val="both"/>
      </w:pPr>
      <w:r>
        <w:rPr>
          <w:rFonts w:ascii="Calibri" w:hAnsi="Calibri" w:eastAsia="Calibri" w:cs="Calibri"/>
          <w:color w:val="363435"/>
          <w:sz w:val="21"/>
          <w:szCs w:val="21"/>
        </w:rPr>
        <w:t>Familiarity with AI-powered research, productivity, communication, analysis, and planning tools.</w:t>
      </w:r>
    </w:p>
    <w:p w14:paraId="43223636">
      <w:pPr>
        <w:pStyle w:val="16"/>
        <w:numPr>
          <w:ilvl w:val="0"/>
          <w:numId w:val="1"/>
        </w:numPr>
        <w:spacing w:after="90" w:line="264" w:lineRule="auto"/>
        <w:jc w:val="both"/>
      </w:pPr>
      <w:r>
        <w:rPr>
          <w:rFonts w:ascii="Calibri" w:hAnsi="Calibri" w:eastAsia="Calibri" w:cs="Calibri"/>
          <w:color w:val="363435"/>
          <w:sz w:val="21"/>
          <w:szCs w:val="21"/>
        </w:rPr>
        <w:t>Ability to leverage AI responsibly to support outreach planning, audience research, reporting, and workflow optimization without compromising accuracy or confidentiality.</w:t>
      </w:r>
    </w:p>
    <w:p w14:paraId="0CDAD1E6">
      <w:pPr>
        <w:pStyle w:val="16"/>
        <w:numPr>
          <w:ilvl w:val="0"/>
          <w:numId w:val="1"/>
        </w:numPr>
        <w:spacing w:after="90" w:line="264" w:lineRule="auto"/>
        <w:jc w:val="both"/>
      </w:pPr>
      <w:r>
        <w:rPr>
          <w:rFonts w:ascii="Calibri" w:hAnsi="Calibri" w:eastAsia="Calibri" w:cs="Calibri"/>
          <w:color w:val="363435"/>
          <w:sz w:val="21"/>
          <w:szCs w:val="21"/>
        </w:rPr>
        <w:t>Willingness to continuously learn and adapt to emerging AI and digital tools that improve outreach effectiveness.</w:t>
      </w:r>
    </w:p>
    <w:p w14:paraId="277E5F17">
      <w:pPr>
        <w:spacing w:before="200" w:after="80"/>
        <w:jc w:val="both"/>
      </w:pPr>
      <w:r>
        <w:rPr>
          <w:rFonts w:ascii="Calibri" w:hAnsi="Calibri" w:eastAsia="Calibri" w:cs="Calibri"/>
          <w:b/>
          <w:bCs/>
          <w:i/>
          <w:iCs/>
          <w:color w:val="363435"/>
          <w:sz w:val="22"/>
          <w:szCs w:val="22"/>
        </w:rPr>
        <w:t>Tools &amp; Platforms</w:t>
      </w:r>
    </w:p>
    <w:p w14:paraId="628E6B86">
      <w:pPr>
        <w:pStyle w:val="16"/>
        <w:numPr>
          <w:ilvl w:val="0"/>
          <w:numId w:val="1"/>
        </w:numPr>
        <w:spacing w:after="90" w:line="264" w:lineRule="auto"/>
        <w:jc w:val="both"/>
      </w:pPr>
      <w:r>
        <w:rPr>
          <w:rFonts w:ascii="Calibri" w:hAnsi="Calibri" w:eastAsia="Calibri" w:cs="Calibri"/>
          <w:color w:val="363435"/>
          <w:sz w:val="21"/>
          <w:szCs w:val="21"/>
        </w:rPr>
        <w:t>Familiarity with Microsoft Excel, Microsoft Forms, Teams, Outlook, OneDrive, WhatsApp Business, CRM or contact-management systems, or equivalent tools.</w:t>
      </w:r>
    </w:p>
    <w:p w14:paraId="728DFA7B">
      <w:pPr>
        <w:pStyle w:val="16"/>
        <w:numPr>
          <w:ilvl w:val="0"/>
          <w:numId w:val="1"/>
        </w:numPr>
        <w:spacing w:after="90" w:line="264" w:lineRule="auto"/>
        <w:jc w:val="both"/>
      </w:pPr>
      <w:r>
        <w:rPr>
          <w:rFonts w:ascii="Calibri" w:hAnsi="Calibri" w:eastAsia="Calibri" w:cs="Calibri"/>
          <w:color w:val="363435"/>
          <w:sz w:val="21"/>
          <w:szCs w:val="21"/>
        </w:rPr>
        <w:t>Basic familiarity with Canva, CapCut, or similar creative tools is an advantage for preparing simple outreach materials, though not a primary responsibility of the role.</w:t>
      </w:r>
    </w:p>
    <w:p w14:paraId="7F5E83C1">
      <w:pPr>
        <w:pStyle w:val="16"/>
        <w:numPr>
          <w:ilvl w:val="0"/>
          <w:numId w:val="1"/>
        </w:numPr>
        <w:spacing w:after="90" w:line="264" w:lineRule="auto"/>
        <w:jc w:val="both"/>
      </w:pPr>
      <w:r>
        <w:rPr>
          <w:rFonts w:ascii="Calibri" w:hAnsi="Calibri" w:eastAsia="Calibri" w:cs="Calibri"/>
          <w:color w:val="363435"/>
          <w:sz w:val="21"/>
          <w:szCs w:val="21"/>
        </w:rPr>
        <w:t>Ability to use digital collaboration, scheduling, and data-collection tools effectively while maintaining organized records.</w:t>
      </w:r>
    </w:p>
    <w:p w14:paraId="018501FF">
      <w:pPr>
        <w:spacing w:before="200" w:after="80"/>
        <w:jc w:val="both"/>
      </w:pPr>
      <w:r>
        <w:rPr>
          <w:rFonts w:ascii="Calibri" w:hAnsi="Calibri" w:eastAsia="Calibri" w:cs="Calibri"/>
          <w:b/>
          <w:bCs/>
          <w:i/>
          <w:iCs/>
          <w:color w:val="363435"/>
          <w:sz w:val="22"/>
          <w:szCs w:val="22"/>
        </w:rPr>
        <w:t>Work Requirements</w:t>
      </w:r>
    </w:p>
    <w:p w14:paraId="57B973E4">
      <w:pPr>
        <w:pStyle w:val="16"/>
        <w:numPr>
          <w:ilvl w:val="0"/>
          <w:numId w:val="1"/>
        </w:numPr>
        <w:spacing w:after="90" w:line="264" w:lineRule="auto"/>
        <w:jc w:val="both"/>
      </w:pPr>
      <w:r>
        <w:rPr>
          <w:rFonts w:ascii="Calibri" w:hAnsi="Calibri" w:eastAsia="Calibri" w:cs="Calibri"/>
          <w:color w:val="363435"/>
          <w:sz w:val="21"/>
          <w:szCs w:val="21"/>
        </w:rPr>
        <w:t>Must be able to commit to full-time hybrid/remote work while remaining available for regular campus visits and in-person engagements.</w:t>
      </w:r>
    </w:p>
    <w:p w14:paraId="735EA633">
      <w:pPr>
        <w:pStyle w:val="16"/>
        <w:numPr>
          <w:ilvl w:val="0"/>
          <w:numId w:val="1"/>
        </w:numPr>
        <w:spacing w:after="90" w:line="264" w:lineRule="auto"/>
        <w:jc w:val="both"/>
      </w:pPr>
      <w:r>
        <w:rPr>
          <w:rFonts w:ascii="Calibri" w:hAnsi="Calibri" w:eastAsia="Calibri" w:cs="Calibri"/>
          <w:color w:val="363435"/>
          <w:sz w:val="21"/>
          <w:szCs w:val="21"/>
        </w:rPr>
        <w:t>A functioning personal laptop and stable internet access are required.</w:t>
      </w:r>
    </w:p>
    <w:p w14:paraId="582CA951">
      <w:pPr>
        <w:pStyle w:val="16"/>
        <w:numPr>
          <w:ilvl w:val="0"/>
          <w:numId w:val="1"/>
        </w:numPr>
        <w:spacing w:after="90" w:line="264" w:lineRule="auto"/>
        <w:jc w:val="both"/>
      </w:pPr>
      <w:r>
        <w:rPr>
          <w:rFonts w:ascii="Calibri" w:hAnsi="Calibri" w:eastAsia="Calibri" w:cs="Calibri"/>
          <w:color w:val="363435"/>
          <w:sz w:val="21"/>
          <w:szCs w:val="21"/>
        </w:rPr>
        <w:t>Availability for occasional weekend work, campus events, travel, or urgent outreach requirements when necessary.</w:t>
      </w:r>
    </w:p>
    <w:p w14:paraId="65576A3C">
      <w:pPr>
        <w:pStyle w:val="2"/>
        <w:pBdr>
          <w:bottom w:val="single" w:color="AE3033" w:sz="6" w:space="4"/>
        </w:pBdr>
        <w:spacing w:before="320" w:after="140"/>
        <w:jc w:val="both"/>
      </w:pPr>
      <w:r>
        <w:rPr>
          <w:rFonts w:ascii="Calibri" w:hAnsi="Calibri" w:eastAsia="Calibri" w:cs="Calibri"/>
          <w:b/>
          <w:bCs/>
          <w:color w:val="AE3033"/>
          <w:sz w:val="24"/>
          <w:szCs w:val="24"/>
        </w:rPr>
        <w:t>CORE COMPETENCIES</w:t>
      </w:r>
    </w:p>
    <w:p w14:paraId="477C53D2">
      <w:pPr>
        <w:pStyle w:val="16"/>
        <w:numPr>
          <w:ilvl w:val="0"/>
          <w:numId w:val="1"/>
        </w:numPr>
        <w:spacing w:after="90" w:line="264" w:lineRule="auto"/>
        <w:jc w:val="both"/>
      </w:pPr>
      <w:r>
        <w:rPr>
          <w:rFonts w:ascii="Calibri" w:hAnsi="Calibri" w:eastAsia="Calibri" w:cs="Calibri"/>
          <w:color w:val="363435"/>
          <w:sz w:val="21"/>
          <w:szCs w:val="21"/>
        </w:rPr>
        <w:t>Leadership and people development</w:t>
      </w:r>
    </w:p>
    <w:p w14:paraId="5992888D">
      <w:pPr>
        <w:pStyle w:val="16"/>
        <w:numPr>
          <w:ilvl w:val="0"/>
          <w:numId w:val="1"/>
        </w:numPr>
        <w:spacing w:after="90" w:line="264" w:lineRule="auto"/>
        <w:jc w:val="both"/>
      </w:pPr>
      <w:r>
        <w:rPr>
          <w:rFonts w:ascii="Calibri" w:hAnsi="Calibri" w:eastAsia="Calibri" w:cs="Calibri"/>
          <w:color w:val="363435"/>
          <w:sz w:val="21"/>
          <w:szCs w:val="21"/>
        </w:rPr>
        <w:t>Ownership and initiative</w:t>
      </w:r>
    </w:p>
    <w:p w14:paraId="48ED0160">
      <w:pPr>
        <w:pStyle w:val="16"/>
        <w:numPr>
          <w:ilvl w:val="0"/>
          <w:numId w:val="1"/>
        </w:numPr>
        <w:spacing w:after="90" w:line="264" w:lineRule="auto"/>
        <w:jc w:val="both"/>
      </w:pPr>
      <w:r>
        <w:rPr>
          <w:rFonts w:ascii="Calibri" w:hAnsi="Calibri" w:eastAsia="Calibri" w:cs="Calibri"/>
          <w:color w:val="363435"/>
          <w:sz w:val="21"/>
          <w:szCs w:val="21"/>
        </w:rPr>
        <w:t>Communication and public presentation</w:t>
      </w:r>
    </w:p>
    <w:p w14:paraId="27AAFD8F">
      <w:pPr>
        <w:pStyle w:val="16"/>
        <w:numPr>
          <w:ilvl w:val="0"/>
          <w:numId w:val="1"/>
        </w:numPr>
        <w:spacing w:after="90" w:line="264" w:lineRule="auto"/>
        <w:jc w:val="both"/>
      </w:pPr>
      <w:r>
        <w:rPr>
          <w:rFonts w:ascii="Calibri" w:hAnsi="Calibri" w:eastAsia="Calibri" w:cs="Calibri"/>
          <w:color w:val="363435"/>
          <w:sz w:val="21"/>
          <w:szCs w:val="21"/>
        </w:rPr>
        <w:t>Relationship building and stakeholder engagement</w:t>
      </w:r>
    </w:p>
    <w:p w14:paraId="29EBD056">
      <w:pPr>
        <w:pStyle w:val="16"/>
        <w:numPr>
          <w:ilvl w:val="0"/>
          <w:numId w:val="1"/>
        </w:numPr>
        <w:spacing w:after="90" w:line="264" w:lineRule="auto"/>
        <w:jc w:val="both"/>
      </w:pPr>
      <w:r>
        <w:rPr>
          <w:rFonts w:ascii="Calibri" w:hAnsi="Calibri" w:eastAsia="Calibri" w:cs="Calibri"/>
          <w:color w:val="363435"/>
          <w:sz w:val="21"/>
          <w:szCs w:val="21"/>
        </w:rPr>
        <w:t>Planning and execution</w:t>
      </w:r>
    </w:p>
    <w:p w14:paraId="3872E762">
      <w:pPr>
        <w:pStyle w:val="16"/>
        <w:numPr>
          <w:ilvl w:val="0"/>
          <w:numId w:val="1"/>
        </w:numPr>
        <w:spacing w:after="90" w:line="264" w:lineRule="auto"/>
        <w:jc w:val="both"/>
      </w:pPr>
      <w:r>
        <w:rPr>
          <w:rFonts w:ascii="Calibri" w:hAnsi="Calibri" w:eastAsia="Calibri" w:cs="Calibri"/>
          <w:color w:val="363435"/>
          <w:sz w:val="21"/>
          <w:szCs w:val="21"/>
        </w:rPr>
        <w:t>Adaptability and resourcefulness</w:t>
      </w:r>
    </w:p>
    <w:p w14:paraId="3F09B4B1">
      <w:pPr>
        <w:pStyle w:val="16"/>
        <w:numPr>
          <w:ilvl w:val="0"/>
          <w:numId w:val="1"/>
        </w:numPr>
        <w:spacing w:after="90" w:line="264" w:lineRule="auto"/>
        <w:jc w:val="both"/>
      </w:pPr>
      <w:r>
        <w:rPr>
          <w:rFonts w:ascii="Calibri" w:hAnsi="Calibri" w:eastAsia="Calibri" w:cs="Calibri"/>
          <w:color w:val="363435"/>
          <w:sz w:val="21"/>
          <w:szCs w:val="21"/>
        </w:rPr>
        <w:t>Analytical thinking and problem-solving</w:t>
      </w:r>
    </w:p>
    <w:p w14:paraId="023B83A1">
      <w:pPr>
        <w:pStyle w:val="16"/>
        <w:numPr>
          <w:ilvl w:val="0"/>
          <w:numId w:val="1"/>
        </w:numPr>
        <w:spacing w:after="90" w:line="264" w:lineRule="auto"/>
        <w:jc w:val="both"/>
      </w:pPr>
      <w:r>
        <w:rPr>
          <w:rFonts w:ascii="Calibri" w:hAnsi="Calibri" w:eastAsia="Calibri" w:cs="Calibri"/>
          <w:color w:val="363435"/>
          <w:sz w:val="21"/>
          <w:szCs w:val="21"/>
        </w:rPr>
        <w:t>Professionalism and reliability</w:t>
      </w:r>
    </w:p>
    <w:p w14:paraId="3C9A3A4A">
      <w:pPr>
        <w:pStyle w:val="2"/>
        <w:pBdr>
          <w:bottom w:val="single" w:color="AE3033" w:sz="6" w:space="4"/>
        </w:pBdr>
        <w:spacing w:before="320" w:after="140"/>
        <w:jc w:val="both"/>
      </w:pPr>
      <w:r>
        <w:rPr>
          <w:rFonts w:ascii="Calibri" w:hAnsi="Calibri" w:eastAsia="Calibri" w:cs="Calibri"/>
          <w:b/>
          <w:bCs/>
          <w:color w:val="AE3033"/>
          <w:sz w:val="24"/>
          <w:szCs w:val="24"/>
        </w:rPr>
        <w:t>REPORTING STRUCTURE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680"/>
      </w:tblGrid>
      <w:tr w14:paraId="408B5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6A14EEDB">
            <w:pPr>
              <w:jc w:val="both"/>
            </w:pPr>
            <w:r>
              <w:rPr>
                <w:rFonts w:ascii="Calibri" w:hAnsi="Calibri" w:eastAsia="Calibri" w:cs="Calibri"/>
                <w:b/>
                <w:bCs/>
                <w:color w:val="FFFFFF"/>
                <w:sz w:val="20"/>
                <w:szCs w:val="20"/>
              </w:rPr>
              <w:t>Reports To</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6E7AAE12">
            <w:pPr>
              <w:jc w:val="both"/>
            </w:pPr>
            <w:r>
              <w:rPr>
                <w:rFonts w:ascii="Calibri" w:hAnsi="Calibri" w:eastAsia="Calibri" w:cs="Calibri"/>
                <w:color w:val="363435"/>
                <w:sz w:val="20"/>
                <w:szCs w:val="20"/>
              </w:rPr>
              <w:t>Chief Executive Officer (CEO)</w:t>
            </w:r>
          </w:p>
        </w:tc>
      </w:tr>
      <w:tr w14:paraId="123D9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49593582">
            <w:pPr>
              <w:jc w:val="both"/>
            </w:pPr>
            <w:r>
              <w:rPr>
                <w:rFonts w:ascii="Calibri" w:hAnsi="Calibri" w:eastAsia="Calibri" w:cs="Calibri"/>
                <w:b/>
                <w:bCs/>
                <w:color w:val="FFFFFF"/>
                <w:sz w:val="20"/>
                <w:szCs w:val="20"/>
              </w:rPr>
              <w:t>Collaborates With</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115D4A65">
            <w:pPr>
              <w:jc w:val="both"/>
            </w:pPr>
            <w:r>
              <w:rPr>
                <w:rFonts w:ascii="Calibri" w:hAnsi="Calibri" w:eastAsia="Calibri" w:cs="Calibri"/>
                <w:color w:val="363435"/>
                <w:sz w:val="20"/>
                <w:szCs w:val="20"/>
              </w:rPr>
              <w:t>Lead, Partnerships and People Operations; Lead, Programmes, Training and Technical Enablement; Lead, Social Media and Digital Communities; Creative Multimedia Lead</w:t>
            </w:r>
          </w:p>
        </w:tc>
      </w:tr>
      <w:tr w14:paraId="0A258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5CBFDE5E">
            <w:pPr>
              <w:jc w:val="both"/>
            </w:pPr>
            <w:r>
              <w:rPr>
                <w:rFonts w:ascii="Calibri" w:hAnsi="Calibri" w:eastAsia="Calibri" w:cs="Calibri"/>
                <w:b/>
                <w:bCs/>
                <w:color w:val="FFFFFF"/>
                <w:sz w:val="20"/>
                <w:szCs w:val="20"/>
              </w:rPr>
              <w:t>Supervises</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240F7468">
            <w:pPr>
              <w:jc w:val="both"/>
            </w:pPr>
            <w:r>
              <w:rPr>
                <w:rFonts w:ascii="Calibri" w:hAnsi="Calibri" w:eastAsia="Calibri" w:cs="Calibri"/>
                <w:color w:val="363435"/>
                <w:sz w:val="20"/>
                <w:szCs w:val="20"/>
              </w:rPr>
              <w:t>Outreach Assistant(s) and Campus Ambassadors</w:t>
            </w:r>
          </w:p>
        </w:tc>
      </w:tr>
    </w:tbl>
    <w:p w14:paraId="2928AC65">
      <w:pPr>
        <w:spacing w:after="120"/>
        <w:jc w:val="both"/>
      </w:pPr>
    </w:p>
    <w:p w14:paraId="46394E53">
      <w:pPr>
        <w:pStyle w:val="2"/>
        <w:pBdr>
          <w:bottom w:val="single" w:color="AE3033" w:sz="6" w:space="4"/>
        </w:pBdr>
        <w:spacing w:before="320" w:after="140"/>
        <w:jc w:val="both"/>
      </w:pPr>
      <w:r>
        <w:rPr>
          <w:rFonts w:ascii="Calibri" w:hAnsi="Calibri" w:eastAsia="Calibri" w:cs="Calibri"/>
          <w:b/>
          <w:bCs/>
          <w:color w:val="AE3033"/>
          <w:sz w:val="24"/>
          <w:szCs w:val="24"/>
        </w:rPr>
        <w:t>KEY PERFORMANCE INDICATORS</w:t>
      </w:r>
    </w:p>
    <w:p w14:paraId="650540AF">
      <w:pPr>
        <w:pStyle w:val="16"/>
        <w:numPr>
          <w:ilvl w:val="0"/>
          <w:numId w:val="1"/>
        </w:numPr>
        <w:spacing w:after="90" w:line="264" w:lineRule="auto"/>
        <w:jc w:val="both"/>
      </w:pPr>
      <w:r>
        <w:rPr>
          <w:rFonts w:ascii="Calibri" w:hAnsi="Calibri" w:eastAsia="Calibri" w:cs="Calibri"/>
          <w:color w:val="363435"/>
          <w:sz w:val="21"/>
          <w:szCs w:val="21"/>
        </w:rPr>
        <w:t>Campus coverage against the annual engagement plan</w:t>
      </w:r>
    </w:p>
    <w:p w14:paraId="29AF2BB5">
      <w:pPr>
        <w:pStyle w:val="16"/>
        <w:numPr>
          <w:ilvl w:val="0"/>
          <w:numId w:val="1"/>
        </w:numPr>
        <w:spacing w:after="90" w:line="264" w:lineRule="auto"/>
        <w:jc w:val="both"/>
      </w:pPr>
      <w:r>
        <w:rPr>
          <w:rFonts w:ascii="Calibri" w:hAnsi="Calibri" w:eastAsia="Calibri" w:cs="Calibri"/>
          <w:color w:val="363435"/>
          <w:sz w:val="21"/>
          <w:szCs w:val="21"/>
        </w:rPr>
        <w:t>Student leads generated, qualified, and converted to enrollment</w:t>
      </w:r>
    </w:p>
    <w:p w14:paraId="59444095">
      <w:pPr>
        <w:pStyle w:val="16"/>
        <w:numPr>
          <w:ilvl w:val="0"/>
          <w:numId w:val="1"/>
        </w:numPr>
        <w:spacing w:after="90" w:line="264" w:lineRule="auto"/>
        <w:jc w:val="both"/>
      </w:pPr>
      <w:r>
        <w:rPr>
          <w:rFonts w:ascii="Calibri" w:hAnsi="Calibri" w:eastAsia="Calibri" w:cs="Calibri"/>
          <w:color w:val="363435"/>
          <w:sz w:val="21"/>
          <w:szCs w:val="21"/>
        </w:rPr>
        <w:t>Number of active institutional MOUs and relationships maintained</w:t>
      </w:r>
    </w:p>
    <w:p w14:paraId="42A79EA2">
      <w:pPr>
        <w:pStyle w:val="16"/>
        <w:numPr>
          <w:ilvl w:val="0"/>
          <w:numId w:val="1"/>
        </w:numPr>
        <w:spacing w:after="90" w:line="264" w:lineRule="auto"/>
        <w:jc w:val="both"/>
      </w:pPr>
      <w:r>
        <w:rPr>
          <w:rFonts w:ascii="Calibri" w:hAnsi="Calibri" w:eastAsia="Calibri" w:cs="Calibri"/>
          <w:color w:val="363435"/>
          <w:sz w:val="21"/>
          <w:szCs w:val="21"/>
        </w:rPr>
        <w:t>Campus Ambassador Programme activity and retention rate</w:t>
      </w:r>
    </w:p>
    <w:p w14:paraId="650F250B">
      <w:pPr>
        <w:pStyle w:val="16"/>
        <w:numPr>
          <w:ilvl w:val="0"/>
          <w:numId w:val="1"/>
        </w:numPr>
        <w:spacing w:after="90" w:line="264" w:lineRule="auto"/>
        <w:jc w:val="both"/>
      </w:pPr>
      <w:r>
        <w:rPr>
          <w:rFonts w:ascii="Calibri" w:hAnsi="Calibri" w:eastAsia="Calibri" w:cs="Calibri"/>
          <w:color w:val="363435"/>
          <w:sz w:val="21"/>
          <w:szCs w:val="21"/>
        </w:rPr>
        <w:t>Event delivery against planned event calendar</w:t>
      </w:r>
    </w:p>
    <w:p w14:paraId="29192766">
      <w:pPr>
        <w:pStyle w:val="2"/>
        <w:pBdr>
          <w:bottom w:val="single" w:color="AE3033" w:sz="6" w:space="4"/>
        </w:pBdr>
        <w:spacing w:before="320" w:after="140"/>
        <w:jc w:val="both"/>
      </w:pPr>
      <w:r>
        <w:rPr>
          <w:rFonts w:ascii="Calibri" w:hAnsi="Calibri" w:eastAsia="Calibri" w:cs="Calibri"/>
          <w:b/>
          <w:bCs/>
          <w:color w:val="AE3033"/>
          <w:sz w:val="24"/>
          <w:szCs w:val="24"/>
        </w:rPr>
        <w:t>BENEFITS</w:t>
      </w:r>
    </w:p>
    <w:p w14:paraId="01F2492A">
      <w:pPr>
        <w:pStyle w:val="16"/>
        <w:numPr>
          <w:ilvl w:val="0"/>
          <w:numId w:val="1"/>
        </w:numPr>
        <w:spacing w:after="90" w:line="264" w:lineRule="auto"/>
        <w:jc w:val="both"/>
      </w:pPr>
      <w:r>
        <w:rPr>
          <w:rFonts w:ascii="Calibri" w:hAnsi="Calibri" w:eastAsia="Calibri" w:cs="Calibri"/>
          <w:color w:val="363435"/>
          <w:sz w:val="21"/>
          <w:szCs w:val="21"/>
        </w:rPr>
        <w:t>Hands-on leadership experience in a dynamic, impact-driven organization.</w:t>
      </w:r>
    </w:p>
    <w:p w14:paraId="454FF8FD">
      <w:pPr>
        <w:pStyle w:val="16"/>
        <w:numPr>
          <w:ilvl w:val="0"/>
          <w:numId w:val="1"/>
        </w:numPr>
        <w:spacing w:after="90" w:line="264" w:lineRule="auto"/>
        <w:jc w:val="both"/>
      </w:pPr>
      <w:r>
        <w:rPr>
          <w:rFonts w:ascii="Calibri" w:hAnsi="Calibri" w:eastAsia="Calibri" w:cs="Calibri"/>
          <w:color w:val="363435"/>
          <w:sz w:val="21"/>
          <w:szCs w:val="21"/>
        </w:rPr>
        <w:t>Opportunity to strengthen and expand Grow With Educ8Africa’s campus reach, student engagement, and impact across Ghana.</w:t>
      </w:r>
    </w:p>
    <w:p w14:paraId="6033F46C">
      <w:pPr>
        <w:pStyle w:val="16"/>
        <w:numPr>
          <w:ilvl w:val="0"/>
          <w:numId w:val="1"/>
        </w:numPr>
        <w:spacing w:after="90" w:line="264" w:lineRule="auto"/>
        <w:jc w:val="both"/>
      </w:pPr>
      <w:r>
        <w:rPr>
          <w:rFonts w:ascii="Calibri" w:hAnsi="Calibri" w:eastAsia="Calibri" w:cs="Calibri"/>
          <w:color w:val="363435"/>
          <w:sz w:val="21"/>
          <w:szCs w:val="21"/>
        </w:rPr>
        <w:t>Direct exposure to organizational leadership, strategic projects, and high-impact programs.</w:t>
      </w:r>
    </w:p>
    <w:p w14:paraId="25B26350">
      <w:pPr>
        <w:pStyle w:val="16"/>
        <w:numPr>
          <w:ilvl w:val="0"/>
          <w:numId w:val="1"/>
        </w:numPr>
        <w:spacing w:after="90" w:line="264" w:lineRule="auto"/>
        <w:jc w:val="both"/>
      </w:pPr>
      <w:r>
        <w:rPr>
          <w:rFonts w:ascii="Calibri" w:hAnsi="Calibri" w:eastAsia="Calibri" w:cs="Calibri"/>
          <w:color w:val="363435"/>
          <w:sz w:val="21"/>
          <w:szCs w:val="21"/>
        </w:rPr>
        <w:t>Access to learning, mentorship, and professional development opportunities.</w:t>
      </w:r>
    </w:p>
    <w:p w14:paraId="78322436">
      <w:pPr>
        <w:pStyle w:val="16"/>
        <w:numPr>
          <w:ilvl w:val="0"/>
          <w:numId w:val="1"/>
        </w:numPr>
        <w:spacing w:after="90" w:line="264" w:lineRule="auto"/>
        <w:jc w:val="both"/>
      </w:pPr>
      <w:r>
        <w:rPr>
          <w:rFonts w:ascii="Calibri" w:hAnsi="Calibri" w:eastAsia="Calibri" w:cs="Calibri"/>
          <w:color w:val="363435"/>
          <w:sz w:val="21"/>
          <w:szCs w:val="21"/>
        </w:rPr>
        <w:t>Certificate of recommendation and professional endorsement upon successful completion.</w:t>
      </w:r>
    </w:p>
    <w:p w14:paraId="20AB4B71">
      <w:pPr>
        <w:pStyle w:val="16"/>
        <w:numPr>
          <w:ilvl w:val="0"/>
          <w:numId w:val="1"/>
        </w:numPr>
        <w:spacing w:after="90" w:line="264" w:lineRule="auto"/>
        <w:jc w:val="both"/>
      </w:pPr>
      <w:r>
        <w:rPr>
          <w:rFonts w:ascii="Calibri" w:hAnsi="Calibri" w:eastAsia="Calibri" w:cs="Calibri"/>
          <w:color w:val="363435"/>
          <w:sz w:val="21"/>
          <w:szCs w:val="21"/>
        </w:rPr>
        <w:t>Exceptional performance may lead to priority consideration for future freelance, contract, or full-time opportunities within Grow With Educ8Africa, its ecosystem, partners, or client organizations, subject to availability.</w:t>
      </w:r>
    </w:p>
    <w:p w14:paraId="1D25D0ED">
      <w:pPr>
        <w:pStyle w:val="2"/>
        <w:pBdr>
          <w:bottom w:val="single" w:color="AE3033" w:sz="6" w:space="4"/>
        </w:pBdr>
        <w:spacing w:before="320" w:after="140"/>
        <w:jc w:val="both"/>
      </w:pPr>
      <w:r>
        <w:rPr>
          <w:rFonts w:ascii="Calibri" w:hAnsi="Calibri" w:eastAsia="Calibri" w:cs="Calibri"/>
          <w:b/>
          <w:bCs/>
          <w:color w:val="AE3033"/>
          <w:sz w:val="24"/>
          <w:szCs w:val="24"/>
        </w:rPr>
        <w:t>SCOPE OF ROLE</w:t>
      </w:r>
    </w:p>
    <w:p w14:paraId="257D3A53">
      <w:pPr>
        <w:spacing w:after="160" w:line="276" w:lineRule="auto"/>
        <w:jc w:val="both"/>
      </w:pPr>
      <w:r>
        <w:rPr>
          <w:rFonts w:ascii="Calibri" w:hAnsi="Calibri" w:eastAsia="Calibri" w:cs="Calibri"/>
          <w:color w:val="363435"/>
          <w:sz w:val="21"/>
          <w:szCs w:val="21"/>
        </w:rPr>
        <w:t>This job description outlines the primary responsibilities, tools, and competencies associated with the role at the time of issue and is not exhaustive. Grow With Educ8Africa reserves the right to review and update the scope of the role as organisational priorities, programme needs, and operating requirements evolve. Material changes will be communicated and reflected in a revised, versioned document.</w:t>
      </w:r>
    </w:p>
    <w:p w14:paraId="6816F5B9">
      <w:pPr>
        <w:pStyle w:val="2"/>
        <w:pBdr>
          <w:bottom w:val="single" w:color="AE3033" w:sz="6" w:space="4"/>
        </w:pBdr>
        <w:spacing w:before="320" w:after="140"/>
        <w:jc w:val="both"/>
      </w:pPr>
      <w:r>
        <w:rPr>
          <w:rFonts w:ascii="Calibri" w:hAnsi="Calibri" w:eastAsia="Calibri" w:cs="Calibri"/>
          <w:b/>
          <w:bCs/>
          <w:color w:val="AE3033"/>
          <w:sz w:val="24"/>
          <w:szCs w:val="24"/>
        </w:rPr>
        <w:t>EQUAL OPPORTUNITY</w:t>
      </w:r>
    </w:p>
    <w:p w14:paraId="5CE943BC">
      <w:pPr>
        <w:spacing w:after="160" w:line="276" w:lineRule="auto"/>
        <w:jc w:val="both"/>
      </w:pPr>
      <w:r>
        <w:rPr>
          <w:rFonts w:ascii="Calibri" w:hAnsi="Calibri" w:eastAsia="Calibri" w:cs="Calibri"/>
          <w:color w:val="363435"/>
          <w:sz w:val="21"/>
          <w:szCs w:val="21"/>
        </w:rPr>
        <w:t>Grow With Educ8Africa is an equal opportunity organization. All qualified applicants are considered without regard to gender, ethnicity, religion, disability, or any status unrelated to job performance.</w:t>
      </w:r>
    </w:p>
    <w:p w14:paraId="5A92CEC1">
      <w:pPr>
        <w:pStyle w:val="2"/>
        <w:pBdr>
          <w:bottom w:val="single" w:color="AE3033" w:sz="6" w:space="4"/>
        </w:pBdr>
        <w:spacing w:before="320" w:after="140"/>
        <w:jc w:val="both"/>
      </w:pPr>
      <w:r>
        <w:rPr>
          <w:rFonts w:ascii="Calibri" w:hAnsi="Calibri" w:eastAsia="Calibri" w:cs="Calibri"/>
          <w:b/>
          <w:bCs/>
          <w:color w:val="AE3033"/>
          <w:sz w:val="24"/>
          <w:szCs w:val="24"/>
        </w:rPr>
        <w:t>HOW TO APPLY</w:t>
      </w:r>
    </w:p>
    <w:p w14:paraId="1DC4ED20">
      <w:pPr>
        <w:spacing w:after="100"/>
        <w:jc w:val="both"/>
      </w:pPr>
      <w:r>
        <w:rPr>
          <w:rFonts w:ascii="Calibri" w:hAnsi="Calibri" w:eastAsia="Calibri" w:cs="Calibri"/>
          <w:b/>
          <w:bCs/>
          <w:color w:val="363435"/>
          <w:sz w:val="21"/>
          <w:szCs w:val="21"/>
        </w:rPr>
        <w:t xml:space="preserve">Application: </w:t>
      </w:r>
      <w:r>
        <w:rPr>
          <w:rFonts w:ascii="Calibri" w:hAnsi="Calibri" w:eastAsia="Calibri" w:cs="Calibri"/>
          <w:color w:val="363435"/>
          <w:sz w:val="21"/>
          <w:szCs w:val="21"/>
        </w:rPr>
        <w:t>Rolling Basis – First Come, First Served</w:t>
      </w:r>
    </w:p>
    <w:p w14:paraId="3A37B94B">
      <w:pPr>
        <w:spacing w:after="160" w:line="276" w:lineRule="auto"/>
        <w:jc w:val="both"/>
      </w:pPr>
      <w:r>
        <w:rPr>
          <w:rFonts w:ascii="Calibri" w:hAnsi="Calibri" w:eastAsia="Calibri" w:cs="Calibri"/>
          <w:color w:val="363435"/>
          <w:sz w:val="21"/>
          <w:szCs w:val="21"/>
        </w:rPr>
        <w:t>Send your CV and a one-page cover letter to careers@educ8africa.com.</w:t>
      </w:r>
    </w:p>
    <w:p w14:paraId="300F8AA5">
      <w:pPr>
        <w:spacing w:after="160"/>
        <w:jc w:val="both"/>
      </w:pPr>
      <w:r>
        <w:rPr>
          <w:rFonts w:ascii="Calibri" w:hAnsi="Calibri" w:eastAsia="Calibri" w:cs="Calibri"/>
          <w:b/>
          <w:bCs/>
          <w:color w:val="363435"/>
          <w:sz w:val="21"/>
          <w:szCs w:val="21"/>
        </w:rPr>
        <w:t xml:space="preserve">Subject Line: </w:t>
      </w:r>
      <w:r>
        <w:rPr>
          <w:rFonts w:ascii="Calibri" w:hAnsi="Calibri" w:eastAsia="Calibri" w:cs="Calibri"/>
          <w:color w:val="363435"/>
          <w:sz w:val="21"/>
          <w:szCs w:val="21"/>
        </w:rPr>
        <w:t>Application – Lead, Outreach and Campus Engagement (National Service Personnel)</w:t>
      </w:r>
    </w:p>
    <w:sectPr>
      <w:headerReference r:id="rId3" w:type="default"/>
      <w:footerReference r:id="rId4" w:type="default"/>
      <w:pgSz w:w="12240" w:h="15840"/>
      <w:pgMar w:top="1250" w:right="1080" w:bottom="100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AC50B">
    <w:pPr>
      <w:pBdr>
        <w:top w:val="single" w:color="AE3033" w:sz="6" w:space="6"/>
      </w:pBdr>
      <w:spacing w:after="40"/>
      <w:jc w:val="center"/>
    </w:pPr>
    <w:r>
      <w:rPr>
        <w:rFonts w:ascii="Calibri" w:hAnsi="Calibri" w:eastAsia="Calibri" w:cs="Calibri"/>
        <w:color w:val="363435"/>
        <w:sz w:val="15"/>
        <w:szCs w:val="15"/>
      </w:rPr>
      <w:t>Head Office, P.O. Box DM 10, Makola, Accra – Ghana  |  Tel: +233 (0) 558677477  |  Email: info@educ8africa.com  |  www.educ8africa.com</w:t>
    </w:r>
  </w:p>
  <w:p w14:paraId="2373876A">
    <w:pPr>
      <w:jc w:val="center"/>
    </w:pPr>
    <w:r>
      <w:rPr>
        <w:rFonts w:ascii="Calibri" w:hAnsi="Calibri" w:eastAsia="Calibri" w:cs="Calibri"/>
        <w:i/>
        <w:iCs/>
        <w:color w:val="6B6969"/>
        <w:sz w:val="14"/>
        <w:szCs w:val="14"/>
      </w:rPr>
      <w:t>Document Version: 2.1   |   Prepared By: Grow With Educ8Africa – People Operations   |   Approved By: Chief Executive Officer (CEO)   |   Review Cycle: Annually, or upon material change in role scope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58577">
    <w:pPr>
      <w:pBdr>
        <w:bottom w:val="single" w:color="AE3033" w:sz="12" w:space="6"/>
      </w:pBdr>
      <w:jc w:val="left"/>
    </w:pPr>
    <w:r>
      <w:drawing>
        <wp:inline distT="0" distB="0" distL="0" distR="0">
          <wp:extent cx="1809750" cy="452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rcRect/>
                  <a:stretch>
                    <a:fillRect/>
                  </a:stretch>
                </pic:blipFill>
                <pic:spPr>
                  <a:xfrm>
                    <a:off x="0" y="0"/>
                    <a:ext cx="1809750" cy="452438"/>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50" w:hanging="260"/>
      </w:pPr>
      <w:rPr>
        <w:color w:val="AE3033"/>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667011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363435"/>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363435"/>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363435"/>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363435"/>
      <w:sz w:val="56"/>
      <w:szCs w:val="56"/>
    </w:rPr>
  </w:style>
  <w:style w:type="paragraph" w:styleId="16">
    <w:name w:val="List Paragraph"/>
    <w:qFormat/>
    <w:uiPriority w:val="0"/>
    <w:rPr>
      <w:rFonts w:ascii="Calibri" w:hAnsi="Calibri" w:eastAsia="Calibri" w:cs="Calibri"/>
      <w:color w:val="363435"/>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386</Words>
  <Characters>2785</Characters>
  <TotalTime>0</TotalTime>
  <ScaleCrop>false</ScaleCrop>
  <LinksUpToDate>false</LinksUpToDate>
  <CharactersWithSpaces>3143</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2026-08-20T18:52:00Z</dcterms:created>
  <dc:creator>Un-named</dc:creator>
  <cp:lastModifiedBy>Admin</cp:lastModifiedBy>
  <dcterms:modified xsi:type="dcterms:W3CDTF">2026-08-21T12:29:28Z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eyJoZGlkIjoiZTMyZTYzNjlkYjUyMmU3MTY0NjNlNDRhOWEyMWJkNGIifQ==</vt:lpwstr>
  </property>
  <property fmtid="{D5CDD505-2E9C-101B-9397-08002B2CF9AE}" pid="3" name="KSOProductBuildVer">
    <vt:lpwstr>1033-12.1.0.25862</vt:lpwstr>
  </property>
  <property fmtid="{D5CDD505-2E9C-101B-9397-08002B2CF9AE}" pid="4" name="ICV">
    <vt:lpwstr>E130D5CBBC1B4CE39EB70A6E1832F9EB_12</vt:lpwstr>
  </property>
</Properties>
</file>