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513F8">
      <w:pPr>
        <w:spacing w:after="200"/>
        <w:jc w:val="both"/>
      </w:pPr>
      <w:r>
        <w:rPr>
          <w:rFonts w:ascii="Calibri" w:hAnsi="Calibri" w:eastAsia="Calibri" w:cs="Calibri"/>
          <w:b/>
          <w:bCs/>
          <w:color w:val="363435"/>
          <w:sz w:val="34"/>
          <w:szCs w:val="34"/>
        </w:rPr>
        <w:t>Lead, Social Media and Digital Communities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09BA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167B7AB">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7485D234">
            <w:pPr>
              <w:jc w:val="both"/>
            </w:pPr>
            <w:r>
              <w:rPr>
                <w:rFonts w:ascii="Calibri" w:hAnsi="Calibri" w:eastAsia="Calibri" w:cs="Calibri"/>
                <w:color w:val="363435"/>
                <w:sz w:val="20"/>
                <w:szCs w:val="20"/>
              </w:rPr>
              <w:t>Lead, Social Media and Digital Communities (National Service Personnel)</w:t>
            </w:r>
          </w:p>
        </w:tc>
      </w:tr>
      <w:tr w14:paraId="7B87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7C54AC35">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4F583833">
            <w:pPr>
              <w:jc w:val="both"/>
            </w:pPr>
            <w:r>
              <w:rPr>
                <w:rFonts w:ascii="Calibri" w:hAnsi="Calibri" w:eastAsia="Calibri" w:cs="Calibri"/>
                <w:color w:val="363435"/>
                <w:sz w:val="20"/>
                <w:szCs w:val="20"/>
              </w:rPr>
              <w:t>Brand, Media and Communications</w:t>
            </w:r>
          </w:p>
        </w:tc>
      </w:tr>
      <w:tr w14:paraId="056B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86700DA">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031A5EDD">
            <w:pPr>
              <w:jc w:val="both"/>
            </w:pPr>
            <w:r>
              <w:rPr>
                <w:rFonts w:ascii="Calibri" w:hAnsi="Calibri" w:eastAsia="Calibri" w:cs="Calibri"/>
                <w:color w:val="363435"/>
                <w:sz w:val="20"/>
                <w:szCs w:val="20"/>
              </w:rPr>
              <w:t>Chief Executive Officer (CEO)</w:t>
            </w:r>
          </w:p>
        </w:tc>
      </w:tr>
      <w:tr w14:paraId="4547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B20B5E0">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1557D430">
            <w:pPr>
              <w:jc w:val="both"/>
            </w:pPr>
            <w:r>
              <w:rPr>
                <w:rFonts w:ascii="Calibri" w:hAnsi="Calibri" w:eastAsia="Calibri" w:cs="Calibri"/>
                <w:color w:val="363435"/>
                <w:sz w:val="20"/>
                <w:szCs w:val="20"/>
              </w:rPr>
              <w:t>Hybrid (Mostly Remote)</w:t>
            </w:r>
          </w:p>
        </w:tc>
      </w:tr>
      <w:tr w14:paraId="5E9D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CF0D99E">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733C826C">
            <w:pPr>
              <w:jc w:val="both"/>
            </w:pPr>
            <w:r>
              <w:rPr>
                <w:rFonts w:ascii="Calibri" w:hAnsi="Calibri" w:eastAsia="Calibri" w:cs="Calibri"/>
                <w:color w:val="363435"/>
                <w:sz w:val="20"/>
                <w:szCs w:val="20"/>
              </w:rPr>
              <w:t>Full-Time (National Service Posting)</w:t>
            </w:r>
          </w:p>
        </w:tc>
      </w:tr>
      <w:tr w14:paraId="6CDA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B2D2B2D">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68C88348">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13722186">
      <w:pPr>
        <w:spacing w:after="120"/>
        <w:jc w:val="both"/>
      </w:pPr>
    </w:p>
    <w:p w14:paraId="13BAE842">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097C6D31">
      <w:pPr>
        <w:spacing w:after="160" w:line="276" w:lineRule="auto"/>
        <w:jc w:val="both"/>
      </w:pPr>
      <w:r>
        <w:rPr>
          <w:rFonts w:ascii="Calibri" w:hAnsi="Calibri" w:eastAsia="Calibri" w:cs="Calibri"/>
          <w:color w:val="363435"/>
          <w:sz w:val="21"/>
          <w:szCs w:val="21"/>
        </w:rPr>
        <w:t>Grow With Educ8Africa is the Corporate Social Responsibility (CSR) arm of Educ8A</w:t>
      </w:r>
      <w:bookmarkStart w:id="0" w:name="_GoBack"/>
      <w:bookmarkEnd w:id="0"/>
      <w:r>
        <w:rPr>
          <w:rFonts w:ascii="Calibri" w:hAnsi="Calibri" w:eastAsia="Calibri" w:cs="Calibri"/>
          <w:color w:val="363435"/>
          <w:sz w:val="21"/>
          <w:szCs w:val="21"/>
        </w:rPr>
        <w:t>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6C60BB3B">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6B3FBE26">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translate Grow With Educ8Africa’s priorities into audience-led digital communication that builds visibility, trust, and participation across its social and digital communities.</w:t>
      </w:r>
    </w:p>
    <w:p w14:paraId="03E50B60">
      <w:pPr>
        <w:spacing w:after="160" w:line="276" w:lineRule="auto"/>
        <w:jc w:val="both"/>
      </w:pPr>
      <w:r>
        <w:rPr>
          <w:rFonts w:ascii="Calibri" w:hAnsi="Calibri" w:eastAsia="Calibri" w:cs="Calibri"/>
          <w:color w:val="363435"/>
          <w:sz w:val="21"/>
          <w:szCs w:val="21"/>
        </w:rPr>
        <w:t>The Lead, Social Media and Digital Communities owns the day-to-day social media and digital community function at Grow With Educ8Africa. The role is responsible for social strategy, audience and channel management, content planning and copywriting, community experience, social listening, campaign execution, and performance analysis.</w:t>
      </w:r>
    </w:p>
    <w:p w14:paraId="06F9CA71">
      <w:pPr>
        <w:spacing w:after="160" w:line="276" w:lineRule="auto"/>
        <w:jc w:val="both"/>
      </w:pPr>
      <w:r>
        <w:rPr>
          <w:rFonts w:ascii="Calibri" w:hAnsi="Calibri" w:eastAsia="Calibri" w:cs="Calibri"/>
          <w:color w:val="363435"/>
          <w:sz w:val="21"/>
          <w:szCs w:val="21"/>
        </w:rPr>
        <w:t>This role combines hands-on social-media execution with developmental leadership and cross-functional coordination. It works closely with the Creative Multimedia Lead and other organizational Leads to ensure that content, campaigns, and community activity are aligned with organizational priorities. The role does not replace specialist creative, technical-content, programme, or partnership functions.</w:t>
      </w:r>
    </w:p>
    <w:p w14:paraId="046F9D7D">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24A4D232">
      <w:pPr>
        <w:spacing w:before="200" w:after="70"/>
        <w:jc w:val="both"/>
      </w:pPr>
      <w:r>
        <w:rPr>
          <w:rFonts w:ascii="Calibri" w:hAnsi="Calibri" w:eastAsia="Calibri" w:cs="Calibri"/>
          <w:b/>
          <w:bCs/>
          <w:color w:val="AE3033"/>
          <w:sz w:val="21"/>
          <w:szCs w:val="21"/>
        </w:rPr>
        <w:t>Social Media Strategy, Audience &amp; Channel Management</w:t>
      </w:r>
    </w:p>
    <w:p w14:paraId="0546522C">
      <w:pPr>
        <w:pStyle w:val="16"/>
        <w:numPr>
          <w:ilvl w:val="0"/>
          <w:numId w:val="1"/>
        </w:numPr>
        <w:spacing w:after="90" w:line="264" w:lineRule="auto"/>
        <w:jc w:val="both"/>
      </w:pPr>
      <w:r>
        <w:rPr>
          <w:rFonts w:ascii="Calibri" w:hAnsi="Calibri" w:eastAsia="Calibri" w:cs="Calibri"/>
          <w:color w:val="363435"/>
          <w:sz w:val="21"/>
          <w:szCs w:val="21"/>
        </w:rPr>
        <w:t>Translate organizational priorities, programmes, campaigns, and impact stories into practical social-media strategies and channel plans.</w:t>
      </w:r>
    </w:p>
    <w:p w14:paraId="450F515B">
      <w:pPr>
        <w:pStyle w:val="16"/>
        <w:numPr>
          <w:ilvl w:val="0"/>
          <w:numId w:val="1"/>
        </w:numPr>
        <w:spacing w:after="90" w:line="264" w:lineRule="auto"/>
        <w:jc w:val="both"/>
      </w:pPr>
      <w:r>
        <w:rPr>
          <w:rFonts w:ascii="Calibri" w:hAnsi="Calibri" w:eastAsia="Calibri" w:cs="Calibri"/>
          <w:color w:val="363435"/>
          <w:sz w:val="21"/>
          <w:szCs w:val="21"/>
        </w:rPr>
        <w:t>Develop platform-specific approaches for LinkedIn, Instagram, Facebook, TikTok, X, WhatsApp, and other approved digital channels.</w:t>
      </w:r>
    </w:p>
    <w:p w14:paraId="54FB1E73">
      <w:pPr>
        <w:pStyle w:val="16"/>
        <w:numPr>
          <w:ilvl w:val="0"/>
          <w:numId w:val="1"/>
        </w:numPr>
        <w:spacing w:after="90" w:line="264" w:lineRule="auto"/>
        <w:jc w:val="both"/>
      </w:pPr>
      <w:r>
        <w:rPr>
          <w:rFonts w:ascii="Calibri" w:hAnsi="Calibri" w:eastAsia="Calibri" w:cs="Calibri"/>
          <w:color w:val="363435"/>
          <w:sz w:val="21"/>
          <w:szCs w:val="21"/>
        </w:rPr>
        <w:t>Maintain the social-media content calendar and coordinate publishing, distribution, and campaign sequencing across approved channels.</w:t>
      </w:r>
    </w:p>
    <w:p w14:paraId="6A802F78">
      <w:pPr>
        <w:pStyle w:val="16"/>
        <w:numPr>
          <w:ilvl w:val="0"/>
          <w:numId w:val="1"/>
        </w:numPr>
        <w:spacing w:after="90" w:line="264" w:lineRule="auto"/>
        <w:jc w:val="both"/>
      </w:pPr>
      <w:r>
        <w:rPr>
          <w:rFonts w:ascii="Calibri" w:hAnsi="Calibri" w:eastAsia="Calibri" w:cs="Calibri"/>
          <w:color w:val="363435"/>
          <w:sz w:val="21"/>
          <w:szCs w:val="21"/>
        </w:rPr>
        <w:t>Monitor platform changes, emerging formats, and audience behaviour to identify opportunities for timely content and engagement.</w:t>
      </w:r>
    </w:p>
    <w:p w14:paraId="6B76870F">
      <w:pPr>
        <w:spacing w:before="200" w:after="70"/>
        <w:jc w:val="both"/>
      </w:pPr>
      <w:r>
        <w:rPr>
          <w:rFonts w:ascii="Calibri" w:hAnsi="Calibri" w:eastAsia="Calibri" w:cs="Calibri"/>
          <w:b/>
          <w:bCs/>
          <w:color w:val="AE3033"/>
          <w:sz w:val="21"/>
          <w:szCs w:val="21"/>
        </w:rPr>
        <w:t>Content Strategy, Copywriting &amp; Editorial Quality</w:t>
      </w:r>
    </w:p>
    <w:p w14:paraId="22556834">
      <w:pPr>
        <w:pStyle w:val="16"/>
        <w:numPr>
          <w:ilvl w:val="0"/>
          <w:numId w:val="1"/>
        </w:numPr>
        <w:spacing w:after="90" w:line="264" w:lineRule="auto"/>
        <w:jc w:val="both"/>
      </w:pPr>
      <w:r>
        <w:rPr>
          <w:rFonts w:ascii="Calibri" w:hAnsi="Calibri" w:eastAsia="Calibri" w:cs="Calibri"/>
          <w:color w:val="363435"/>
          <w:sz w:val="21"/>
          <w:szCs w:val="21"/>
        </w:rPr>
        <w:t>Develop and maintain content pillars, messaging themes, and calls to action aligned with organizational priorities.</w:t>
      </w:r>
    </w:p>
    <w:p w14:paraId="28322950">
      <w:pPr>
        <w:pStyle w:val="16"/>
        <w:numPr>
          <w:ilvl w:val="0"/>
          <w:numId w:val="1"/>
        </w:numPr>
        <w:spacing w:after="90" w:line="264" w:lineRule="auto"/>
        <w:jc w:val="both"/>
      </w:pPr>
      <w:r>
        <w:rPr>
          <w:rFonts w:ascii="Calibri" w:hAnsi="Calibri" w:eastAsia="Calibri" w:cs="Calibri"/>
          <w:color w:val="363435"/>
          <w:sz w:val="21"/>
          <w:szCs w:val="21"/>
        </w:rPr>
        <w:t>Write and edit platform-appropriate captions, posts, articles, announcements, testimonials, and campaign copy.</w:t>
      </w:r>
    </w:p>
    <w:p w14:paraId="381750BD">
      <w:pPr>
        <w:pStyle w:val="16"/>
        <w:numPr>
          <w:ilvl w:val="0"/>
          <w:numId w:val="1"/>
        </w:numPr>
        <w:spacing w:after="90" w:line="264" w:lineRule="auto"/>
        <w:jc w:val="both"/>
      </w:pPr>
      <w:r>
        <w:rPr>
          <w:rFonts w:ascii="Calibri" w:hAnsi="Calibri" w:eastAsia="Calibri" w:cs="Calibri"/>
          <w:color w:val="363435"/>
          <w:sz w:val="21"/>
          <w:szCs w:val="21"/>
        </w:rPr>
        <w:t>Translate cybersecurity, technology, career, and workforce-development topics into clear, accurate, engaging communication for technical and non-technical audiences.</w:t>
      </w:r>
    </w:p>
    <w:p w14:paraId="6B1A721E">
      <w:pPr>
        <w:pStyle w:val="16"/>
        <w:numPr>
          <w:ilvl w:val="0"/>
          <w:numId w:val="1"/>
        </w:numPr>
        <w:spacing w:after="90" w:line="264" w:lineRule="auto"/>
        <w:jc w:val="both"/>
      </w:pPr>
      <w:r>
        <w:rPr>
          <w:rFonts w:ascii="Calibri" w:hAnsi="Calibri" w:eastAsia="Calibri" w:cs="Calibri"/>
          <w:color w:val="363435"/>
          <w:sz w:val="21"/>
          <w:szCs w:val="21"/>
        </w:rPr>
        <w:t>Brief and collaborate with the Creative Multimedia Lead on graphics, motion, video, and photography without duplicating specialist production responsibilities.</w:t>
      </w:r>
    </w:p>
    <w:p w14:paraId="240ABCA2">
      <w:pPr>
        <w:pStyle w:val="16"/>
        <w:numPr>
          <w:ilvl w:val="0"/>
          <w:numId w:val="1"/>
        </w:numPr>
        <w:spacing w:after="90" w:line="264" w:lineRule="auto"/>
        <w:jc w:val="both"/>
      </w:pPr>
      <w:r>
        <w:rPr>
          <w:rFonts w:ascii="Calibri" w:hAnsi="Calibri" w:eastAsia="Calibri" w:cs="Calibri"/>
          <w:color w:val="363435"/>
          <w:sz w:val="21"/>
          <w:szCs w:val="21"/>
        </w:rPr>
        <w:t>Review content produced by interns, volunteers, and ambassadors for accuracy, clarity, tone, and brand alignment.</w:t>
      </w:r>
    </w:p>
    <w:p w14:paraId="532C34D2">
      <w:pPr>
        <w:spacing w:before="200" w:after="70"/>
        <w:jc w:val="both"/>
      </w:pPr>
      <w:r>
        <w:rPr>
          <w:rFonts w:ascii="Calibri" w:hAnsi="Calibri" w:eastAsia="Calibri" w:cs="Calibri"/>
          <w:b/>
          <w:bCs/>
          <w:color w:val="AE3033"/>
          <w:sz w:val="21"/>
          <w:szCs w:val="21"/>
        </w:rPr>
        <w:t>Digital Community Management &amp; Member Experience</w:t>
      </w:r>
    </w:p>
    <w:p w14:paraId="41C0F1C7">
      <w:pPr>
        <w:pStyle w:val="16"/>
        <w:numPr>
          <w:ilvl w:val="0"/>
          <w:numId w:val="1"/>
        </w:numPr>
        <w:spacing w:after="90" w:line="264" w:lineRule="auto"/>
        <w:jc w:val="both"/>
      </w:pPr>
      <w:r>
        <w:rPr>
          <w:rFonts w:ascii="Calibri" w:hAnsi="Calibri" w:eastAsia="Calibri" w:cs="Calibri"/>
          <w:color w:val="363435"/>
          <w:sz w:val="21"/>
          <w:szCs w:val="21"/>
        </w:rPr>
        <w:t>Manage day-to-day interactions across approved digital communities, including comments, direct messages, and WhatsApp communities.</w:t>
      </w:r>
    </w:p>
    <w:p w14:paraId="7AE80983">
      <w:pPr>
        <w:pStyle w:val="16"/>
        <w:numPr>
          <w:ilvl w:val="0"/>
          <w:numId w:val="1"/>
        </w:numPr>
        <w:spacing w:after="90" w:line="264" w:lineRule="auto"/>
        <w:jc w:val="both"/>
      </w:pPr>
      <w:r>
        <w:rPr>
          <w:rFonts w:ascii="Calibri" w:hAnsi="Calibri" w:eastAsia="Calibri" w:cs="Calibri"/>
          <w:color w:val="363435"/>
          <w:sz w:val="21"/>
          <w:szCs w:val="21"/>
        </w:rPr>
        <w:t>Create opportunities for meaningful participation through discussions, polls, Q&amp;As, and live sessions.</w:t>
      </w:r>
    </w:p>
    <w:p w14:paraId="400CCFF7">
      <w:pPr>
        <w:pStyle w:val="16"/>
        <w:numPr>
          <w:ilvl w:val="0"/>
          <w:numId w:val="1"/>
        </w:numPr>
        <w:spacing w:after="90" w:line="264" w:lineRule="auto"/>
        <w:jc w:val="both"/>
      </w:pPr>
      <w:r>
        <w:rPr>
          <w:rFonts w:ascii="Calibri" w:hAnsi="Calibri" w:eastAsia="Calibri" w:cs="Calibri"/>
          <w:color w:val="363435"/>
          <w:sz w:val="21"/>
          <w:szCs w:val="21"/>
        </w:rPr>
        <w:t>Support the recruitment, activation, and engagement of campus ambassadors and other community contributors.</w:t>
      </w:r>
    </w:p>
    <w:p w14:paraId="2A867664">
      <w:pPr>
        <w:pStyle w:val="16"/>
        <w:numPr>
          <w:ilvl w:val="0"/>
          <w:numId w:val="1"/>
        </w:numPr>
        <w:spacing w:after="90" w:line="264" w:lineRule="auto"/>
        <w:jc w:val="both"/>
      </w:pPr>
      <w:r>
        <w:rPr>
          <w:rFonts w:ascii="Calibri" w:hAnsi="Calibri" w:eastAsia="Calibri" w:cs="Calibri"/>
          <w:color w:val="363435"/>
          <w:sz w:val="21"/>
          <w:szCs w:val="21"/>
        </w:rPr>
        <w:t>Maintain appropriate community standards, moderation practices, and escalation procedures.</w:t>
      </w:r>
    </w:p>
    <w:p w14:paraId="15F3A729">
      <w:pPr>
        <w:spacing w:before="200" w:after="70"/>
        <w:jc w:val="both"/>
      </w:pPr>
      <w:r>
        <w:rPr>
          <w:rFonts w:ascii="Calibri" w:hAnsi="Calibri" w:eastAsia="Calibri" w:cs="Calibri"/>
          <w:b/>
          <w:bCs/>
          <w:color w:val="AE3033"/>
          <w:sz w:val="21"/>
          <w:szCs w:val="21"/>
        </w:rPr>
        <w:t>Social Listening, Reputation &amp; Issues Management</w:t>
      </w:r>
    </w:p>
    <w:p w14:paraId="0856AFE4">
      <w:pPr>
        <w:pStyle w:val="16"/>
        <w:numPr>
          <w:ilvl w:val="0"/>
          <w:numId w:val="1"/>
        </w:numPr>
        <w:spacing w:after="90" w:line="264" w:lineRule="auto"/>
        <w:jc w:val="both"/>
      </w:pPr>
      <w:r>
        <w:rPr>
          <w:rFonts w:ascii="Calibri" w:hAnsi="Calibri" w:eastAsia="Calibri" w:cs="Calibri"/>
          <w:color w:val="363435"/>
          <w:sz w:val="21"/>
          <w:szCs w:val="21"/>
        </w:rPr>
        <w:t>Monitor relevant conversations, mentions, audience sentiment, and emerging issues affecting the organization or its communities.</w:t>
      </w:r>
    </w:p>
    <w:p w14:paraId="190C957F">
      <w:pPr>
        <w:pStyle w:val="16"/>
        <w:numPr>
          <w:ilvl w:val="0"/>
          <w:numId w:val="1"/>
        </w:numPr>
        <w:spacing w:after="90" w:line="264" w:lineRule="auto"/>
        <w:jc w:val="both"/>
      </w:pPr>
      <w:r>
        <w:rPr>
          <w:rFonts w:ascii="Calibri" w:hAnsi="Calibri" w:eastAsia="Calibri" w:cs="Calibri"/>
          <w:color w:val="363435"/>
          <w:sz w:val="21"/>
          <w:szCs w:val="21"/>
        </w:rPr>
        <w:t>Respond to routine questions and interactions professionally and within approved communication guidelines.</w:t>
      </w:r>
    </w:p>
    <w:p w14:paraId="5D85DD73">
      <w:pPr>
        <w:pStyle w:val="16"/>
        <w:numPr>
          <w:ilvl w:val="0"/>
          <w:numId w:val="1"/>
        </w:numPr>
        <w:spacing w:after="90" w:line="264" w:lineRule="auto"/>
        <w:jc w:val="both"/>
      </w:pPr>
      <w:r>
        <w:rPr>
          <w:rFonts w:ascii="Calibri" w:hAnsi="Calibri" w:eastAsia="Calibri" w:cs="Calibri"/>
          <w:color w:val="363435"/>
          <w:sz w:val="21"/>
          <w:szCs w:val="21"/>
        </w:rPr>
        <w:t>Escalate complaints, sensitive student matters, safeguarding concerns, or high-risk public conversations through the appropriate internal channels.</w:t>
      </w:r>
    </w:p>
    <w:p w14:paraId="45A80339">
      <w:pPr>
        <w:pStyle w:val="16"/>
        <w:numPr>
          <w:ilvl w:val="0"/>
          <w:numId w:val="1"/>
        </w:numPr>
        <w:spacing w:after="90" w:line="264" w:lineRule="auto"/>
        <w:jc w:val="both"/>
      </w:pPr>
      <w:r>
        <w:rPr>
          <w:rFonts w:ascii="Calibri" w:hAnsi="Calibri" w:eastAsia="Calibri" w:cs="Calibri"/>
          <w:color w:val="363435"/>
          <w:sz w:val="21"/>
          <w:szCs w:val="21"/>
        </w:rPr>
        <w:t>Do not independently issue statements or commitments on sensitive matters unless expressly authorized.</w:t>
      </w:r>
    </w:p>
    <w:p w14:paraId="160054FD">
      <w:pPr>
        <w:spacing w:before="200" w:after="70"/>
        <w:jc w:val="both"/>
      </w:pPr>
      <w:r>
        <w:rPr>
          <w:rFonts w:ascii="Calibri" w:hAnsi="Calibri" w:eastAsia="Calibri" w:cs="Calibri"/>
          <w:b/>
          <w:bCs/>
          <w:color w:val="AE3033"/>
          <w:sz w:val="21"/>
          <w:szCs w:val="21"/>
        </w:rPr>
        <w:t>Campaigns, Conversion &amp; Digital Growth</w:t>
      </w:r>
    </w:p>
    <w:p w14:paraId="5075C0E8">
      <w:pPr>
        <w:pStyle w:val="16"/>
        <w:numPr>
          <w:ilvl w:val="0"/>
          <w:numId w:val="1"/>
        </w:numPr>
        <w:spacing w:after="90" w:line="264" w:lineRule="auto"/>
        <w:jc w:val="both"/>
      </w:pPr>
      <w:r>
        <w:rPr>
          <w:rFonts w:ascii="Calibri" w:hAnsi="Calibri" w:eastAsia="Calibri" w:cs="Calibri"/>
          <w:color w:val="363435"/>
          <w:sz w:val="21"/>
          <w:szCs w:val="21"/>
        </w:rPr>
        <w:t>Support integrated campaigns for scholarships, programmes, events, and community initiatives.</w:t>
      </w:r>
    </w:p>
    <w:p w14:paraId="4EBEACA1">
      <w:pPr>
        <w:pStyle w:val="16"/>
        <w:numPr>
          <w:ilvl w:val="0"/>
          <w:numId w:val="1"/>
        </w:numPr>
        <w:spacing w:after="90" w:line="264" w:lineRule="auto"/>
        <w:jc w:val="both"/>
      </w:pPr>
      <w:r>
        <w:rPr>
          <w:rFonts w:ascii="Calibri" w:hAnsi="Calibri" w:eastAsia="Calibri" w:cs="Calibri"/>
          <w:color w:val="363435"/>
          <w:sz w:val="21"/>
          <w:szCs w:val="21"/>
        </w:rPr>
        <w:t>Design social content and calls to action around the intended audience journey, from awareness through registration and advocacy.</w:t>
      </w:r>
    </w:p>
    <w:p w14:paraId="2A9E5DC0">
      <w:pPr>
        <w:pStyle w:val="16"/>
        <w:numPr>
          <w:ilvl w:val="0"/>
          <w:numId w:val="1"/>
        </w:numPr>
        <w:spacing w:after="90" w:line="264" w:lineRule="auto"/>
        <w:jc w:val="both"/>
      </w:pPr>
      <w:r>
        <w:rPr>
          <w:rFonts w:ascii="Calibri" w:hAnsi="Calibri" w:eastAsia="Calibri" w:cs="Calibri"/>
          <w:color w:val="363435"/>
          <w:sz w:val="21"/>
          <w:szCs w:val="21"/>
        </w:rPr>
        <w:t>Coordinate with the Outreach, Programmes, and Partnerships Leads to ensure social campaigns accurately support programme objectives.</w:t>
      </w:r>
    </w:p>
    <w:p w14:paraId="22851A02">
      <w:pPr>
        <w:pStyle w:val="16"/>
        <w:numPr>
          <w:ilvl w:val="0"/>
          <w:numId w:val="1"/>
        </w:numPr>
        <w:spacing w:after="90" w:line="264" w:lineRule="auto"/>
        <w:jc w:val="both"/>
      </w:pPr>
      <w:r>
        <w:rPr>
          <w:rFonts w:ascii="Calibri" w:hAnsi="Calibri" w:eastAsia="Calibri" w:cs="Calibri"/>
          <w:color w:val="363435"/>
          <w:sz w:val="21"/>
          <w:szCs w:val="21"/>
        </w:rPr>
        <w:t>Identify opportunities for student, alumni, ambassador, and user-generated content that can extend reach and credibility.</w:t>
      </w:r>
    </w:p>
    <w:p w14:paraId="78B2D918">
      <w:pPr>
        <w:spacing w:before="200" w:after="70"/>
        <w:jc w:val="both"/>
      </w:pPr>
      <w:r>
        <w:rPr>
          <w:rFonts w:ascii="Calibri" w:hAnsi="Calibri" w:eastAsia="Calibri" w:cs="Calibri"/>
          <w:b/>
          <w:bCs/>
          <w:color w:val="AE3033"/>
          <w:sz w:val="21"/>
          <w:szCs w:val="21"/>
        </w:rPr>
        <w:t>Analytics, Insights &amp; Continuous Optimization</w:t>
      </w:r>
    </w:p>
    <w:p w14:paraId="168817BF">
      <w:pPr>
        <w:pStyle w:val="16"/>
        <w:numPr>
          <w:ilvl w:val="0"/>
          <w:numId w:val="1"/>
        </w:numPr>
        <w:spacing w:after="90" w:line="264" w:lineRule="auto"/>
        <w:jc w:val="both"/>
      </w:pPr>
      <w:r>
        <w:rPr>
          <w:rFonts w:ascii="Calibri" w:hAnsi="Calibri" w:eastAsia="Calibri" w:cs="Calibri"/>
          <w:color w:val="363435"/>
          <w:sz w:val="21"/>
          <w:szCs w:val="21"/>
        </w:rPr>
        <w:t>Use platform analytics and community information to understand content and audience performance.</w:t>
      </w:r>
    </w:p>
    <w:p w14:paraId="77CD9B4A">
      <w:pPr>
        <w:pStyle w:val="16"/>
        <w:numPr>
          <w:ilvl w:val="0"/>
          <w:numId w:val="1"/>
        </w:numPr>
        <w:spacing w:after="90" w:line="264" w:lineRule="auto"/>
        <w:jc w:val="both"/>
      </w:pPr>
      <w:r>
        <w:rPr>
          <w:rFonts w:ascii="Calibri" w:hAnsi="Calibri" w:eastAsia="Calibri" w:cs="Calibri"/>
          <w:color w:val="363435"/>
          <w:sz w:val="21"/>
          <w:szCs w:val="21"/>
        </w:rPr>
        <w:t>Distinguish meaningful performance indicators from vanity metrics and interpret results against campaign objectives.</w:t>
      </w:r>
    </w:p>
    <w:p w14:paraId="6157EA0F">
      <w:pPr>
        <w:pStyle w:val="16"/>
        <w:numPr>
          <w:ilvl w:val="0"/>
          <w:numId w:val="1"/>
        </w:numPr>
        <w:spacing w:after="90" w:line="264" w:lineRule="auto"/>
        <w:jc w:val="both"/>
      </w:pPr>
      <w:r>
        <w:rPr>
          <w:rFonts w:ascii="Calibri" w:hAnsi="Calibri" w:eastAsia="Calibri" w:cs="Calibri"/>
          <w:color w:val="363435"/>
          <w:sz w:val="21"/>
          <w:szCs w:val="21"/>
        </w:rPr>
        <w:t>Translate data into practical recommendations for content, channel selection, and campaign optimization.</w:t>
      </w:r>
    </w:p>
    <w:p w14:paraId="16AEBAE1">
      <w:pPr>
        <w:pStyle w:val="16"/>
        <w:numPr>
          <w:ilvl w:val="0"/>
          <w:numId w:val="1"/>
        </w:numPr>
        <w:spacing w:after="90" w:line="264" w:lineRule="auto"/>
        <w:jc w:val="both"/>
      </w:pPr>
      <w:r>
        <w:rPr>
          <w:rFonts w:ascii="Calibri" w:hAnsi="Calibri" w:eastAsia="Calibri" w:cs="Calibri"/>
          <w:color w:val="363435"/>
          <w:sz w:val="21"/>
          <w:szCs w:val="21"/>
        </w:rPr>
        <w:t>Maintain accurate social-media reporting records and present concise insights to the CEO and relevant Leads.</w:t>
      </w:r>
    </w:p>
    <w:p w14:paraId="2D33E6D0">
      <w:pPr>
        <w:spacing w:before="200" w:after="70"/>
        <w:jc w:val="both"/>
      </w:pPr>
      <w:r>
        <w:rPr>
          <w:rFonts w:ascii="Calibri" w:hAnsi="Calibri" w:eastAsia="Calibri" w:cs="Calibri"/>
          <w:b/>
          <w:bCs/>
          <w:color w:val="AE3033"/>
          <w:sz w:val="21"/>
          <w:szCs w:val="21"/>
        </w:rPr>
        <w:t>Team Coordination &amp; Cross-Functional Execution</w:t>
      </w:r>
    </w:p>
    <w:p w14:paraId="684A04B9">
      <w:pPr>
        <w:pStyle w:val="16"/>
        <w:numPr>
          <w:ilvl w:val="0"/>
          <w:numId w:val="1"/>
        </w:numPr>
        <w:spacing w:after="90" w:line="264" w:lineRule="auto"/>
        <w:jc w:val="both"/>
      </w:pPr>
      <w:r>
        <w:rPr>
          <w:rFonts w:ascii="Calibri" w:hAnsi="Calibri" w:eastAsia="Calibri" w:cs="Calibri"/>
          <w:color w:val="363435"/>
          <w:sz w:val="21"/>
          <w:szCs w:val="21"/>
        </w:rPr>
        <w:t>Coordinate interns, volunteers, ambassadors, and contributors supporting social media and digital community activities.</w:t>
      </w:r>
    </w:p>
    <w:p w14:paraId="0A5B252D">
      <w:pPr>
        <w:pStyle w:val="16"/>
        <w:numPr>
          <w:ilvl w:val="0"/>
          <w:numId w:val="1"/>
        </w:numPr>
        <w:spacing w:after="90" w:line="264" w:lineRule="auto"/>
        <w:jc w:val="both"/>
      </w:pPr>
      <w:r>
        <w:rPr>
          <w:rFonts w:ascii="Calibri" w:hAnsi="Calibri" w:eastAsia="Calibri" w:cs="Calibri"/>
          <w:color w:val="363435"/>
          <w:sz w:val="21"/>
          <w:szCs w:val="21"/>
        </w:rPr>
        <w:t>Set clear briefs, deadlines, and quality expectations for assigned contributors.</w:t>
      </w:r>
    </w:p>
    <w:p w14:paraId="6AEEE74E">
      <w:pPr>
        <w:pStyle w:val="16"/>
        <w:numPr>
          <w:ilvl w:val="0"/>
          <w:numId w:val="1"/>
        </w:numPr>
        <w:spacing w:after="90" w:line="264" w:lineRule="auto"/>
        <w:jc w:val="both"/>
      </w:pPr>
      <w:r>
        <w:rPr>
          <w:rFonts w:ascii="Calibri" w:hAnsi="Calibri" w:eastAsia="Calibri" w:cs="Calibri"/>
          <w:color w:val="363435"/>
          <w:sz w:val="21"/>
          <w:szCs w:val="21"/>
        </w:rPr>
        <w:t>Work closely with the Creative Multimedia Lead to align messaging, campaign objectives, and delivery timelines.</w:t>
      </w:r>
    </w:p>
    <w:p w14:paraId="4509CF66">
      <w:pPr>
        <w:pStyle w:val="16"/>
        <w:numPr>
          <w:ilvl w:val="0"/>
          <w:numId w:val="1"/>
        </w:numPr>
        <w:spacing w:after="90" w:line="264" w:lineRule="auto"/>
        <w:jc w:val="both"/>
      </w:pPr>
      <w:r>
        <w:rPr>
          <w:rFonts w:ascii="Calibri" w:hAnsi="Calibri" w:eastAsia="Calibri" w:cs="Calibri"/>
          <w:color w:val="363435"/>
          <w:sz w:val="21"/>
          <w:szCs w:val="21"/>
        </w:rPr>
        <w:t>Collaborate with the Outreach, Partnerships, and Programmes Leads and share audience intelligence and campaign learnings.</w:t>
      </w:r>
    </w:p>
    <w:p w14:paraId="13BA3BB6">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7CB25A25">
      <w:pPr>
        <w:spacing w:before="200" w:after="80"/>
        <w:jc w:val="both"/>
      </w:pPr>
      <w:r>
        <w:rPr>
          <w:rFonts w:ascii="Calibri" w:hAnsi="Calibri" w:eastAsia="Calibri" w:cs="Calibri"/>
          <w:b/>
          <w:bCs/>
          <w:i/>
          <w:iCs/>
          <w:color w:val="363435"/>
          <w:sz w:val="22"/>
          <w:szCs w:val="22"/>
        </w:rPr>
        <w:t>Educational Background</w:t>
      </w:r>
    </w:p>
    <w:p w14:paraId="10142496">
      <w:pPr>
        <w:spacing w:after="160" w:line="276" w:lineRule="auto"/>
        <w:jc w:val="both"/>
      </w:pPr>
      <w:r>
        <w:rPr>
          <w:rFonts w:ascii="Calibri" w:hAnsi="Calibri" w:eastAsia="Calibri" w:cs="Calibri"/>
          <w:color w:val="363435"/>
          <w:sz w:val="21"/>
          <w:szCs w:val="21"/>
        </w:rPr>
        <w:t>A degree in Communications, Marketing, Public Relations, Journalism, Digital Media, Media Studies, Information Technology, Cybersecurity, Computer Science, or a related field. Candidates from other disciplines may be considered where they demonstrate strong practical social-media and digital communications capability.</w:t>
      </w:r>
    </w:p>
    <w:p w14:paraId="1AFCE0CD">
      <w:pPr>
        <w:spacing w:before="200" w:after="80"/>
        <w:jc w:val="both"/>
      </w:pPr>
      <w:r>
        <w:rPr>
          <w:rFonts w:ascii="Calibri" w:hAnsi="Calibri" w:eastAsia="Calibri" w:cs="Calibri"/>
          <w:b/>
          <w:bCs/>
          <w:i/>
          <w:iCs/>
          <w:color w:val="363435"/>
          <w:sz w:val="22"/>
          <w:szCs w:val="22"/>
        </w:rPr>
        <w:t>Professional Competencies</w:t>
      </w:r>
    </w:p>
    <w:p w14:paraId="5256B5E9">
      <w:pPr>
        <w:pStyle w:val="16"/>
        <w:numPr>
          <w:ilvl w:val="0"/>
          <w:numId w:val="1"/>
        </w:numPr>
        <w:spacing w:after="90" w:line="264" w:lineRule="auto"/>
        <w:jc w:val="both"/>
      </w:pPr>
      <w:r>
        <w:rPr>
          <w:rFonts w:ascii="Calibri" w:hAnsi="Calibri" w:eastAsia="Calibri" w:cs="Calibri"/>
          <w:color w:val="363435"/>
          <w:sz w:val="21"/>
          <w:szCs w:val="21"/>
        </w:rPr>
        <w:t>Demonstrated hands-on experience managing social-media accounts, digital content, or online communities; practical evidence is more important than title alone.</w:t>
      </w:r>
    </w:p>
    <w:p w14:paraId="0FCFFD2F">
      <w:pPr>
        <w:pStyle w:val="16"/>
        <w:numPr>
          <w:ilvl w:val="0"/>
          <w:numId w:val="1"/>
        </w:numPr>
        <w:spacing w:after="90" w:line="264" w:lineRule="auto"/>
        <w:jc w:val="both"/>
      </w:pPr>
      <w:r>
        <w:rPr>
          <w:rFonts w:ascii="Calibri" w:hAnsi="Calibri" w:eastAsia="Calibri" w:cs="Calibri"/>
          <w:color w:val="363435"/>
          <w:sz w:val="21"/>
          <w:szCs w:val="21"/>
        </w:rPr>
        <w:t>A portfolio, managed social account(s), or campaign examples demonstrating social-media capability is required.</w:t>
      </w:r>
    </w:p>
    <w:p w14:paraId="421127FE">
      <w:pPr>
        <w:pStyle w:val="16"/>
        <w:numPr>
          <w:ilvl w:val="0"/>
          <w:numId w:val="1"/>
        </w:numPr>
        <w:spacing w:after="90" w:line="264" w:lineRule="auto"/>
        <w:jc w:val="both"/>
      </w:pPr>
      <w:r>
        <w:rPr>
          <w:rFonts w:ascii="Calibri" w:hAnsi="Calibri" w:eastAsia="Calibri" w:cs="Calibri"/>
          <w:color w:val="363435"/>
          <w:sz w:val="21"/>
          <w:szCs w:val="21"/>
        </w:rPr>
        <w:t>Demonstrated ability to write clearly and adapt tone to different audiences and platforms.</w:t>
      </w:r>
    </w:p>
    <w:p w14:paraId="2AE7DC08">
      <w:pPr>
        <w:pStyle w:val="16"/>
        <w:numPr>
          <w:ilvl w:val="0"/>
          <w:numId w:val="1"/>
        </w:numPr>
        <w:spacing w:after="90" w:line="264" w:lineRule="auto"/>
        <w:jc w:val="both"/>
      </w:pPr>
      <w:r>
        <w:rPr>
          <w:rFonts w:ascii="Calibri" w:hAnsi="Calibri" w:eastAsia="Calibri" w:cs="Calibri"/>
          <w:color w:val="363435"/>
          <w:sz w:val="21"/>
          <w:szCs w:val="21"/>
        </w:rPr>
        <w:t>Demonstrated understanding of social-media analytics, audience engagement, and content planning.</w:t>
      </w:r>
    </w:p>
    <w:p w14:paraId="0D7EA9D9">
      <w:pPr>
        <w:pStyle w:val="16"/>
        <w:numPr>
          <w:ilvl w:val="0"/>
          <w:numId w:val="1"/>
        </w:numPr>
        <w:spacing w:after="90" w:line="264" w:lineRule="auto"/>
        <w:jc w:val="both"/>
      </w:pPr>
      <w:r>
        <w:rPr>
          <w:rFonts w:ascii="Calibri" w:hAnsi="Calibri" w:eastAsia="Calibri" w:cs="Calibri"/>
          <w:color w:val="363435"/>
          <w:sz w:val="21"/>
          <w:szCs w:val="21"/>
        </w:rPr>
        <w:t>Ability to translate technical or complex subjects into accessible communication; cybersecurity or technology literacy is an advantage.</w:t>
      </w:r>
    </w:p>
    <w:p w14:paraId="73D46100">
      <w:pPr>
        <w:spacing w:before="200" w:after="80"/>
        <w:jc w:val="both"/>
      </w:pPr>
      <w:r>
        <w:rPr>
          <w:rFonts w:ascii="Calibri" w:hAnsi="Calibri" w:eastAsia="Calibri" w:cs="Calibri"/>
          <w:b/>
          <w:bCs/>
          <w:i/>
          <w:iCs/>
          <w:color w:val="363435"/>
          <w:sz w:val="22"/>
          <w:szCs w:val="22"/>
        </w:rPr>
        <w:t>AI Fluency</w:t>
      </w:r>
    </w:p>
    <w:p w14:paraId="0BB76210">
      <w:pPr>
        <w:pStyle w:val="16"/>
        <w:numPr>
          <w:ilvl w:val="0"/>
          <w:numId w:val="1"/>
        </w:numPr>
        <w:spacing w:after="90" w:line="264" w:lineRule="auto"/>
        <w:jc w:val="both"/>
      </w:pPr>
      <w:r>
        <w:rPr>
          <w:rFonts w:ascii="Calibri" w:hAnsi="Calibri" w:eastAsia="Calibri" w:cs="Calibri"/>
          <w:color w:val="363435"/>
          <w:sz w:val="21"/>
          <w:szCs w:val="21"/>
        </w:rPr>
        <w:t>Ability to research, trial, and critically evaluate AI tools for content development, audience research, and productivity.</w:t>
      </w:r>
    </w:p>
    <w:p w14:paraId="655BD7D7">
      <w:pPr>
        <w:pStyle w:val="16"/>
        <w:numPr>
          <w:ilvl w:val="0"/>
          <w:numId w:val="1"/>
        </w:numPr>
        <w:spacing w:after="90" w:line="264" w:lineRule="auto"/>
        <w:jc w:val="both"/>
      </w:pPr>
      <w:r>
        <w:rPr>
          <w:rFonts w:ascii="Calibri" w:hAnsi="Calibri" w:eastAsia="Calibri" w:cs="Calibri"/>
          <w:color w:val="363435"/>
          <w:sz w:val="21"/>
          <w:szCs w:val="21"/>
        </w:rPr>
        <w:t>Ability to use AI responsibly while applying human judgment, fact-checking, and brand standards.</w:t>
      </w:r>
    </w:p>
    <w:p w14:paraId="7FB9EC98">
      <w:pPr>
        <w:pStyle w:val="16"/>
        <w:numPr>
          <w:ilvl w:val="0"/>
          <w:numId w:val="1"/>
        </w:numPr>
        <w:spacing w:after="90" w:line="264" w:lineRule="auto"/>
        <w:jc w:val="both"/>
      </w:pPr>
      <w:r>
        <w:rPr>
          <w:rFonts w:ascii="Calibri" w:hAnsi="Calibri" w:eastAsia="Calibri" w:cs="Calibri"/>
          <w:color w:val="363435"/>
          <w:sz w:val="21"/>
          <w:szCs w:val="21"/>
        </w:rPr>
        <w:t>Willingness to continuously develop digital, platform, analytics, and emerging-technology skills.</w:t>
      </w:r>
    </w:p>
    <w:p w14:paraId="5C59FFC9">
      <w:pPr>
        <w:spacing w:before="200" w:after="80"/>
        <w:jc w:val="both"/>
      </w:pPr>
      <w:r>
        <w:rPr>
          <w:rFonts w:ascii="Calibri" w:hAnsi="Calibri" w:eastAsia="Calibri" w:cs="Calibri"/>
          <w:b/>
          <w:bCs/>
          <w:i/>
          <w:iCs/>
          <w:color w:val="363435"/>
          <w:sz w:val="22"/>
          <w:szCs w:val="22"/>
        </w:rPr>
        <w:t>Tools &amp; Platforms</w:t>
      </w:r>
    </w:p>
    <w:p w14:paraId="28094EFB">
      <w:pPr>
        <w:pStyle w:val="16"/>
        <w:numPr>
          <w:ilvl w:val="0"/>
          <w:numId w:val="1"/>
        </w:numPr>
        <w:spacing w:after="90" w:line="264" w:lineRule="auto"/>
        <w:jc w:val="both"/>
      </w:pPr>
      <w:r>
        <w:rPr>
          <w:rFonts w:ascii="Calibri" w:hAnsi="Calibri" w:eastAsia="Calibri" w:cs="Calibri"/>
          <w:color w:val="363435"/>
          <w:sz w:val="21"/>
          <w:szCs w:val="21"/>
        </w:rPr>
        <w:t>Familiarity with Meta Business Suite or equivalent social-media management and scheduling tools.</w:t>
      </w:r>
    </w:p>
    <w:p w14:paraId="1B8E62B6">
      <w:pPr>
        <w:pStyle w:val="16"/>
        <w:numPr>
          <w:ilvl w:val="0"/>
          <w:numId w:val="1"/>
        </w:numPr>
        <w:spacing w:after="90" w:line="264" w:lineRule="auto"/>
        <w:jc w:val="both"/>
      </w:pPr>
      <w:r>
        <w:rPr>
          <w:rFonts w:ascii="Calibri" w:hAnsi="Calibri" w:eastAsia="Calibri" w:cs="Calibri"/>
          <w:color w:val="363435"/>
          <w:sz w:val="21"/>
          <w:szCs w:val="21"/>
        </w:rPr>
        <w:t>Familiarity with Canva, CapCut, or comparable lightweight content tools.</w:t>
      </w:r>
    </w:p>
    <w:p w14:paraId="3B20D861">
      <w:pPr>
        <w:pStyle w:val="16"/>
        <w:numPr>
          <w:ilvl w:val="0"/>
          <w:numId w:val="1"/>
        </w:numPr>
        <w:spacing w:after="90" w:line="264" w:lineRule="auto"/>
        <w:jc w:val="both"/>
      </w:pPr>
      <w:r>
        <w:rPr>
          <w:rFonts w:ascii="Calibri" w:hAnsi="Calibri" w:eastAsia="Calibri" w:cs="Calibri"/>
          <w:color w:val="363435"/>
          <w:sz w:val="21"/>
          <w:szCs w:val="21"/>
        </w:rPr>
        <w:t>Familiarity with platform analytics and reporting tools.</w:t>
      </w:r>
    </w:p>
    <w:p w14:paraId="4BE76308">
      <w:pPr>
        <w:pStyle w:val="16"/>
        <w:numPr>
          <w:ilvl w:val="0"/>
          <w:numId w:val="1"/>
        </w:numPr>
        <w:spacing w:after="90" w:line="264" w:lineRule="auto"/>
        <w:jc w:val="both"/>
      </w:pPr>
      <w:r>
        <w:rPr>
          <w:rFonts w:ascii="Calibri" w:hAnsi="Calibri" w:eastAsia="Calibri" w:cs="Calibri"/>
          <w:color w:val="363435"/>
          <w:sz w:val="21"/>
          <w:szCs w:val="21"/>
        </w:rPr>
        <w:t>Familiarity with Microsoft Teams, Outlook, OneDrive, and cloud-based collaboration systems.</w:t>
      </w:r>
    </w:p>
    <w:p w14:paraId="737DDFD5">
      <w:pPr>
        <w:spacing w:before="200" w:after="80"/>
        <w:jc w:val="both"/>
      </w:pPr>
      <w:r>
        <w:rPr>
          <w:rFonts w:ascii="Calibri" w:hAnsi="Calibri" w:eastAsia="Calibri" w:cs="Calibri"/>
          <w:b/>
          <w:bCs/>
          <w:i/>
          <w:iCs/>
          <w:color w:val="363435"/>
          <w:sz w:val="22"/>
          <w:szCs w:val="22"/>
        </w:rPr>
        <w:t>Work Requirements</w:t>
      </w:r>
    </w:p>
    <w:p w14:paraId="05CCA69C">
      <w:pPr>
        <w:pStyle w:val="16"/>
        <w:numPr>
          <w:ilvl w:val="0"/>
          <w:numId w:val="1"/>
        </w:numPr>
        <w:spacing w:after="90" w:line="264" w:lineRule="auto"/>
        <w:jc w:val="both"/>
      </w:pPr>
      <w:r>
        <w:rPr>
          <w:rFonts w:ascii="Calibri" w:hAnsi="Calibri" w:eastAsia="Calibri" w:cs="Calibri"/>
          <w:color w:val="363435"/>
          <w:sz w:val="21"/>
          <w:szCs w:val="21"/>
        </w:rPr>
        <w:t>Must be able to commit to full-time remote/hybrid work.</w:t>
      </w:r>
    </w:p>
    <w:p w14:paraId="0091232E">
      <w:pPr>
        <w:pStyle w:val="16"/>
        <w:numPr>
          <w:ilvl w:val="0"/>
          <w:numId w:val="1"/>
        </w:numPr>
        <w:spacing w:after="90" w:line="264" w:lineRule="auto"/>
        <w:jc w:val="both"/>
      </w:pPr>
      <w:r>
        <w:rPr>
          <w:rFonts w:ascii="Calibri" w:hAnsi="Calibri" w:eastAsia="Calibri" w:cs="Calibri"/>
          <w:color w:val="363435"/>
          <w:sz w:val="21"/>
          <w:szCs w:val="21"/>
        </w:rPr>
        <w:t>A functioning personal laptop and stable internet access are required.</w:t>
      </w:r>
    </w:p>
    <w:p w14:paraId="35E79141">
      <w:pPr>
        <w:pStyle w:val="16"/>
        <w:numPr>
          <w:ilvl w:val="0"/>
          <w:numId w:val="1"/>
        </w:numPr>
        <w:spacing w:after="90" w:line="264" w:lineRule="auto"/>
        <w:jc w:val="both"/>
      </w:pPr>
      <w:r>
        <w:rPr>
          <w:rFonts w:ascii="Calibri" w:hAnsi="Calibri" w:eastAsia="Calibri" w:cs="Calibri"/>
          <w:color w:val="363435"/>
          <w:sz w:val="21"/>
          <w:szCs w:val="21"/>
        </w:rPr>
        <w:t>Availability for occasional weekend work, events, or time-sensitive campaign requirements when necessary, with advance notice where practicable.</w:t>
      </w:r>
    </w:p>
    <w:p w14:paraId="4A588A4D">
      <w:pPr>
        <w:pStyle w:val="16"/>
        <w:numPr>
          <w:ilvl w:val="0"/>
          <w:numId w:val="1"/>
        </w:numPr>
        <w:spacing w:after="90" w:line="264" w:lineRule="auto"/>
        <w:jc w:val="both"/>
      </w:pPr>
      <w:r>
        <w:rPr>
          <w:rFonts w:ascii="Calibri" w:hAnsi="Calibri" w:eastAsia="Calibri" w:cs="Calibri"/>
          <w:color w:val="363435"/>
          <w:sz w:val="21"/>
          <w:szCs w:val="21"/>
        </w:rPr>
        <w:t>Must maintain professional conduct and confidentiality when handling organizational, student, partner, or community information.</w:t>
      </w:r>
    </w:p>
    <w:p w14:paraId="28197894">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1A3D7976">
      <w:pPr>
        <w:pStyle w:val="16"/>
        <w:numPr>
          <w:ilvl w:val="0"/>
          <w:numId w:val="1"/>
        </w:numPr>
        <w:spacing w:after="90" w:line="264" w:lineRule="auto"/>
        <w:jc w:val="both"/>
      </w:pPr>
      <w:r>
        <w:rPr>
          <w:rFonts w:ascii="Calibri" w:hAnsi="Calibri" w:eastAsia="Calibri" w:cs="Calibri"/>
          <w:color w:val="363435"/>
          <w:sz w:val="21"/>
          <w:szCs w:val="21"/>
        </w:rPr>
        <w:t>Leadership and people development</w:t>
      </w:r>
    </w:p>
    <w:p w14:paraId="1B660C77">
      <w:pPr>
        <w:pStyle w:val="16"/>
        <w:numPr>
          <w:ilvl w:val="0"/>
          <w:numId w:val="1"/>
        </w:numPr>
        <w:spacing w:after="90" w:line="264" w:lineRule="auto"/>
        <w:jc w:val="both"/>
      </w:pPr>
      <w:r>
        <w:rPr>
          <w:rFonts w:ascii="Calibri" w:hAnsi="Calibri" w:eastAsia="Calibri" w:cs="Calibri"/>
          <w:color w:val="363435"/>
          <w:sz w:val="21"/>
          <w:szCs w:val="21"/>
        </w:rPr>
        <w:t>Ownership and accountability</w:t>
      </w:r>
    </w:p>
    <w:p w14:paraId="3845286B">
      <w:pPr>
        <w:pStyle w:val="16"/>
        <w:numPr>
          <w:ilvl w:val="0"/>
          <w:numId w:val="1"/>
        </w:numPr>
        <w:spacing w:after="90" w:line="264" w:lineRule="auto"/>
        <w:jc w:val="both"/>
      </w:pPr>
      <w:r>
        <w:rPr>
          <w:rFonts w:ascii="Calibri" w:hAnsi="Calibri" w:eastAsia="Calibri" w:cs="Calibri"/>
          <w:color w:val="363435"/>
          <w:sz w:val="21"/>
          <w:szCs w:val="21"/>
        </w:rPr>
        <w:t>Critical thinking and sound professional judgment</w:t>
      </w:r>
    </w:p>
    <w:p w14:paraId="04FEF357">
      <w:pPr>
        <w:pStyle w:val="16"/>
        <w:numPr>
          <w:ilvl w:val="0"/>
          <w:numId w:val="1"/>
        </w:numPr>
        <w:spacing w:after="90" w:line="264" w:lineRule="auto"/>
        <w:jc w:val="both"/>
      </w:pPr>
      <w:r>
        <w:rPr>
          <w:rFonts w:ascii="Calibri" w:hAnsi="Calibri" w:eastAsia="Calibri" w:cs="Calibri"/>
          <w:color w:val="363435"/>
          <w:sz w:val="21"/>
          <w:szCs w:val="21"/>
        </w:rPr>
        <w:t>Audience empathy and emotional intelligence</w:t>
      </w:r>
    </w:p>
    <w:p w14:paraId="16A61B22">
      <w:pPr>
        <w:pStyle w:val="16"/>
        <w:numPr>
          <w:ilvl w:val="0"/>
          <w:numId w:val="1"/>
        </w:numPr>
        <w:spacing w:after="90" w:line="264" w:lineRule="auto"/>
        <w:jc w:val="both"/>
      </w:pPr>
      <w:r>
        <w:rPr>
          <w:rFonts w:ascii="Calibri" w:hAnsi="Calibri" w:eastAsia="Calibri" w:cs="Calibri"/>
          <w:color w:val="363435"/>
          <w:sz w:val="21"/>
          <w:szCs w:val="21"/>
        </w:rPr>
        <w:t>Adaptability and continuous learning</w:t>
      </w:r>
    </w:p>
    <w:p w14:paraId="4DE42F0C">
      <w:pPr>
        <w:pStyle w:val="16"/>
        <w:numPr>
          <w:ilvl w:val="0"/>
          <w:numId w:val="1"/>
        </w:numPr>
        <w:spacing w:after="90" w:line="264" w:lineRule="auto"/>
        <w:jc w:val="both"/>
      </w:pPr>
      <w:r>
        <w:rPr>
          <w:rFonts w:ascii="Calibri" w:hAnsi="Calibri" w:eastAsia="Calibri" w:cs="Calibri"/>
          <w:color w:val="363435"/>
          <w:sz w:val="21"/>
          <w:szCs w:val="21"/>
        </w:rPr>
        <w:t>Creativity and problem-solving</w:t>
      </w:r>
    </w:p>
    <w:p w14:paraId="22890C72">
      <w:pPr>
        <w:pStyle w:val="16"/>
        <w:numPr>
          <w:ilvl w:val="0"/>
          <w:numId w:val="1"/>
        </w:numPr>
        <w:spacing w:after="90" w:line="264" w:lineRule="auto"/>
        <w:jc w:val="both"/>
      </w:pPr>
      <w:r>
        <w:rPr>
          <w:rFonts w:ascii="Calibri" w:hAnsi="Calibri" w:eastAsia="Calibri" w:cs="Calibri"/>
          <w:color w:val="363435"/>
          <w:sz w:val="21"/>
          <w:szCs w:val="21"/>
        </w:rPr>
        <w:t>Attention to detail</w:t>
      </w:r>
    </w:p>
    <w:p w14:paraId="3549B40D">
      <w:pPr>
        <w:pStyle w:val="16"/>
        <w:numPr>
          <w:ilvl w:val="0"/>
          <w:numId w:val="1"/>
        </w:numPr>
        <w:spacing w:after="90" w:line="264" w:lineRule="auto"/>
        <w:jc w:val="both"/>
      </w:pPr>
      <w:r>
        <w:rPr>
          <w:rFonts w:ascii="Calibri" w:hAnsi="Calibri" w:eastAsia="Calibri" w:cs="Calibri"/>
          <w:color w:val="363435"/>
          <w:sz w:val="21"/>
          <w:szCs w:val="21"/>
        </w:rPr>
        <w:t>Integrity, discretion, and professionalism</w:t>
      </w:r>
    </w:p>
    <w:p w14:paraId="4BEC5B56">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7238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7336F847">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40506F52">
            <w:pPr>
              <w:jc w:val="both"/>
            </w:pPr>
            <w:r>
              <w:rPr>
                <w:rFonts w:ascii="Calibri" w:hAnsi="Calibri" w:eastAsia="Calibri" w:cs="Calibri"/>
                <w:color w:val="363435"/>
                <w:sz w:val="20"/>
                <w:szCs w:val="20"/>
              </w:rPr>
              <w:t>Chief Executive Officer (CEO)</w:t>
            </w:r>
          </w:p>
        </w:tc>
      </w:tr>
      <w:tr w14:paraId="7F0B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24E161E">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4F9426FA">
            <w:pPr>
              <w:jc w:val="both"/>
            </w:pPr>
            <w:r>
              <w:rPr>
                <w:rFonts w:ascii="Calibri" w:hAnsi="Calibri" w:eastAsia="Calibri" w:cs="Calibri"/>
                <w:color w:val="363435"/>
                <w:sz w:val="20"/>
                <w:szCs w:val="20"/>
              </w:rPr>
              <w:t>Lead, Outreach and Campus Engagement; Lead, Partnerships and People Operations; Lead, Programmes, Training and Technical Enablement; Creative Multimedia Lead</w:t>
            </w:r>
          </w:p>
        </w:tc>
      </w:tr>
      <w:tr w14:paraId="2048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D19A718">
            <w:pPr>
              <w:jc w:val="both"/>
            </w:pPr>
            <w:r>
              <w:rPr>
                <w:rFonts w:ascii="Calibri" w:hAnsi="Calibri" w:eastAsia="Calibri" w:cs="Calibri"/>
                <w:b/>
                <w:bCs/>
                <w:color w:val="FFFFFF"/>
                <w:sz w:val="20"/>
                <w:szCs w:val="20"/>
              </w:rPr>
              <w:t>Supervises</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572AEB41">
            <w:pPr>
              <w:jc w:val="both"/>
            </w:pPr>
            <w:r>
              <w:rPr>
                <w:rFonts w:ascii="Calibri" w:hAnsi="Calibri" w:eastAsia="Calibri" w:cs="Calibri"/>
                <w:color w:val="363435"/>
                <w:sz w:val="20"/>
                <w:szCs w:val="20"/>
              </w:rPr>
              <w:t>Interns, volunteers, ambassadors, and contributors assigned to social-media and digital-community activities</w:t>
            </w:r>
          </w:p>
        </w:tc>
      </w:tr>
    </w:tbl>
    <w:p w14:paraId="349E1BFC">
      <w:pPr>
        <w:spacing w:after="120"/>
        <w:jc w:val="both"/>
      </w:pPr>
    </w:p>
    <w:p w14:paraId="0768F762">
      <w:pPr>
        <w:pStyle w:val="2"/>
        <w:pBdr>
          <w:bottom w:val="single" w:color="AE3033" w:sz="6" w:space="4"/>
        </w:pBdr>
        <w:spacing w:before="320" w:after="140"/>
        <w:jc w:val="both"/>
      </w:pPr>
      <w:r>
        <w:rPr>
          <w:rFonts w:ascii="Calibri" w:hAnsi="Calibri" w:eastAsia="Calibri" w:cs="Calibri"/>
          <w:b/>
          <w:bCs/>
          <w:color w:val="AE3033"/>
          <w:sz w:val="24"/>
          <w:szCs w:val="24"/>
        </w:rPr>
        <w:t>KEY PERFORMANCE INDICATORS</w:t>
      </w:r>
    </w:p>
    <w:p w14:paraId="059EE341">
      <w:pPr>
        <w:pStyle w:val="16"/>
        <w:numPr>
          <w:ilvl w:val="0"/>
          <w:numId w:val="1"/>
        </w:numPr>
        <w:spacing w:after="90" w:line="264" w:lineRule="auto"/>
        <w:jc w:val="both"/>
      </w:pPr>
      <w:r>
        <w:rPr>
          <w:rFonts w:ascii="Calibri" w:hAnsi="Calibri" w:eastAsia="Calibri" w:cs="Calibri"/>
          <w:color w:val="363435"/>
          <w:sz w:val="21"/>
          <w:szCs w:val="21"/>
        </w:rPr>
        <w:t>Follower and community growth against target across priority channels</w:t>
      </w:r>
    </w:p>
    <w:p w14:paraId="43D91178">
      <w:pPr>
        <w:pStyle w:val="16"/>
        <w:numPr>
          <w:ilvl w:val="0"/>
          <w:numId w:val="1"/>
        </w:numPr>
        <w:spacing w:after="90" w:line="264" w:lineRule="auto"/>
        <w:jc w:val="both"/>
      </w:pPr>
      <w:r>
        <w:rPr>
          <w:rFonts w:ascii="Calibri" w:hAnsi="Calibri" w:eastAsia="Calibri" w:cs="Calibri"/>
          <w:color w:val="363435"/>
          <w:sz w:val="21"/>
          <w:szCs w:val="21"/>
        </w:rPr>
        <w:t>Content calendar adherence and publishing consistency</w:t>
      </w:r>
    </w:p>
    <w:p w14:paraId="3FD27A60">
      <w:pPr>
        <w:pStyle w:val="16"/>
        <w:numPr>
          <w:ilvl w:val="0"/>
          <w:numId w:val="1"/>
        </w:numPr>
        <w:spacing w:after="90" w:line="264" w:lineRule="auto"/>
        <w:jc w:val="both"/>
      </w:pPr>
      <w:r>
        <w:rPr>
          <w:rFonts w:ascii="Calibri" w:hAnsi="Calibri" w:eastAsia="Calibri" w:cs="Calibri"/>
          <w:color w:val="363435"/>
          <w:sz w:val="21"/>
          <w:szCs w:val="21"/>
        </w:rPr>
        <w:t>Engagement rate and response-time to community interactions</w:t>
      </w:r>
    </w:p>
    <w:p w14:paraId="0765B31F">
      <w:pPr>
        <w:pStyle w:val="16"/>
        <w:numPr>
          <w:ilvl w:val="0"/>
          <w:numId w:val="1"/>
        </w:numPr>
        <w:spacing w:after="90" w:line="264" w:lineRule="auto"/>
        <w:jc w:val="both"/>
      </w:pPr>
      <w:r>
        <w:rPr>
          <w:rFonts w:ascii="Calibri" w:hAnsi="Calibri" w:eastAsia="Calibri" w:cs="Calibri"/>
          <w:color w:val="363435"/>
          <w:sz w:val="21"/>
          <w:szCs w:val="21"/>
        </w:rPr>
        <w:t>Campaign contribution to programme awareness and registration</w:t>
      </w:r>
    </w:p>
    <w:p w14:paraId="568CAE23">
      <w:pPr>
        <w:pStyle w:val="16"/>
        <w:numPr>
          <w:ilvl w:val="0"/>
          <w:numId w:val="1"/>
        </w:numPr>
        <w:spacing w:after="90" w:line="264" w:lineRule="auto"/>
        <w:jc w:val="both"/>
      </w:pPr>
      <w:r>
        <w:rPr>
          <w:rFonts w:ascii="Calibri" w:hAnsi="Calibri" w:eastAsia="Calibri" w:cs="Calibri"/>
          <w:color w:val="363435"/>
          <w:sz w:val="21"/>
          <w:szCs w:val="21"/>
        </w:rPr>
        <w:t>Reporting accuracy and timeliness of insights delivered to the CEO</w:t>
      </w:r>
    </w:p>
    <w:p w14:paraId="4815ED68">
      <w:pPr>
        <w:pStyle w:val="2"/>
        <w:pBdr>
          <w:bottom w:val="single" w:color="AE3033" w:sz="6" w:space="4"/>
        </w:pBdr>
        <w:spacing w:before="320" w:after="140"/>
        <w:jc w:val="both"/>
      </w:pPr>
      <w:r>
        <w:rPr>
          <w:rFonts w:ascii="Calibri" w:hAnsi="Calibri" w:eastAsia="Calibri" w:cs="Calibri"/>
          <w:b/>
          <w:bCs/>
          <w:color w:val="AE3033"/>
          <w:sz w:val="24"/>
          <w:szCs w:val="24"/>
        </w:rPr>
        <w:t>BENEFITS</w:t>
      </w:r>
    </w:p>
    <w:p w14:paraId="387CD7FF">
      <w:pPr>
        <w:pStyle w:val="16"/>
        <w:numPr>
          <w:ilvl w:val="0"/>
          <w:numId w:val="1"/>
        </w:numPr>
        <w:spacing w:after="90" w:line="264" w:lineRule="auto"/>
        <w:jc w:val="both"/>
      </w:pPr>
      <w:r>
        <w:rPr>
          <w:rFonts w:ascii="Calibri" w:hAnsi="Calibri" w:eastAsia="Calibri" w:cs="Calibri"/>
          <w:color w:val="363435"/>
          <w:sz w:val="21"/>
          <w:szCs w:val="21"/>
        </w:rPr>
        <w:t>Hands-on leadership experience in a dynamic, impact-driven organization.</w:t>
      </w:r>
    </w:p>
    <w:p w14:paraId="1A1118B6">
      <w:pPr>
        <w:pStyle w:val="16"/>
        <w:numPr>
          <w:ilvl w:val="0"/>
          <w:numId w:val="1"/>
        </w:numPr>
        <w:spacing w:after="90" w:line="264" w:lineRule="auto"/>
        <w:jc w:val="both"/>
      </w:pPr>
      <w:r>
        <w:rPr>
          <w:rFonts w:ascii="Calibri" w:hAnsi="Calibri" w:eastAsia="Calibri" w:cs="Calibri"/>
          <w:color w:val="363435"/>
          <w:sz w:val="21"/>
          <w:szCs w:val="21"/>
        </w:rPr>
        <w:t>Opportunity to shape and grow the organization’s reach and impact in a leading cybersecurity and workforce development initiative.</w:t>
      </w:r>
    </w:p>
    <w:p w14:paraId="7DE039B6">
      <w:pPr>
        <w:pStyle w:val="16"/>
        <w:numPr>
          <w:ilvl w:val="0"/>
          <w:numId w:val="1"/>
        </w:numPr>
        <w:spacing w:after="90" w:line="264" w:lineRule="auto"/>
        <w:jc w:val="both"/>
      </w:pPr>
      <w:r>
        <w:rPr>
          <w:rFonts w:ascii="Calibri" w:hAnsi="Calibri" w:eastAsia="Calibri" w:cs="Calibri"/>
          <w:color w:val="363435"/>
          <w:sz w:val="21"/>
          <w:szCs w:val="21"/>
        </w:rPr>
        <w:t>Direct exposure to organizational leadership, strategic projects, and high-impact programs.</w:t>
      </w:r>
    </w:p>
    <w:p w14:paraId="1419D3DF">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10F16E47">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w:t>
      </w:r>
    </w:p>
    <w:p w14:paraId="290709B3">
      <w:pPr>
        <w:pStyle w:val="16"/>
        <w:numPr>
          <w:ilvl w:val="0"/>
          <w:numId w:val="1"/>
        </w:numPr>
        <w:spacing w:after="90" w:line="264" w:lineRule="auto"/>
        <w:jc w:val="both"/>
      </w:pPr>
      <w:r>
        <w:rPr>
          <w:rFonts w:ascii="Calibri" w:hAnsi="Calibri" w:eastAsia="Calibri" w:cs="Calibri"/>
          <w:color w:val="363435"/>
          <w:sz w:val="21"/>
          <w:szCs w:val="21"/>
        </w:rPr>
        <w:t>Priority consideration for future freelance, contract, and full-time opportunities within Educ8Africa and its ecosystem.</w:t>
      </w:r>
    </w:p>
    <w:p w14:paraId="51E8A701">
      <w:pPr>
        <w:pStyle w:val="16"/>
        <w:numPr>
          <w:ilvl w:val="0"/>
          <w:numId w:val="1"/>
        </w:numPr>
        <w:spacing w:after="90" w:line="264" w:lineRule="auto"/>
        <w:jc w:val="both"/>
      </w:pPr>
      <w:r>
        <w:rPr>
          <w:rFonts w:ascii="Calibri" w:hAnsi="Calibri" w:eastAsia="Calibri" w:cs="Calibri"/>
          <w:color w:val="363435"/>
          <w:sz w:val="21"/>
          <w:szCs w:val="21"/>
        </w:rPr>
        <w:t>Exceptional performance may lead to priority consideration for future employment opportunities within Educ8Africa, its partners, and client organizations, subject to availability.</w:t>
      </w:r>
    </w:p>
    <w:p w14:paraId="5492C9E7">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2E84BBE1">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51BC86AB">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3F3147B8">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736E49B7">
      <w:pPr>
        <w:pStyle w:val="2"/>
        <w:pBdr>
          <w:bottom w:val="single" w:color="AE3033" w:sz="6" w:space="4"/>
        </w:pBdr>
        <w:spacing w:before="320" w:after="140"/>
        <w:jc w:val="both"/>
      </w:pPr>
      <w:r>
        <w:rPr>
          <w:rFonts w:ascii="Calibri" w:hAnsi="Calibri" w:eastAsia="Calibri" w:cs="Calibri"/>
          <w:b/>
          <w:bCs/>
          <w:color w:val="AE3033"/>
          <w:sz w:val="24"/>
          <w:szCs w:val="24"/>
        </w:rPr>
        <w:t>HOW TO APPLY</w:t>
      </w:r>
    </w:p>
    <w:p w14:paraId="184BE081">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5C9165F0">
      <w:pPr>
        <w:spacing w:after="160" w:line="276" w:lineRule="auto"/>
        <w:jc w:val="both"/>
      </w:pPr>
      <w:r>
        <w:rPr>
          <w:rFonts w:ascii="Calibri" w:hAnsi="Calibri" w:eastAsia="Calibri" w:cs="Calibri"/>
          <w:color w:val="363435"/>
          <w:sz w:val="21"/>
          <w:szCs w:val="21"/>
        </w:rPr>
        <w:t>Send your CV, a one-page cover letter, and relevant social-media portfolio or work samples to careers@educ8africa.com.</w:t>
      </w:r>
    </w:p>
    <w:p w14:paraId="206C3BA9">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Lead, Social Media and Digital Communities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07D9C">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2E2FF65B">
    <w:pPr>
      <w:jc w:val="center"/>
    </w:pPr>
    <w:r>
      <w:rPr>
        <w:rFonts w:ascii="Calibri" w:hAnsi="Calibri" w:eastAsia="Calibri" w:cs="Calibri"/>
        <w:i/>
        <w:iCs/>
        <w:color w:val="6B6969"/>
        <w:sz w:val="14"/>
        <w:szCs w:val="14"/>
      </w:rPr>
      <w:t>Document Version: 1.4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5B82">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CD40A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63435"/>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1292</Words>
  <Characters>9334</Characters>
  <TotalTime>0</TotalTime>
  <ScaleCrop>false</ScaleCrop>
  <LinksUpToDate>false</LinksUpToDate>
  <CharactersWithSpaces>10509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2026-08-21T12:30:52Z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21C957882E334F668EFEB46B5A684B19_12</vt:lpwstr>
  </property>
</Properties>
</file>