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0BF09">
      <w:pPr>
        <w:pStyle w:val="3"/>
      </w:pPr>
      <w:r>
        <w:t>LLM 自动化评估结果</w:t>
      </w:r>
    </w:p>
    <w:p w14:paraId="039BD125">
      <w:r>
        <w:t>### 功能需求评估表</w:t>
      </w:r>
    </w:p>
    <w:p w14:paraId="2B0512B3"/>
    <w:p w14:paraId="624FC02D">
      <w:r>
        <w:t>根据用户要求，我对整个需求文档进行了分析。首先，我提取了文档中涉及的数据实体（系统内需要管理的数据对象，不包括外部接口或外部数据源）。然后，我按照规则对功能需求进行了合并统计（同一数据实体的相同功能点合并为一个，剔除系统通用设置类需求，如FR-20）。接着，我评估了每个功能需求是否为幻觉需求（基于E-R图弱连通性标准）、是否完整引用（输入/输出在需求文档或外部接口中有定义），以及是否可测试（所有输入可转化为输出）。评估中我采用了较严格的标准，确保不遗漏任何需求。</w:t>
      </w:r>
    </w:p>
    <w:p w14:paraId="1F34CC4B"/>
    <w:p w14:paraId="4C07DE4B">
      <w:r>
        <w:t xml:space="preserve">**数据实体统计**：  </w:t>
      </w:r>
    </w:p>
    <w:p w14:paraId="0F51D658">
      <w:r>
        <w:t xml:space="preserve">整个文档涉及的数据实体基于功能需求和外部接口描述（数据库定义）提取，共识别出12个数据实体：  </w:t>
      </w:r>
    </w:p>
    <w:p w14:paraId="001894BB">
      <w:r>
        <w:t xml:space="preserve">- Complaint（投诉）  </w:t>
      </w:r>
    </w:p>
    <w:p w14:paraId="7085B4FB">
      <w:r>
        <w:t xml:space="preserve">- AutomatedInvestigation（自动化调查）  </w:t>
      </w:r>
    </w:p>
    <w:p w14:paraId="074B463C">
      <w:r>
        <w:t xml:space="preserve">- InvestigationProgress（调查进度）  </w:t>
      </w:r>
    </w:p>
    <w:p w14:paraId="620D18D2">
      <w:r>
        <w:t xml:space="preserve">- CourtCase（法院案件）  </w:t>
      </w:r>
    </w:p>
    <w:p w14:paraId="4FBB821B">
      <w:r>
        <w:t xml:space="preserve">- ComplaintStatusLog（投诉状态日志）  </w:t>
      </w:r>
    </w:p>
    <w:p w14:paraId="06A3DA4D">
      <w:r>
        <w:t xml:space="preserve">- CaseStatusLog（案件状态日志）  </w:t>
      </w:r>
    </w:p>
    <w:p w14:paraId="0951F781">
      <w:r>
        <w:t xml:space="preserve">- User（用户，包括Citizen、Police Personnel、Administrator）  </w:t>
      </w:r>
    </w:p>
    <w:p w14:paraId="4279C0EB">
      <w:r>
        <w:t xml:space="preserve">- SearchRecord（搜索记录）  </w:t>
      </w:r>
    </w:p>
    <w:p w14:paraId="5274016F">
      <w:r>
        <w:t xml:space="preserve">- CriminalRecord（犯罪记录，仅从FR-13推断，但未在核心数据库或实体关系中明确定义）  </w:t>
      </w:r>
    </w:p>
    <w:p w14:paraId="5B83DD22">
      <w:r>
        <w:t xml:space="preserve">- CitizenRecord（市民记录）  </w:t>
      </w:r>
    </w:p>
    <w:p w14:paraId="5E1C42A2">
      <w:r>
        <w:t xml:space="preserve">- PolicePersonnelRecord（警察记录）  </w:t>
      </w:r>
    </w:p>
    <w:p w14:paraId="5CBD6BC0">
      <w:r>
        <w:t xml:space="preserve">- AdministratorRecord（管理员记录）  </w:t>
      </w:r>
    </w:p>
    <w:p w14:paraId="63D51BE3"/>
    <w:p w14:paraId="5F3449C4">
      <w:r>
        <w:t>注意：CitizenRecord、PolicePersonnelRecord和AdministratorRecord在功能需求中单独管理，因此视为独立实体；但User实体可能涵盖这些角色。CriminalRecord实体仅出现在FR-13中，未在数据库或其他需求中明确定义或连接。</w:t>
      </w:r>
    </w:p>
    <w:p w14:paraId="6444CD00"/>
    <w:p w14:paraId="5CDA28C4">
      <w:r>
        <w:t xml:space="preserve">**功能需求合并统计**：  </w:t>
      </w:r>
    </w:p>
    <w:p w14:paraId="0F1DBCA5">
      <w:r>
        <w:t xml:space="preserve">- 原始功能需求28条（FR-01至FR-28）。  </w:t>
      </w:r>
    </w:p>
    <w:p w14:paraId="52939A5F">
      <w:r>
        <w:t xml:space="preserve">- 剔除FR-20（系统设置类需求）。  </w:t>
      </w:r>
    </w:p>
    <w:p w14:paraId="51E9C4BE">
      <w:r>
        <w:t xml:space="preserve">- 合并FR-01和FR-15（均为投诉注册，同一数据实体相同功能点），合并后为一需求“投诉注册”。  </w:t>
      </w:r>
    </w:p>
    <w:p w14:paraId="14610390">
      <w:r>
        <w:t xml:space="preserve">- 其他需求无相同功能点可合并（例如，FR-02和FR-16虽相关但输出不同；FR-03和FR-17虽都涉及状态更新但操作范围不同）。  </w:t>
      </w:r>
    </w:p>
    <w:p w14:paraId="1E51B12F">
      <w:r>
        <w:t>- 合并后功能需求共26条。</w:t>
      </w:r>
    </w:p>
    <w:p w14:paraId="2854467E"/>
    <w:p w14:paraId="4D431DE7">
      <w:r>
        <w:t xml:space="preserve">**幻觉需求判断标准**：  </w:t>
      </w:r>
    </w:p>
    <w:p w14:paraId="1F2A4DE9">
      <w:r>
        <w:t xml:space="preserve">- 幻觉需求定义为：需求涉及的数据实体无法与系统中任何现有实体关联，导致E-R图非弱连通（即存在孤立节点）。  </w:t>
      </w:r>
    </w:p>
    <w:p w14:paraId="210DB6F5">
      <w:r>
        <w:t>- 评估基于实体关系：核心实体Complaint链接AutomatedInvestigation和CourtCase；User链接所有管理功能；日志实体（如ComplaintStatusLog）链接父实体；CriminalRecord未定义或连接，视为孤立。</w:t>
      </w:r>
    </w:p>
    <w:p w14:paraId="6C51BF4B"/>
    <w:p w14:paraId="4F40B2C3">
      <w:r>
        <w:t xml:space="preserve">**完整引用判断标准**：  </w:t>
      </w:r>
    </w:p>
    <w:p w14:paraId="7B972215">
      <w:r>
        <w:t xml:space="preserve">- 完整引用定义为：需求的输入/输出在需求文档或外部接口中有提及（不严格，只要文档中有定义即可）。  </w:t>
      </w:r>
    </w:p>
    <w:p w14:paraId="509BB559">
      <w:r>
        <w:t>- 仅对非幻觉需求评估完整引用。</w:t>
      </w:r>
    </w:p>
    <w:p w14:paraId="7C579479"/>
    <w:p w14:paraId="62F01AFE">
      <w:r>
        <w:t xml:space="preserve">**可测试性判断标准**：  </w:t>
      </w:r>
    </w:p>
    <w:p w14:paraId="7DBF15E0">
      <w:r>
        <w:t xml:space="preserve">- 可测试定义为：所有输入可转化为输出（不严格，允许外部接口或用户交互依赖）。  </w:t>
      </w:r>
    </w:p>
    <w:p w14:paraId="5BFC35E0">
      <w:r>
        <w:t>- 仅对非幻觉需求评估可测试性。</w:t>
      </w:r>
    </w:p>
    <w:p w14:paraId="053076B9"/>
    <w:p w14:paraId="056CB344">
      <w:r>
        <w:t>**评估表**：</w:t>
      </w:r>
    </w:p>
    <w:p w14:paraId="0F9B9AD0">
      <w:r>
        <w:t>| 功能需求 | 幻觉需求 | 完整引用 | 可测试 | 评判理由 |</w:t>
      </w:r>
    </w:p>
    <w:p w14:paraId="55C728EF">
      <w:r>
        <w:t>|----------|----------|----------|--------|----------|</w:t>
      </w:r>
    </w:p>
    <w:p w14:paraId="3D2A03E4">
      <w:r>
        <w:t>| 投诉注册 (合并FR-01, FR-15) | 否 | 是 | 是 | 涉及Complaint实体，已定义且连接（如输入citizen ID链接User）；输入/输出在FR-01和外部接口数据库定义；输入可测试输出（如生成投诉ID）。 |</w:t>
      </w:r>
    </w:p>
    <w:p w14:paraId="4E94D48F">
      <w:r>
        <w:t>| 查看投诉详情 (FR-02) | 否 | 是 | 是 | 涉及Complaint实体，已定义；输入/输出在需求文档定义；输入投诉ID可测试输出详情。 |</w:t>
      </w:r>
    </w:p>
    <w:p w14:paraId="5105F2F7">
      <w:r>
        <w:t>| 更新投诉状态 (FR-03) | 否 | 是 | 是 | 涉及Complaint和ComplaintStatusLog实体，已定义且连接；输入/输出在需求文档定义；输入状态更新可测试输出变更。 |</w:t>
      </w:r>
    </w:p>
    <w:p w14:paraId="0E879486">
      <w:r>
        <w:t>| 删除投诉记录 (FR-04) | 否 | 是 | 是 | 涉及Complaint实体，已定义；输入/输出在需求文档定义；输入投诉ID可测试删除操作。 |</w:t>
      </w:r>
    </w:p>
    <w:p w14:paraId="4895789E">
      <w:r>
        <w:t>| 自动发起调查 (FR-05) | 否 | 是 | 是 | 涉及Complaint和AutomatedInvestigation实体，已定义且连接；输入/输出在需求文档和数据库接口定义；输入投诉ID可测试调查启动。 |</w:t>
      </w:r>
    </w:p>
    <w:p w14:paraId="0989B0F2">
      <w:r>
        <w:t>| 修改调查数据 (FR-06) | 否 | 是 | 是 | 涉及AutomatedInvestigation实体，已定义；输入/输出在需求文档定义；输入字段修改可测试输出更新。 |</w:t>
      </w:r>
    </w:p>
    <w:p w14:paraId="22FC53D7">
      <w:r>
        <w:t>| 查看调查进度 (FR-07) | 否 | 是 | 是 | 涉及InvestigationProgress实体（与AutomatedInvestigation关联），已定义；输入/输出在需求文档定义；输入投诉ID可测试进度显示。 |</w:t>
      </w:r>
    </w:p>
    <w:p w14:paraId="16791768">
      <w:r>
        <w:t>| 案件登记 (FR-08) | 否 | 是 | 是 | 涉及CourtCase和Complaint实体，已定义且连接；输入/输出在需求文档定义；输入案件详情可测试记录创建。 |</w:t>
      </w:r>
    </w:p>
    <w:p w14:paraId="1F4EE8AF">
      <w:r>
        <w:t>| 更新案件状态 (FR-09) | 否 | 是 | 是 | 涉及CourtCase和CaseStatusLog实体，已定义且连接；输入/输出在需求文档定义；输入案件ID可测试状态更新。 |</w:t>
      </w:r>
    </w:p>
    <w:p w14:paraId="3DF61249">
      <w:r>
        <w:t>| 查看案件详情 (FR-10) | 否 | 是 | 是 | 涉及CourtCase实体，已定义；输入/输出在需求文档定义；输入案件ID可测试详情显示。 |</w:t>
      </w:r>
    </w:p>
    <w:p w14:paraId="1A2117D4">
      <w:r>
        <w:t>| 删除案件记录 (FR-11) | 否 | 是 | 是 | 涉及CourtCase实体，已定义；输入/输出在需求文档定义；输入案件ID可测试删除操作。 |</w:t>
      </w:r>
    </w:p>
    <w:p w14:paraId="517CF84D">
      <w:r>
        <w:t>| 搜索犯罪 (FR-12) | 否 | 是 | 是 | 涉及Complaint或CourtCase实体（“crime-related records”），已定义；输入/输出在需求文档定义；输入搜索条件可测试输出列表。 |</w:t>
      </w:r>
    </w:p>
    <w:p w14:paraId="45AD00A0">
      <w:r>
        <w:t xml:space="preserve">| 搜索罪犯 (FR-13)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CriminalRecord实体未在数据库或其他需求中明确定义（仅FR-13提及），无法链接任何现有实体（如输入case ID可能链接CourtCase，但实体本身孤立）；输出“criminal records”未定义，导致不完整引用；输入无法转化为未定义输出，故不可测试。 |</w:t>
      </w:r>
    </w:p>
    <w:p w14:paraId="335DB579">
      <w:r>
        <w:t>| 搜索调查记录 (FR-14) | 否 | 是 | 是 | 涉及AutomatedInvestigation实体（“investigation records”），已定义；输入/输出在需求文档定义；输入搜索条件可测试输出列表。 |</w:t>
      </w:r>
    </w:p>
    <w:p w14:paraId="12C4BB7B">
      <w:r>
        <w:t>| 查看投诉状态 (FR-16) | 否 | 是 | 是 | 涉及Complaint实体，已定义；输入/输出在需求文档定义；输入投诉ID可测试状态显示。 |</w:t>
      </w:r>
    </w:p>
    <w:p w14:paraId="038F0219">
      <w:r>
        <w:t>| 警方管理投诉 (FR-17) | 否 | 是 | 是 | 涉及Complaint实体，已定义；输入/输出在需求文档定义；输入管理操作可测试输出更新。 |</w:t>
      </w:r>
    </w:p>
    <w:p w14:paraId="4B8A3F46">
      <w:r>
        <w:t>| 警方管理调查 (FR-18) | 否 | 是 | 是 | 涉及AutomatedInvestigation实体，已定义；输入/输出在需求文档定义；输入管理操作可测试输出变更。 |</w:t>
      </w:r>
    </w:p>
    <w:p w14:paraId="241252E9">
      <w:r>
        <w:t>| 管理用户 (FR-19) | 否 | 是 | 是 | 涉及User实体，已定义；输入/输出在需求文档和数据库接口定义；输入用户操作可测试记录更新。 |</w:t>
      </w:r>
    </w:p>
    <w:p w14:paraId="4431E5DB">
      <w:r>
        <w:t>| 管理调查进度 (FR-21) | 否 | 是 | 是 | 涉及InvestigationProgress实体（与AutomatedInvestigation关联），已定义；输入/输出在需求文档定义；输入进度细节可测试输出更新。 |</w:t>
      </w:r>
    </w:p>
    <w:p w14:paraId="326CE36A">
      <w:r>
        <w:t>| 管理案件状态日志 (FR-22) | 否 | 是 | 是 | 涉及CaseStatusLog实体（与CourtCase关联），已定义；输入/输出在需求文档定义；输入日志操作可测试输出变更。 |</w:t>
      </w:r>
    </w:p>
    <w:p w14:paraId="4AA9EFCE">
      <w:r>
        <w:t>| 管理投诉状态日志 (FR-23) | 否 | 是 | 是 | 涉及ComplaintStatusLog实体（与Complaint关联），已定义；输入/输出在需求文档定义；输入日志操作可测试输出变更。 |</w:t>
      </w:r>
    </w:p>
    <w:p w14:paraId="71261184">
      <w:r>
        <w:t>| 删除自动调查记录 (FR-24) | 否 | 是 | 是 | 涉及AutomatedInvestigation实体，已定义；输入/输出在需求文档定义；输入投诉ID可测试删除操作。 |</w:t>
      </w:r>
    </w:p>
    <w:p w14:paraId="76DA452A">
      <w:r>
        <w:t>| 管理搜索记录 (FR-25) | 否 | 是 | 是 | 涉及SearchRecord实体，已定义；输入/输出在需求文档和数据库接口定义；输入搜索ID可测试管理操作。 |</w:t>
      </w:r>
    </w:p>
    <w:p w14:paraId="3E4D06AE">
      <w:r>
        <w:t>| 管理市民记录 (FR-26) | 否 | 是 | 是 | 涉及CitizenRecord实体（与User关联），已定义；输入/输出在需求文档定义；输入市民ID可测试记录管理。 |</w:t>
      </w:r>
    </w:p>
    <w:p w14:paraId="7DA44B1C">
      <w:r>
        <w:t>| 管理警察记录 (FR-27) | 否 | 是 | 是 | 涉及PolicePersonnelRecord实体（与User关联），已定义；输入/输出在需求文档定义；输入警察ID可测试记录管理。 |</w:t>
      </w:r>
    </w:p>
    <w:p w14:paraId="5024755A">
      <w:r>
        <w:t>| 管理管理员记录 (FR-28) | 否 | 是 | 是 | 涉及AdministratorRecord实体（与User关联），已定义；输入/输出在需求文档定义；输入管理员ID可测试记录管理。 |</w:t>
      </w:r>
    </w:p>
    <w:p w14:paraId="3F60A338"/>
    <w:p w14:paraId="5F9CD8D6">
      <w:r>
        <w:t xml:space="preserve">**总结**：  </w:t>
      </w:r>
    </w:p>
    <w:p w14:paraId="6EDFE597">
      <w:r>
        <w:t xml:space="preserve">- 整个文档涉及的数据实体有**12个**。  </w:t>
      </w:r>
    </w:p>
    <w:p w14:paraId="61A3C982">
      <w:r>
        <w:t xml:space="preserve">- 经过相同功能点合并后，功能需求共**26条**。  </w:t>
      </w:r>
    </w:p>
    <w:p w14:paraId="27775889">
      <w:r>
        <w:t>- 其中，幻觉需求有**</w:t>
      </w:r>
      <w:r>
        <w:rPr>
          <w:rFonts w:hint="eastAsia" w:eastAsia="宋体"/>
          <w:lang w:val="en-US" w:eastAsia="zh-CN"/>
        </w:rPr>
        <w:t>0</w:t>
      </w:r>
      <w:r>
        <w:t>条**</w:t>
      </w:r>
    </w:p>
    <w:p w14:paraId="133A7EAD">
      <w:r>
        <w:t>- 非幻觉需求中，完整引用的功能需求有**2</w:t>
      </w:r>
      <w:r>
        <w:rPr>
          <w:rFonts w:hint="eastAsia" w:eastAsia="宋体"/>
          <w:lang w:val="en-US" w:eastAsia="zh-CN"/>
        </w:rPr>
        <w:t>6</w:t>
      </w:r>
      <w:r>
        <w:t xml:space="preserve">条**（所有非幻觉需求均完整引用）。  </w:t>
      </w:r>
    </w:p>
    <w:p w14:paraId="5E976D43">
      <w:r>
        <w:t>- 非幻觉需求中，可测试的功能需求有**2</w:t>
      </w:r>
      <w:r>
        <w:rPr>
          <w:rFonts w:hint="eastAsia" w:eastAsia="宋体"/>
          <w:lang w:val="en-US" w:eastAsia="zh-CN"/>
        </w:rPr>
        <w:t>6</w:t>
      </w:r>
      <w:r>
        <w:t>条</w:t>
      </w:r>
      <w:bookmarkStart w:id="0" w:name="_GoBack"/>
      <w:bookmarkEnd w:id="0"/>
      <w:r>
        <w:t xml:space="preserve">**（所有非幻觉需求均可测试）。  </w:t>
      </w:r>
    </w:p>
    <w:p w14:paraId="5753C586"/>
    <w:p w14:paraId="10D6E90E">
      <w:r>
        <w:t xml:space="preserve">**备注**：  </w:t>
      </w:r>
    </w:p>
    <w:p w14:paraId="2570E1DA">
      <w:r>
        <w:t xml:space="preserve">- 幻觉需求仅FR-13，因CriminalRecord实体未定义且孤立，导致E-R图非弱连通（例如，无法通过路径链接到Complaint或CourtCase）。  </w:t>
      </w:r>
    </w:p>
    <w:p w14:paraId="02BD73B5">
      <w:r>
        <w:t xml:space="preserve">- 其他需求均非幻觉、完整引用且可测试，因实体关系清晰（如Complaint为核心，链接所有功能），输入/输出在文档中有定义（例如，外部接口数据库支持），且输入可转化为输出（如ID-based操作可验证）。  </w:t>
      </w:r>
    </w:p>
    <w:p w14:paraId="6B929487">
      <w:r>
        <w:t>- 评估较严格，例如FR-13被判定为幻觉以反映潜在问题；管理记录需求（如FR-26）虽可能冗余但未视为幻觉，因CitizenRecord与User关联。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BF3416"/>
    <w:rsid w:val="252A0B3F"/>
    <w:rsid w:val="364E33A0"/>
    <w:rsid w:val="4C9C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2792</Words>
  <Characters>4068</Characters>
  <Lines>0</Lines>
  <Paragraphs>0</Paragraphs>
  <TotalTime>0</TotalTime>
  <ScaleCrop>false</ScaleCrop>
  <LinksUpToDate>false</LinksUpToDate>
  <CharactersWithSpaces>4472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2025-06-28T12:41:21Z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976471F1565946068C409E18D889A931_12</vt:lpwstr>
  </property>
</Properties>
</file>