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3 System Features</w:t>
        <w:br/>
        <w:br/>
        <w:t>## 3.1 Data Processing</w:t>
        <w:br/>
        <w:br/>
        <w:t>### 3.1.1 Meeting-Related Emails</w:t>
        <w:br/>
        <w:br/>
        <w:t>The system shall process meeting-related emails as defined by the following criteria:</w:t>
        <w:br/>
        <w:t>- Emails with subject lines containing "Meeting" or "Conference".</w:t>
        <w:br/>
        <w:t>- Emails with a "Meeting" or "Conference" calendar invite attached.</w:t>
        <w:br/>
        <w:t>- Emails sent to or from users with a role of "Manager" or "Coordinator".</w:t>
        <w:br/>
        <w:br/>
        <w:t>### 3.1.2 Contact Linking</w:t>
        <w:br/>
        <w:br/>
        <w:t>The system shall automatically link contacts to their contextual information by analyzing:</w:t>
        <w:br/>
        <w:t>- Email headers.</w:t>
        <w:br/>
        <w:t>- Calendar data.</w:t>
        <w:br/>
        <w:t>- Metadata from meeting-related emails.</w:t>
        <w:br/>
        <w:br/>
        <w:t>## 3.2 User Interface</w:t>
        <w:br/>
        <w:br/>
        <w:t>### 3.2.1 Unified Layout</w:t>
        <w:br/>
        <w:br/>
        <w:t>The system shall provide a unified layout that adheres to the following measurable standards:</w:t>
        <w:br/>
        <w:t>- Consistent alignment and spacing across all user interface components.</w:t>
        <w:br/>
        <w:t>- Common color schemes and font sizes used throughout the application.</w:t>
        <w:br/>
        <w:t>- All user interface elements shall be accessible via a single navigation menu.</w:t>
        <w:br/>
        <w:br/>
        <w:t>### 3.2.2 Dedicated Interface</w:t>
        <w:br/>
        <w:br/>
        <w:t>The system shall provide a dedicated interface for manual configuration and oversight that meets the following measurable criteria:</w:t>
        <w:br/>
        <w:t>- A separate dashboard accessible only to users with administrative privileges.</w:t>
        <w:br/>
        <w:t>- The interface shall display a ranked list of tasks based on priority and user assignment.</w:t>
        <w:br/>
        <w:t>- Users shall be able to modify system parameters within the dedicated interface using a form-based UI.</w:t>
        <w:br/>
        <w:br/>
        <w:t>## 3.3 Compliance and Security</w:t>
        <w:br/>
        <w:br/>
        <w:t>### 3.3.1 Role-Based Access Control (RBAC)</w:t>
        <w:br/>
        <w:br/>
        <w:t>The system shall implement RBAC to ensure secure access by defining:</w:t>
        <w:br/>
        <w:t>- Roles and their associated permissions.</w:t>
        <w:br/>
        <w:t>- Users shall be granted sufficient permissions based on their role.</w:t>
        <w:br/>
        <w:t>- The system shall log all access attempts for audit purposes.</w:t>
        <w:br/>
        <w:br/>
        <w:t>### 3.3.2 Data Retention and Deletion</w:t>
        <w:br/>
        <w:br/>
        <w:t>The system shall apply a retention policy to manage data as follows:</w:t>
        <w:br/>
        <w:t>- Data shall be retained for a minimum of 90 days and a maximum of 365 days, depending on the data type.</w:t>
        <w:br/>
        <w:t>- Data deletion shall be triggered by a predefined set of conditions, including user request or expiration of retention period.</w:t>
        <w:br/>
        <w:t>- The system shall ensure that all sensitive data is encrypted during storage and transmission.</w:t>
      </w:r>
    </w:p>
    <w:p>
      <w:pPr>
        <w:pStyle w:val="Heading1"/>
      </w:pPr>
      <w:r>
        <w:t>External Description</w:t>
      </w:r>
    </w:p>
    <w:p>
      <w:r>
        <w:t># 4 External Interface Requirements</w:t>
        <w:br/>
        <w:br/>
        <w:t>## 4.1 User Interfaces</w:t>
        <w:br/>
        <w:br/>
        <w:t>The system shall provide a user interface that meets the following measurable criteria:</w:t>
        <w:br/>
        <w:t>- The interface shall be responsive and functional on all modern web browsers (e.g., Chrome 100+, Firefox 95+, Safari 15+).</w:t>
        <w:br/>
        <w:t>- The interface shall load within 3 seconds under normal network conditions.</w:t>
        <w:br/>
        <w:t>- The interface shall support keyboard navigation and screen reader compatibility.</w:t>
        <w:br/>
        <w:br/>
        <w:t>## 4.2 Hardware Interfaces</w:t>
        <w:br/>
        <w:br/>
        <w:t>The system shall be compatible with the following hardware:</w:t>
        <w:br/>
        <w:t>- Workstations running Ubuntu 22.04 LTS or RHEL 8.</w:t>
        <w:br/>
        <w:t>- Mobile devices with a minimum screen size of 7 inches and a resolution of 1024x768 pixels.</w:t>
        <w:br/>
        <w:t>- Printers with standard USB or network interfaces.</w:t>
        <w:br/>
        <w:br/>
        <w:t>## 4.3 Software Interfaces</w:t>
        <w:br/>
        <w:br/>
        <w:t>The system shall interface with the following software:</w:t>
        <w:br/>
        <w:t>- Email clients such as Microsoft Outlook and Apple Mail.</w:t>
        <w:br/>
        <w:t>- Calendar systems such as Google Calendar and Microsoft Exchange.</w:t>
        <w:br/>
        <w:t>- Database systems such as PostgreSQL and MySQL.</w:t>
        <w:br/>
        <w:br/>
        <w:t>## 4.4 Communication Interfaces</w:t>
        <w:br/>
        <w:br/>
        <w:t>The system shall support communication interfaces with the following specifications:</w:t>
        <w:br/>
        <w:t>- RESTful API endpoints for integration with other systems.</w:t>
        <w:br/>
        <w:t>- The system shall support HTTPS for secure communication.</w:t>
        <w:br/>
        <w:t>- The system shall be configured to run within an enterprise network, with access control policies defined in the security requirements.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