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ID       | 幻觉需求 | 完整引用 | 可测试 | 评判理由 |</w:t>
      </w:r>
    </w:p>
    <w:p>
      <w:r>
        <w:t>|------------------|----------|----------|--------|----------|</w:t>
      </w:r>
    </w:p>
    <w:p>
      <w:r>
        <w:t>| ASSET-LOG-001    | 否       | 是       | 是     | 涉及资产、用户、位置实体，输入输出明确（扫码记录信息） |</w:t>
      </w:r>
    </w:p>
    <w:p>
      <w:r>
        <w:t>| ASSET-VIEW-001   | 否       | 是       | 是     | 基于资产实体状态展示，输入（资产ID）输出（状态+位置）明确 |</w:t>
      </w:r>
    </w:p>
    <w:p>
      <w:r>
        <w:t>| ASSET-ALERT-001  | 否       | 是       | 是     | 依赖资产和用户实体，触发条件和输出（邮件/弹窗）明确 |</w:t>
      </w:r>
    </w:p>
    <w:p>
      <w:r>
        <w:t>| ASSET-ALERT-002  | 否       | 是       | 是     | 用户响应操作与资产状态关联，输入（用户操作）输出（状态更新）明确 |</w:t>
      </w:r>
    </w:p>
    <w:p>
      <w:r>
        <w:t>| ASSET-APPROVAL-001| 否       | 是       | 是     | 审批规则与资产类型/价值关联，输入（资产属性）输出（审批流程）明确 |</w:t>
      </w:r>
    </w:p>
    <w:p>
      <w:r>
        <w:t>| ASSET-APPROVAL-002| 否       | 是       | 是     | 审批状态实时可见，依赖通知接口（外部已定义），输入输出明确 |</w:t>
      </w:r>
    </w:p>
    <w:p>
      <w:r>
        <w:t>| ASSET-STATUS-001 | 否       | 是       | 是     | 用户查看审批记录，依赖资产和审批实体，输入输出明确 |</w:t>
      </w:r>
    </w:p>
    <w:p>
      <w:r>
        <w:t>| ASSET-ACCESS-001 | 否       | 是       | 是     | 多端访问功能，依赖已有实体（资产、用户），输入输出明确 |</w:t>
      </w:r>
    </w:p>
    <w:p>
      <w:r>
        <w:t>| ASSET-AUDIT-001  | 否       | 是       | 是     | 审计日志与所有核心实体关联，输入（操作事件）输出（日志记录）明确 |</w:t>
      </w:r>
    </w:p>
    <w:p/>
    <w:p>
      <w:r>
        <w:t>### 数据实体统计</w:t>
      </w:r>
    </w:p>
    <w:p>
      <w:r>
        <w:t xml:space="preserve">1. **资产**（Asset）  </w:t>
      </w:r>
    </w:p>
    <w:p>
      <w:r>
        <w:t xml:space="preserve">2. **用户**（User）  </w:t>
      </w:r>
    </w:p>
    <w:p>
      <w:r>
        <w:t xml:space="preserve">3. **位置**（GPS Location）  </w:t>
      </w:r>
    </w:p>
    <w:p>
      <w:r>
        <w:t xml:space="preserve">4. **审批记录**（Approval Record）  </w:t>
      </w:r>
    </w:p>
    <w:p>
      <w:r>
        <w:t xml:space="preserve">5. **审计日志**（Audit Log）  </w:t>
      </w:r>
    </w:p>
    <w:p/>
    <w:p>
      <w:r>
        <w:t>### 总结</w:t>
      </w:r>
    </w:p>
    <w:p>
      <w:r>
        <w:t xml:space="preserve">- **功能需求总数**：9条（合并后）  </w:t>
      </w:r>
    </w:p>
    <w:p>
      <w:r>
        <w:t xml:space="preserve">- **幻觉需求**：0条（所有需求均与核心实体强关联）  </w:t>
      </w:r>
    </w:p>
    <w:p>
      <w:r>
        <w:t xml:space="preserve">- **完整引用需求**：9条（所有输入/输出均可在文档中找到依据）  </w:t>
      </w:r>
    </w:p>
    <w:p>
      <w:r>
        <w:t xml:space="preserve">- **可测试需求**：9条（所有需求均具备明确的输入输出路径）  </w:t>
      </w:r>
    </w:p>
    <w:p>
      <w:r>
        <w:t xml:space="preserve">- **数据实体数量**：5个  </w:t>
      </w:r>
    </w:p>
    <w:p/>
    <w:p>
      <w:r>
        <w:t>### 分析说明</w:t>
      </w:r>
    </w:p>
    <w:p>
      <w:r>
        <w:t xml:space="preserve">1. **无幻觉需求**：所有功能均围绕资产、用户、审批等核心实体展开，E-R图保持强连接性。  </w:t>
      </w:r>
    </w:p>
    <w:p>
      <w:r>
        <w:t xml:space="preserve">2. **完整引用**：例如审批通知依赖外部邮件接口（C-INT-002）、GPS依赖外部服务（C-INT-001），均已在约束中定义。  </w:t>
      </w:r>
    </w:p>
    <w:p>
      <w:r>
        <w:t xml:space="preserve">3. **可测试性**：  </w:t>
      </w:r>
    </w:p>
    <w:p>
      <w:r>
        <w:t xml:space="preserve">   - 如ASSET-LOG-001可通过模拟扫码操作验证日志记录；  </w:t>
      </w:r>
    </w:p>
    <w:p>
      <w:r>
        <w:t xml:space="preserve">   - ASSET-ALERT-001可通过设置逾期条件触发通知测试。  </w:t>
      </w:r>
    </w:p>
    <w:p>
      <w:r>
        <w:t xml:space="preserve">4. **严格性控制**：部分需求（如ASSET-ACCESS-001）依赖外部硬件（C-HW-001），但因约束已明确，仍视为可测试。  </w:t>
      </w:r>
    </w:p>
    <w:p/>
    <w:p>
      <w:r>
        <w:t>（注：若需进一步调整评判严格度，可细化实体关联规则或外部依赖的显式声明要求。）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