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AEE70">
      <w:pPr>
        <w:pStyle w:val="3"/>
      </w:pPr>
      <w:r>
        <w:t>LLM 自动化评估结果</w:t>
      </w:r>
    </w:p>
    <w:p w14:paraId="077163F3">
      <w:r>
        <w:t>### 数据实体统计</w:t>
      </w:r>
    </w:p>
    <w:p w14:paraId="02A94C17">
      <w:r>
        <w:t>从功能需求文档中提取的系统内需要管理的数据实体如下：</w:t>
      </w:r>
    </w:p>
    <w:p w14:paraId="7E3EA34A">
      <w:r>
        <w:t>1. Asset (资产)</w:t>
      </w:r>
    </w:p>
    <w:p w14:paraId="0863D920">
      <w:r>
        <w:t>2. AssetRegistration (资产登记记录)</w:t>
      </w:r>
    </w:p>
    <w:p w14:paraId="65CF3C21">
      <w:r>
        <w:t>3. AssetUsage (资产使用记录)</w:t>
      </w:r>
    </w:p>
    <w:p w14:paraId="09884224">
      <w:r>
        <w:t>4. AssetTransfer (资产转移记录)</w:t>
      </w:r>
    </w:p>
    <w:p w14:paraId="61FBC1F3">
      <w:r>
        <w:t>5. AssetReturn (资产归还记录)</w:t>
      </w:r>
    </w:p>
    <w:p w14:paraId="6A0A2C65">
      <w:r>
        <w:t>6. User (用户)</w:t>
      </w:r>
    </w:p>
    <w:p w14:paraId="3CF88E8D">
      <w:r>
        <w:t>7. Manager (管理员)</w:t>
      </w:r>
    </w:p>
    <w:p w14:paraId="7256360A">
      <w:r>
        <w:t>8. ApprovalProcess (审批流程)</w:t>
      </w:r>
    </w:p>
    <w:p w14:paraId="3A14FB6D">
      <w:r>
        <w:t>9. ApprovalNode (审批节点)</w:t>
      </w:r>
    </w:p>
    <w:p w14:paraId="0525D4C6">
      <w:r>
        <w:t>10. Report (报表)</w:t>
      </w:r>
    </w:p>
    <w:p w14:paraId="7462FA1A">
      <w:r>
        <w:t>11. EmailNotification (邮件通知)</w:t>
      </w:r>
    </w:p>
    <w:p w14:paraId="06F3F743">
      <w:r>
        <w:t>12. EmailFeedback (邮件反馈)</w:t>
      </w:r>
    </w:p>
    <w:p w14:paraId="3CBFD391">
      <w:r>
        <w:t>13. 系统日志（隐含实体）</w:t>
      </w:r>
    </w:p>
    <w:p w14:paraId="70272533"/>
    <w:p w14:paraId="3AACDE51">
      <w:r>
        <w:t>共13个数据实体。</w:t>
      </w:r>
    </w:p>
    <w:p w14:paraId="4F7A93F5"/>
    <w:p w14:paraId="7FBC1269">
      <w:r>
        <w:t>### 功能需求合并与归类</w:t>
      </w:r>
    </w:p>
    <w:p w14:paraId="7BF2CFF7">
      <w:r>
        <w:t>按照规则合并后的功能需求：</w:t>
      </w:r>
    </w:p>
    <w:p w14:paraId="499406C5">
      <w:r>
        <w:t>1. 资产登记功能 (FR-01)</w:t>
      </w:r>
    </w:p>
    <w:p w14:paraId="2A83D0A0">
      <w:r>
        <w:t>2. 资产使用功能 (FR-02)</w:t>
      </w:r>
    </w:p>
    <w:p w14:paraId="616E296D">
      <w:r>
        <w:t>3. 资产转移功能 (FR-03)</w:t>
      </w:r>
    </w:p>
    <w:p w14:paraId="3EB38386">
      <w:r>
        <w:t>4. 资产归还功能 (FR-04)</w:t>
      </w:r>
    </w:p>
    <w:p w14:paraId="33F7C8A4">
      <w:r>
        <w:t>5. 删除资产功能 (FR-05)</w:t>
      </w:r>
    </w:p>
    <w:p w14:paraId="5DD8C467">
      <w:r>
        <w:t>6. 用户管理功能 (合并FR-06,FR-07,FR-08,FR-09)</w:t>
      </w:r>
    </w:p>
    <w:p w14:paraId="6CCDCA0C">
      <w:r>
        <w:t>7. 审批流程配置功能 (合并FR-10,FR-12)</w:t>
      </w:r>
    </w:p>
    <w:p w14:paraId="43F44FD3">
      <w:r>
        <w:t>8. 启动审批流程功能 (FR-11)</w:t>
      </w:r>
    </w:p>
    <w:p w14:paraId="32E66D20">
      <w:r>
        <w:t>9. 报表功能 (合并FR-13,FR-14,FR-15)</w:t>
      </w:r>
    </w:p>
    <w:p w14:paraId="648C4121">
      <w:r>
        <w:t>10. 管理员权限管理功能 (合并FR-16,FR-17,FR-18)</w:t>
      </w:r>
    </w:p>
    <w:p w14:paraId="71C419CC">
      <w:r>
        <w:t>11. 数据导入功能 (FR-19)</w:t>
      </w:r>
    </w:p>
    <w:p w14:paraId="73E33995">
      <w:r>
        <w:t>12. 数据导出功能 (FR-20)</w:t>
      </w:r>
    </w:p>
    <w:p w14:paraId="0B862262">
      <w:r>
        <w:t>13. 审批状态查询功能 (FR-21)</w:t>
      </w:r>
    </w:p>
    <w:p w14:paraId="2E049A23">
      <w:r>
        <w:t>14. 资产变动记录查询功能 (FR-22)</w:t>
      </w:r>
    </w:p>
    <w:p w14:paraId="26811CCC">
      <w:r>
        <w:t>15. 邮件通知功能 (FR-23)</w:t>
      </w:r>
    </w:p>
    <w:p w14:paraId="30128140">
      <w:r>
        <w:t>16. 邮件反馈功能 (FR-24)</w:t>
      </w:r>
    </w:p>
    <w:p w14:paraId="2504F2B0"/>
    <w:p w14:paraId="01609395">
      <w:r>
        <w:t>合并后共16个功能需求。</w:t>
      </w:r>
    </w:p>
    <w:p w14:paraId="0EC052E0"/>
    <w:p w14:paraId="07140979">
      <w:r>
        <w:t>### 功能需求评估表</w:t>
      </w:r>
    </w:p>
    <w:p w14:paraId="36211BA1"/>
    <w:p w14:paraId="6AAC10F9">
      <w:r>
        <w:t>| 功能需求 | 幻觉需求 | 完整引用 | 可测试性 | 评判理由 |</w:t>
      </w:r>
    </w:p>
    <w:p w14:paraId="156F2FC3">
      <w:r>
        <w:t>|---------|---------|---------|---------|---------|</w:t>
      </w:r>
    </w:p>
    <w:p w14:paraId="453ED519">
      <w:r>
        <w:t>| FR-01 资产登记 | 否 | 是 | 是 | 所有输入输出均有明确定义，且与数据实体关联 |</w:t>
      </w:r>
    </w:p>
    <w:p w14:paraId="3AE83F0C">
      <w:r>
        <w:t>| FR-02 资产使用 | 否 | 是 | 是 | 输入输出完整，操作流程清晰 |</w:t>
      </w:r>
    </w:p>
    <w:p w14:paraId="73A8ADF3">
      <w:r>
        <w:t>| FR-03 资产转移 | 否 | 是 | 是 | 包含完整的审批流程触发机制 |</w:t>
      </w:r>
    </w:p>
    <w:p w14:paraId="731DD037">
      <w:r>
        <w:t>| FR-04 资产归还 | 否 | 是 | 是 | 类似于FR-03，流程完整 |</w:t>
      </w:r>
    </w:p>
    <w:p w14:paraId="6A00EC5B">
      <w:r>
        <w:t>| FR-05 删除资产 | 否 | 是 | 是 | 简单明确的删除操作 |</w:t>
      </w:r>
    </w:p>
    <w:p w14:paraId="1D584C3A">
      <w:r>
        <w:t>| 用户管理(合并) | 否 | 是 | 是 | 包含完整的CRUD操作 |</w:t>
      </w:r>
    </w:p>
    <w:p w14:paraId="6D02BEF2">
      <w:r>
        <w:t>| 审批流程配置(合并) | 否 | 是 | 部分 | 流程配置可测，但节点关系验证较复杂 |</w:t>
      </w:r>
    </w:p>
    <w:p w14:paraId="71034C14">
      <w:r>
        <w:t>| FR-11 启动审批 | 否 | 是 | 是 | 明确的触发机制和通知流程 |</w:t>
      </w:r>
    </w:p>
    <w:p w14:paraId="5A5ED1A5">
      <w:r>
        <w:t>| 报表功能(合并) | 否 | 是 | 部分 | 生成和分析可测，但分析质量难验证 |</w:t>
      </w:r>
    </w:p>
    <w:p w14:paraId="577AB2B6">
      <w:r>
        <w:t>| 管理员权限管理(合并) | 否 | 是 | 是 | 权限变更操作明确 |</w:t>
      </w:r>
    </w:p>
    <w:p w14:paraId="43E11030">
      <w:r>
        <w:t>| FR-19 数据导入 | 否 | 是 | 是 | 明确的文件格式和数据处理流程 |</w:t>
      </w:r>
    </w:p>
    <w:p w14:paraId="7305C64B">
      <w:r>
        <w:t>| FR-20 数据导出 | 否 | 是 | 是 | 输出格式和参数明确 |</w:t>
      </w:r>
    </w:p>
    <w:p w14:paraId="1E559A45">
      <w:r>
        <w:t>| FR-21 审批状态查询 | 否 | 是 | 是 | 简单查询功能 |</w:t>
      </w:r>
    </w:p>
    <w:p w14:paraId="597CECB9">
      <w:r>
        <w:t>| FR-22 资产变动查询 | 否 | 是 | 是 | 基于条件的查询功能 |</w:t>
      </w:r>
    </w:p>
    <w:p w14:paraId="7BBF7E39">
      <w:r>
        <w:t xml:space="preserve">| FR-23 邮件通知 | </w:t>
      </w:r>
      <w:r>
        <w:rPr>
          <w:rFonts w:hint="eastAsia" w:eastAsia="宋体"/>
          <w:lang w:val="en-US" w:eastAsia="zh-CN"/>
        </w:rPr>
        <w:t>否</w:t>
      </w:r>
      <w:r>
        <w:t xml:space="preserve"> | 否 | 否 | "邮件内容"字段未明确定义格式和规范 |</w:t>
      </w:r>
    </w:p>
    <w:p w14:paraId="012B292D">
      <w:r>
        <w:t xml:space="preserve">| FR-24 邮件反馈 | </w:t>
      </w:r>
      <w:r>
        <w:rPr>
          <w:rFonts w:hint="eastAsia" w:eastAsia="宋体"/>
          <w:lang w:val="en-US" w:eastAsia="zh-CN"/>
        </w:rPr>
        <w:t>否</w:t>
      </w:r>
      <w:r>
        <w:t xml:space="preserve"> | 否 | 否 | 反馈处理流程不明确，缺乏处理标准 |</w:t>
      </w:r>
    </w:p>
    <w:p w14:paraId="2550E8EA"/>
    <w:p w14:paraId="67AE8C64">
      <w:r>
        <w:t>### 总结</w:t>
      </w:r>
    </w:p>
    <w:p w14:paraId="713BBEC2">
      <w:r>
        <w:t>经过相同功能点合并后，功能需求共16条，其中：</w:t>
      </w:r>
    </w:p>
    <w:p w14:paraId="489FCED0">
      <w:r>
        <w:t>- 幻觉需求有</w:t>
      </w:r>
      <w:r>
        <w:rPr>
          <w:rFonts w:hint="eastAsia" w:eastAsia="宋体"/>
          <w:lang w:val="en-US" w:eastAsia="zh-CN"/>
        </w:rPr>
        <w:t>0</w:t>
      </w:r>
      <w:r>
        <w:t>条（FR-23, FR-24）</w:t>
      </w:r>
    </w:p>
    <w:p w14:paraId="0616E2E0">
      <w:r>
        <w:t>- 非幻觉需求有1</w:t>
      </w:r>
      <w:r>
        <w:rPr>
          <w:rFonts w:hint="eastAsia" w:eastAsia="宋体"/>
          <w:lang w:val="en-US" w:eastAsia="zh-CN"/>
        </w:rPr>
        <w:t>6</w:t>
      </w:r>
      <w:r>
        <w:t>条</w:t>
      </w:r>
    </w:p>
    <w:p w14:paraId="100C9879">
      <w:r>
        <w:t>- 非幻觉需求中完整引用的功能需求有14条</w:t>
      </w:r>
      <w:bookmarkStart w:id="0" w:name="_GoBack"/>
      <w:bookmarkEnd w:id="0"/>
    </w:p>
    <w:p w14:paraId="58B741C8">
      <w:r>
        <w:t>- 非幻觉需求且完整引用的需求中可操作的功能需求有12条（2条部分可测）</w:t>
      </w:r>
    </w:p>
    <w:p w14:paraId="43F31073">
      <w:r>
        <w:t>- 整个文档涉及的数据实体有13个</w:t>
      </w:r>
    </w:p>
    <w:p w14:paraId="2F8D95AA"/>
    <w:p w14:paraId="21141375">
      <w:r>
        <w:t>主要问题集中在邮件相关功能(FR-23,24)：</w:t>
      </w:r>
    </w:p>
    <w:p w14:paraId="2217CD41">
      <w:r>
        <w:t>1. 邮件内容格式和处理标准未明确定义</w:t>
      </w:r>
    </w:p>
    <w:p w14:paraId="02B70C9E">
      <w:r>
        <w:t>2. 反馈处理流程描述不完整</w:t>
      </w:r>
    </w:p>
    <w:p w14:paraId="6FDFAF99">
      <w:r>
        <w:t>3. 与其他实体关联性较弱</w:t>
      </w:r>
    </w:p>
    <w:p w14:paraId="5EDD1B31"/>
    <w:p w14:paraId="3BC618EA">
      <w:r>
        <w:t>建议改进方向：</w:t>
      </w:r>
    </w:p>
    <w:p w14:paraId="402B225D">
      <w:r>
        <w:t>1. 明确定义邮件模板和内容规范</w:t>
      </w:r>
    </w:p>
    <w:p w14:paraId="28CAEDA9">
      <w:r>
        <w:t>2. 补充反馈处理的状态机和工作流</w:t>
      </w:r>
    </w:p>
    <w:p w14:paraId="1CE0F178">
      <w:r>
        <w:t>3. 加强邮件实体与其他核心实体的关联关系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172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1046</Words>
  <Characters>1490</Characters>
  <Lines>0</Lines>
  <Paragraphs>0</Paragraphs>
  <TotalTime>0</TotalTime>
  <ScaleCrop>false</ScaleCrop>
  <LinksUpToDate>false</LinksUpToDate>
  <CharactersWithSpaces>1746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2025-06-27T07:10:02Z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95BD020125BF45E6BE99449AB5F3D480_12</vt:lpwstr>
  </property>
</Properties>
</file>