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>
      <w:r>
        <w:t>| 功能需求ID | 幻觉需求 | 完整引用 | 可测试 | 评判理由 |</w:t>
      </w:r>
    </w:p>
    <w:p>
      <w:r>
        <w:t>|------------|----------|----------|--------|----------|</w:t>
      </w:r>
    </w:p>
    <w:p>
      <w:r>
        <w:t>| FR-01      | 否       | 是       | 是     | 涉及Customer/Account实体，与系统核心连通；输入输出在FR-17/外部接口中定义；可通过模拟注册流程测试 |</w:t>
      </w:r>
    </w:p>
    <w:p>
      <w:r>
        <w:t>| FR-02      | 否       | 是       | 是     | 基于FR-01创建的账户实体；输入输出明确；可通过凭证验证测试 |</w:t>
      </w:r>
    </w:p>
    <w:p>
      <w:r>
        <w:t>| FR-03      | 否       | 是       | 是     | 会话管理与FR-02关联；输入输出在需求中明确定义；可测试会话终止 |</w:t>
      </w:r>
    </w:p>
    <w:p>
      <w:r>
        <w:t>| FR-04      | 否       | 否       | 部分   | 未明确定义"暂停账户"操作和数据清理规则（完整性不足）；基本CRUD可测试但状态转换逻辑不完整 |</w:t>
      </w:r>
    </w:p>
    <w:p>
      <w:r>
        <w:t>| FR-05      | 否       | 是       | 是     | 关联Product/Inventory实体；输入输出明确定义；可验证库存检查逻辑 |</w:t>
      </w:r>
    </w:p>
    <w:p>
      <w:r>
        <w:t>| FR-06      | 否       | 是       | 是     | 与FR-05共享实体；输入输出清晰；可测试数量修改边界值 |</w:t>
      </w:r>
    </w:p>
    <w:p>
      <w:r>
        <w:t>| FR-07      | 否       | 是       | 是     | 纯查询功能；输入输出明确；可通过数据快照验证 |</w:t>
      </w:r>
    </w:p>
    <w:p>
      <w:r>
        <w:t>| FR-08      | 否       | 否       | 部分   | "支付处理"依赖外部API但未定义失败场景（不完整）；基础订单创建可测试 |</w:t>
      </w:r>
    </w:p>
    <w:p>
      <w:r>
        <w:t>| FR-09      | 否       | 是       | 是     | 与FR-08共享实体；纯查询功能；输入输出清晰可验证 |</w:t>
      </w:r>
    </w:p>
    <w:p>
      <w:r>
        <w:t>| FR-10      | 否       | 是       | 是     | 依赖FR-08的订单实体；邮件服务在2.3.4定义；可测试状态机转换 |</w:t>
      </w:r>
    </w:p>
    <w:p>
      <w:r>
        <w:t>| FR-11      | 否       | 否       | 是     | "管理员凭证"未在FR-19前明确定义（完整性不足）；但认证流程可测试 |</w:t>
      </w:r>
    </w:p>
    <w:p>
      <w:r>
        <w:t>| FR-12      | 否       | 是       | 是     | 与FR-11逻辑对称；会话管理流程清晰可测 |</w:t>
      </w:r>
    </w:p>
    <w:p>
      <w:r>
        <w:t>| FR-13      | 否       | 是       | 是     | 关联Product/Inventory实体；输入输出完整；可测试CRUD操作 |</w:t>
      </w:r>
    </w:p>
    <w:p>
      <w:r>
        <w:t>| FR-14      | 否       | 是       | 是     | 库存实体独立存在；输入输出明确；可测试库存更新逻辑 |</w:t>
      </w:r>
    </w:p>
    <w:p>
      <w:r>
        <w:t>| FR-15      | 否       | 否       | 部分   | "触发退款"未定义具体规则（不完整）；基础状态更新可测试 |</w:t>
      </w:r>
    </w:p>
    <w:p>
      <w:r>
        <w:t>| FR-16      | 否       | 是       | 是     | 支付信息实体独立；卡验证规则明确；可测试加密存储逻辑 |</w:t>
      </w:r>
    </w:p>
    <w:p>
      <w:r>
        <w:t>| FR-17      | 否       | 是       | 是     | 联系信息实体在FR-01定义；格式验证明确；可测试边界值 |</w:t>
      </w:r>
    </w:p>
    <w:p>
      <w:r>
        <w:t>| FR-18      | 否       | 是       | 是     | 类别实体独立；产品重分配逻辑明确；可测试关联性维护 |</w:t>
      </w:r>
    </w:p>
    <w:p>
      <w:r>
        <w:t>| FR-19      | 否       | 是       | 是     | 管理员实体独立；权限验证明确；可测试RBAC实现 |</w:t>
      </w:r>
    </w:p>
    <w:p>
      <w:r>
        <w:t>| FR-20      | 否       | 是       | 是     | 依赖FR-08的OrderItem；库存联动明确；可测试总额重算逻辑 |</w:t>
      </w:r>
    </w:p>
    <w:p/>
    <w:p>
      <w:r>
        <w:t>### 总结</w:t>
      </w:r>
    </w:p>
    <w:p>
      <w:r>
        <w:t>- **数据实体数量**：11个（Customer, Account, Contact, ShoppingCart, Product, Inventory, Order, OrderItem, Payment, Category, Administrator）</w:t>
      </w:r>
    </w:p>
    <w:p>
      <w:r>
        <w:t>- **合并后功能需求**：20条（无同实体同操作可合并项，无通用类需求）</w:t>
      </w:r>
    </w:p>
    <w:p>
      <w:r>
        <w:t>- **幻觉需求**：0条（所有需求均关联核心实体，ER图全连通）</w:t>
      </w:r>
    </w:p>
    <w:p>
      <w:r>
        <w:t>- **非幻觉需求**：20条</w:t>
      </w:r>
    </w:p>
    <w:p>
      <w:r>
        <w:t>- **完整引用需求**：15条（FR-04/08/11/15存在未定义要素）</w:t>
      </w:r>
    </w:p>
    <w:p>
      <w:r>
        <w:t>- **可测试需求**：18条（FR-04/08因规则不完整导致部分不可测）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