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LLM Automated Evaluation Results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Functional Requirements Evaluation Report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Data Entity Identification Results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Extracted data entities from functional requirements (total 10):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- Asset (involves FR-01, FR-02, FR-03, FR-04, FR-05, FR-06, FR-22)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- User (involves FR-07, FR-08, FR-09, FR-10)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- ApprovalProcess (involves FR-11)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- ApprovalRequest (involves FR-12, FR-13, FR-14)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- Report (involves FR-15, FR-16)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- PermissionSetting (involves FR-17)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- AuditReport (involves FR-18)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- Email (involves FR-19, FR-20, FR-21)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- Feedback (involves FR-20)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- AssetChangeRecord (involves FR-22)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Functional Requirements Merging Results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Applied merging rules: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- No merging performed as all requirements target different entities or operations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- No system-wide setting requirements to remove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- Final functional requirement count: 22 (same as original document)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Functional Requirements Evaluation Details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Functional Requirement | Hallucination | Judgment Reason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FR-01: Register asset | No | Involves Asset entity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FR-02: Modify asset information | No | Involves Asset entity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FR-03: Query asset details | No | Involves Asset entity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FR-04: Transfer asset | No | Involves Asset and User entities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FR-05: Return asset | No | Involves Asset entity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FR-06: Delete obsolete asset | No | Involves Asset entity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FR-07: Add user | No | Involves User entity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FR-08: Modify user profile | No | Involves User entity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FR-09: Query user information | No | Involves User entity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FR-10: Delete user | No | Involves User entity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FR-11: Configure approval process | No | Involves ApprovalProcess entity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FR-12: Submit approval request | No | Involves ApprovalRequest entity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FR-13: View approval status | No | Involves ApprovalRequest entity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FR-14: Process approval request | No | Involves ApprovalRequest and Asset/User entities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FR-15: Generate report | No | Involves Report entity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FR-16: Export report data | No | Involves Report entity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FR-17: Set administrator permissions | No | Involves PermissionSetting entity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FR-18: Audit asset records | No | Involves AuditReport entity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FR-19: Send email notification | No | Involves Email entity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FR-20: Receive email feedback | No | Involves Feedback and Email entities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FR-21: View email records | No | Involves Email entity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FR-22: View asset change records | No | Involves AssetChangeRecord entity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Summary Statistics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- Total data entities in document: 10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- Functional requirements after merging: 22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- Hallucination requirements: 0 (all entities properly connected via core entities)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- Non-hallucination requirements: 22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Final Summary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The document involves 10 data entities. After functional point merging, there are 22 requirements in total, including 0 hallucination requirements and 22 non-hallucination requirements. All entities are properly connected in the entity-relationship graph through core entities (Asset and User).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4923"/>
    <w:rsid w:val="0029639D"/>
    <w:rsid w:val="00326F90"/>
    <w:rsid w:val="00AA1D8D"/>
    <w:rsid w:val="00B47730"/>
    <w:rsid w:val="00CB0664"/>
    <w:rsid w:val="00DB4E6C"/>
    <w:rsid w:val="00FA46D0"/>
    <w:rsid w:val="00FC693F"/>
    <w:rsid w:val="74E7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431</Words>
  <Characters>2461</Characters>
  <Lines>20</Lines>
  <Paragraphs>5</Paragraphs>
  <TotalTime>1</TotalTime>
  <ScaleCrop>false</ScaleCrop>
  <LinksUpToDate>false</LinksUpToDate>
  <CharactersWithSpaces>2887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2025-07-23T10:14:21Z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4DB56BAF734726F67D45806859F8A71A_42</vt:lpwstr>
  </property>
</Properties>
</file>