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6):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Asset (involves FR-01, FR-02, FR-03, FR-04, FR-05, FR-06)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User (involves FR-07, FR-08)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Permission (involves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Approval Process (involves FR-10, FR-11,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Operation Log (involves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 (involves FR-16, FR-17)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entities/operations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17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Asset registration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Asset modification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Asset query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Asset transfer | No | Involves Asset and User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Asset return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Asset deletion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User creation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User profile update | No | Involves User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Permission assignment | No | Involves Permission and User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Approval submission | No | Involves Approval Process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Approval view | No | Involves Approval Process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Approval processing | No | Involves Approval Process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Report export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Data import | No | Involves Asset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Admin log view | No | Involves Operation Log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Email sending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Email view | No | Involves Email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6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17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17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The document involves 6 data entities. After functional point merging, there are 17 requirements in total, including 0 hallucination requirements and 17 non-hallucination requirements. All entities are properly connected in the entity-relationship graph through core entities (Asset and User).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E3D"/>
    <w:rsid w:val="007A5E9F"/>
    <w:rsid w:val="00A70896"/>
    <w:rsid w:val="00AA1D8D"/>
    <w:rsid w:val="00AE3354"/>
    <w:rsid w:val="00B47730"/>
    <w:rsid w:val="00CB0664"/>
    <w:rsid w:val="00FC693F"/>
    <w:rsid w:val="7FFB4AC6"/>
    <w:rsid w:val="FEFDB1EE"/>
    <w:rsid w:val="FFBD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357</Words>
  <Characters>2038</Characters>
  <Lines>16</Lines>
  <Paragraphs>4</Paragraphs>
  <TotalTime>1</TotalTime>
  <ScaleCrop>false</ScaleCrop>
  <LinksUpToDate>false</LinksUpToDate>
  <CharactersWithSpaces>2391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2025-07-23T10:14:24Z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1F63A879DB86A38A89B264688D5944B8_42</vt:lpwstr>
  </property>
</Properties>
</file>