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FR-01, FR-02, FR-03, FR-04)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FR-01,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Category (involves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Process (involves FR-02, FR-03, FR-04, FR-07)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Report (involves FR-05)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Permission (involves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Status (involves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Node (involves FR-13)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13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registration | No | Involves Asset and User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Asset usage | No | Involves Asset and Process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Asset transfer | No | Involves Asset, User and Process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Asset return | No | Involves Asset and Process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Report analysis | No | Involves Report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Permission assignment | No | Involves Permission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Approval workflow | No | Involves Process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Data export | No | Involves multiple core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Authentication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Email notification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Category management | No | Involves Category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Status management | No | Involves Status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Node management | No | Involves Node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13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13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The document involves 8 data entities. After functional point merging, there are 13 requirements in total, including 0 hallucination requirements and 13 non-hallucination requirements. All entities are properly connected in the entity-relationship graph through core entities (Asset and User).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2297"/>
    <w:rsid w:val="00AA1D8D"/>
    <w:rsid w:val="00B47730"/>
    <w:rsid w:val="00CB0664"/>
    <w:rsid w:val="00E25120"/>
    <w:rsid w:val="00FA5FAB"/>
    <w:rsid w:val="00FC693F"/>
    <w:rsid w:val="7ED7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332</Words>
  <Characters>1896</Characters>
  <Lines>15</Lines>
  <Paragraphs>4</Paragraphs>
  <TotalTime>1</TotalTime>
  <ScaleCrop>false</ScaleCrop>
  <LinksUpToDate>false</LinksUpToDate>
  <CharactersWithSpaces>2224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2025-07-23T10:16:09Z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5A1736B99F1DB3ECE9458068C392C593_42</vt:lpwstr>
  </property>
</Properties>
</file>