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9):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FR-01, FR-02)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FR-03,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Category (involves FR-13, FR-14,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 (involves FR-04, FR-05,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CartItem (involves FR-04, FR-05,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FR-07, FR-08,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OrderDetail (involves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FR-16, FR-17)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19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registration | No | Involves Customer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View product details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Add to cart | No | Involves Cart and CartItem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Update cart | No | Involves CartItem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Remove cart item | No | Involves CartItem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Checkout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Confirm order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Send order confirmation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Admin login | No | Involves Customer entity (admin role)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Manage inventory | No | Involves Inventory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Update product info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Manage categories | No | Involves Category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Create category | No | Involves Category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Delete category | No | Involves Category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Install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Configure plugin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View payment info | No | Payment info embedded in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Update order details | No | Involves OrderDetail entity connected to Order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19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9 data entities. After functional point merging, there are 19 requirements in total, including 0 hallucination requirements and 19 non-hallucination requirements. All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Payment-related operations (FR-07/08/18) use embedded payment info in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Plugin operations (FR-16/17) involve Plugin entity with defined relationships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No isolated entities found in the requirement set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20AC"/>
    <w:rsid w:val="00AA1D8D"/>
    <w:rsid w:val="00B47730"/>
    <w:rsid w:val="00C86FC0"/>
    <w:rsid w:val="00CB0664"/>
    <w:rsid w:val="00D5080E"/>
    <w:rsid w:val="00F22D8E"/>
    <w:rsid w:val="00FC693F"/>
    <w:rsid w:val="0E7B9DA6"/>
    <w:rsid w:val="3FAAB889"/>
    <w:rsid w:val="77F71C81"/>
    <w:rsid w:val="7FFF417B"/>
    <w:rsid w:val="CF7F36B5"/>
    <w:rsid w:val="D7AB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441</Words>
  <Characters>2519</Characters>
  <Lines>20</Lines>
  <Paragraphs>5</Paragraphs>
  <TotalTime>1</TotalTime>
  <ScaleCrop>false</ScaleCrop>
  <LinksUpToDate>false</LinksUpToDate>
  <CharactersWithSpaces>2955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2025-07-23T10:16:34Z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566F7DB4CC6359E207D8686865141482_42</vt:lpwstr>
  </property>
</Properties>
</file>