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10):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Account (involves FR-01, FR-02/03,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FR-04, FR-11, FR-12)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Cart (involves FR-05)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CartItem (involves FR-06)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FR-07,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OrderItem (involves FR-08)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Inventory (involves FR-11)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Category (involves FR-12)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FR-14)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EmailConfirmation (involves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PurchaseHistory (involves FR-13)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FR-02 and FR-03 into "Account Login/Logout Function"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other merging performed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14 (original 15 merged to 14)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Customer Registration Function | No | Involves Account entity connected to core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FR-02/03: Account Login/Logout Function | No | Involves Account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Product Viewing Function | No | Involves Product entity connected to Inventory/Category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ShoppingCart Creation/Modification | No | Involves Cart entity connected to Account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CartItem Management | No | Involves CartItem entity connected to Cart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Order Placement | No | Involves Order entity connected to Account/Payment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OrderItem Management | No | Involves OrderItem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Payment Processing | No | Involves Payment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Order Confirmation and Email Notification | No | Involves Order and EmailConfirmation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Inventory Management | No | Involves Inventory entity connected to 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Product Categorization | No | Involves Product and Category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Purchase History Retrieval | No | Involves PurchaseHistory entity connected to Account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Plugin Development and Management | No | Involves Plugin entity connected to Admin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User Account Management | No | Involves Account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12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14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14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12 data entities. After functional point merging, there are 14 requirements in total, including 0 hallucination requirements and 14 non-hallucination requirements. All entities are properly connected in the entity-relationship graph through core entities (Account and Product).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Merged FR-02 and FR-03 as they both manage Account state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05D0"/>
    <w:rsid w:val="0029639D"/>
    <w:rsid w:val="00326F90"/>
    <w:rsid w:val="00357904"/>
    <w:rsid w:val="003B0A02"/>
    <w:rsid w:val="00A07823"/>
    <w:rsid w:val="00AA1D8D"/>
    <w:rsid w:val="00B47730"/>
    <w:rsid w:val="00CB0664"/>
    <w:rsid w:val="00FC693F"/>
    <w:rsid w:val="597F34EF"/>
    <w:rsid w:val="7FBD47ED"/>
    <w:rsid w:val="DFC52E07"/>
    <w:rsid w:val="EBF318F1"/>
    <w:rsid w:val="FF5FAAAB"/>
    <w:rsid w:val="FFBB8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444</Words>
  <Characters>2536</Characters>
  <Lines>21</Lines>
  <Paragraphs>5</Paragraphs>
  <TotalTime>1</TotalTime>
  <ScaleCrop>false</ScaleCrop>
  <LinksUpToDate>false</LinksUpToDate>
  <CharactersWithSpaces>2975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2025-07-23T10:12:19Z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D634E4DADB4BEA1749D66868FA3455B8_42</vt:lpwstr>
  </property>
</Properties>
</file>