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11):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FR-01, FR-02, FR-03, FR-04, FR-05)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CartItem (involves FR-06, FR-07,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Cart (involves FR-06, FR-07, FR-08, FR-09,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FR-10, FR-11)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OrderItem (involves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EmailConfirmation (involves FR-13, FR-17)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Inventory (involves FR-14)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FR-06, FR-14,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Category (involves FR-16)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FR-18, FR-19)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19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Customer Account Creation | No | Involves Customer entity connected to core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Customer Login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Customer Logout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View Personal Information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Update Personal Information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Add Product to Shopping Cart | No | Involves CartItem and Cart entities connected to Customer/Product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Update Shopping Cart | No | Involves CartItem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View Shopping Cart Summary | No | Involves Cart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Remove Product from Shopping Cart | No | Involves CartItem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Place Order | No | Involves Order and OrderItem entities connected to Cart/Customer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View Purchase History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Manage Payment | No | Involves Payment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Trigger Order Email Confirmation | No | Involves EmailConfirmation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Admin Inventory Management | No | Involves Inventory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Admin Product Management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Admin Category Management | Yes | Category entity not connected to any core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Send Email Confirmation | No | Involves EmailConfirmation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Plugin Registration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Plugin Configuration | Yes | Plugin entity not connected to any core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11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19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2 (FR-16,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17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11 data entities. After functional point merging, there are 19 requirements in total, including 2 hallucination requirements and 17 non-hallucination requirements. All valid entities are properly connected in the entity-relationship graph through core entities (Customer and Product).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FR-16 and FR-19 identified as hallucination due to isolated Category and Plugin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merging performed as all requirements target distinct operations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DB1"/>
    <w:rsid w:val="00486B93"/>
    <w:rsid w:val="009B0370"/>
    <w:rsid w:val="00AA1D8D"/>
    <w:rsid w:val="00B47730"/>
    <w:rsid w:val="00B87B37"/>
    <w:rsid w:val="00CB0664"/>
    <w:rsid w:val="00FC693F"/>
    <w:rsid w:val="385FA452"/>
    <w:rsid w:val="6BDD0F56"/>
    <w:rsid w:val="776FD510"/>
    <w:rsid w:val="7BAF36C6"/>
    <w:rsid w:val="B2EDBA53"/>
    <w:rsid w:val="FF1E08CD"/>
    <w:rsid w:val="FF6DF207"/>
    <w:rsid w:val="FFDDA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487</Words>
  <Characters>2780</Characters>
  <Lines>23</Lines>
  <Paragraphs>6</Paragraphs>
  <TotalTime>2</TotalTime>
  <ScaleCrop>false</ScaleCrop>
  <LinksUpToDate>false</LinksUpToDate>
  <CharactersWithSpaces>3261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2025-07-23T10:12:39Z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1870B1060C7506F8CED66868C1360905_42</vt:lpwstr>
  </property>
</Properties>
</file>