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LLM 自动化评估结果</w:t>
      </w:r>
    </w:p>
    <w:p>
      <w:r>
        <w:t>### 功能需求评估表</w:t>
      </w:r>
    </w:p>
    <w:p/>
    <w:p>
      <w:r>
        <w:t>根据用户要求，我首先统计了整个文档中涉及的数据实体。数据实体是指系统内部管理的数据对象，不包括外部接口（如外部数据源、外部数据格式）。从需求文档中提取的数据实体如下：</w:t>
      </w:r>
    </w:p>
    <w:p>
      <w:r>
        <w:t>- **Asset 实体**：表示资产，包含字段如 Name、Description、Category、Status、PurchaseDate、Location、AssetID。</w:t>
      </w:r>
    </w:p>
    <w:p>
      <w:r>
        <w:t>- **AssetUsage 实体**：表示资产使用记录，包含字段如 UsageDate、UsageType、UsageDetails、UsageID，并通过外键 AssetID 链接到 Asset 实体。</w:t>
      </w:r>
    </w:p>
    <w:p>
      <w:r>
        <w:t>- **Email 实体**：表示电子邮件通知，包含字段如 ToAddress、FromAddress、Subject、Content、EmailID。</w:t>
      </w:r>
    </w:p>
    <w:p>
      <w:r>
        <w:t>- **NotificationRecord 实体**：表示通知记录，包含字段如 SendStatus、SendDate、UsageID、EmailID，并通过外键链接到 AssetUsage 和 Email 实体。</w:t>
      </w:r>
    </w:p>
    <w:p>
      <w:r>
        <w:t>- **Administrator 实体**：表示管理员账户，包含字段如 Name、Role、EmailID、Department、AdminID。</w:t>
      </w:r>
    </w:p>
    <w:p/>
    <w:p>
      <w:r>
        <w:t>文档中提到的 “UsageHistory” 并非独立实体，而是 AssetUsage 实体的查询输出（在 FR-07 中描述为 “UsageHistory records linked to the selected AssetUsage”），因此不计入独立实体。最终，系统涉及的数据实体共有 **5 个**。</w:t>
      </w:r>
    </w:p>
    <w:p/>
    <w:p>
      <w:r>
        <w:t>接下来，我合并了功能需求。合并规则如下：</w:t>
      </w:r>
    </w:p>
    <w:p>
      <w:r>
        <w:t>- 对同一数据实体的相同功能点进行合并（例如，多个类似操作合并为一个广义需求）。</w:t>
      </w:r>
    </w:p>
    <w:p>
      <w:r>
        <w:t>- 剔除系统通用设置类需求（如偏好设置或多语言支持），但文档中无此类需求。</w:t>
      </w:r>
    </w:p>
    <w:p>
      <w:r>
        <w:t>- 不能过度合并（例如，CRUD 操作不合并为单一“管理”操作，除非需求非常相近）。</w:t>
      </w:r>
    </w:p>
    <w:p/>
    <w:p>
      <w:r>
        <w:t>在需求文档中，所有功能需求均针对不同操作或实体，且无系统通用类需求。因此，未进行任何合并。功能需求总数为 **12 条**（FR-01 至 FR-12）。</w:t>
      </w:r>
    </w:p>
    <w:p/>
    <w:p>
      <w:r>
        <w:t>然后，我评估了每条功能需求是否为“幻觉需求”。评判标准：</w:t>
      </w:r>
    </w:p>
    <w:p>
      <w:r>
        <w:t>- “幻觉需求”定义为：该需求引入的功能操作涉及的数据实体无法与系统中任何现有实体关联，导致实体-关系（E-R）图不再是弱连接的（即存在孤立节点，无法通过路径连接到其他实体）。</w:t>
      </w:r>
    </w:p>
    <w:p>
      <w:r>
        <w:t>- E-R 图分析：系统实体包括 Asset、AssetUsage、Email、NotificationRecord、Administrator。关系基于数据库接口定义：</w:t>
      </w:r>
    </w:p>
    <w:p>
      <w:r>
        <w:t xml:space="preserve">  - AssetUsage 通过 AssetID 外键链接到 Asset。</w:t>
      </w:r>
    </w:p>
    <w:p>
      <w:r>
        <w:t xml:space="preserve">  - NotificationRecord 通过 UsageID 外键链接到 AssetUsage，并通过 EmailID 外键链接到 Email。</w:t>
      </w:r>
    </w:p>
    <w:p>
      <w:r>
        <w:t xml:space="preserve">  - Asset、Email 和 Administrator 无外键链接其他实体。</w:t>
      </w:r>
    </w:p>
    <w:p>
      <w:r>
        <w:t xml:space="preserve">  - 因此，E-R 图包含两个连通分量：{Asset, AssetUsage, NotificationRecord, Email} 通过关系连接；Administrator 实体孤立（无任何关系边）。</w:t>
      </w:r>
    </w:p>
    <w:p>
      <w:r>
        <w:t>- 如果一个功能需求只涉及孤立实体（Administrator），则视为幻觉需求；否则非幻觉。扩展描述不视为幻觉。</w:t>
      </w:r>
    </w:p>
    <w:p/>
    <w:p>
      <w:r>
        <w:t>幻觉需求评估：</w:t>
      </w:r>
    </w:p>
    <w:p>
      <w:r>
        <w:t>- FR-10、FR-11、FR-12 涉及 Administrator 实体，该实体在 E-R 图中孤立，无法通过任何路径连接到核心实体（如 Asset），因此为幻觉需求。</w:t>
      </w:r>
    </w:p>
    <w:p>
      <w:r>
        <w:t>- 其他需求涉及实体均能连接到核心（例如，FR-04 涉及 AssetUsage，链接到 Asset），因此非幻觉。</w:t>
      </w:r>
    </w:p>
    <w:p/>
    <w:p>
      <w:r>
        <w:t>幻觉需求总数：**3 条**（FR-10、FR-11、FR-12）。非幻觉需求总数：**9 条**（FR-01 至 FR-09）。</w:t>
      </w:r>
    </w:p>
    <w:p/>
    <w:p>
      <w:r>
        <w:t>对于非幻觉需求（FR-01 至 FR-09），我评估了“完整引用”。评判标准：</w:t>
      </w:r>
    </w:p>
    <w:p>
      <w:r>
        <w:t>- 完整引用：需求不引用未在需求规约说明书（即提供的文档）中定义的功能、输入或输出（包括数据库）。评估不严格，只要文档其他部分（功能需求或外部接口）提及即可。</w:t>
      </w:r>
    </w:p>
    <w:p>
      <w:r>
        <w:t>- 不完整引用：如果输入/输出引用未定义的项（如未在数据库实体或接口中定义的字段或操作）。</w:t>
      </w:r>
    </w:p>
    <w:p/>
    <w:p>
      <w:r>
        <w:t>完整引用评估：</w:t>
      </w:r>
    </w:p>
    <w:p>
      <w:r>
        <w:t>- FR-03 和 FR-06 输出中包含“deletion is logged”，但“log”机制未在文档中定义（无日志实体或描述），因此不完整引用。</w:t>
      </w:r>
    </w:p>
    <w:p>
      <w:r>
        <w:t>- 其他需求输入/输出均在数据库接口或功能需求中定义，为完整引用。</w:t>
      </w:r>
    </w:p>
    <w:p/>
    <w:p>
      <w:r>
        <w:t>完整引用需求数：**7 条**（FR-01、FR-02、FR-04、FR-05、FR-07、FR-08、FR-09）。不完整引用需求数：**2 条**（FR-03、FR-06）。</w:t>
      </w:r>
    </w:p>
    <w:p/>
    <w:p>
      <w:r>
        <w:t>对于非幻觉需求（FR-01 至 FR-09），我评估了“可测试性”。评判标准：</w:t>
      </w:r>
    </w:p>
    <w:p>
      <w:r>
        <w:t>- 可测试：需求的所有输入可转化为所需输出（不严格，允许外部接口依赖或用户交互）。</w:t>
      </w:r>
    </w:p>
    <w:p>
      <w:r>
        <w:t>- 不可测试：输入或输出不明确，无法验证转化。</w:t>
      </w:r>
    </w:p>
    <w:p>
      <w:r>
        <w:t>- 尽管 FR-03 和 FR-06 的日志未定义，但核心操作（如删除）可验证，因此判定为可测试。</w:t>
      </w:r>
    </w:p>
    <w:p/>
    <w:p>
      <w:r>
        <w:t>可测试需求数：**9 条**（所有非幻觉需求均判定为可测试）。不可测试需求数：**0 条**。</w:t>
      </w:r>
    </w:p>
    <w:p/>
    <w:p>
      <w:r>
        <w:t>最终评估表如下（每条功能需求独立评估）：</w:t>
      </w:r>
    </w:p>
    <w:p/>
    <w:p>
      <w:r>
        <w:t>| 功能需求 | 幻觉需求 | 完整引用 | 可测试性 | 评判理由 |</w:t>
      </w:r>
    </w:p>
    <w:p>
      <w:r>
        <w:t>|----------|----------|----------|----------|----------|</w:t>
      </w:r>
    </w:p>
    <w:p>
      <w:r>
        <w:t>| FR-01: Asset Registration Function | 否 | 是 | 是 | 非幻觉：涉及 Asset 实体，通过 AssetUsage 链接到核心；完整引用：输入（Name, Description 等）和输出（Asset 实体）在数据库接口定义；可测试：输入资产细节可存储为输出，操作可验证。 |</w:t>
      </w:r>
    </w:p>
    <w:p>
      <w:r>
        <w:t>| FR-02: Asset Information Update Function | 否 | 是 | 是 | 非幻觉：涉及 Asset 实体；完整引用：输入（AssetID 和更新字段）和输出（更新 Asset）定义明确；可测试：输入可更新数据库，输出可验证。 |</w:t>
      </w:r>
    </w:p>
    <w:p>
      <w:r>
        <w:t>| FR-03: Asset Deletion Function | 否 | 否 | 是 | 非幻觉：涉及 Asset 实体；不完整引用：输出包含“deletion is logged”，但日志机制未定义；可测试：输入 AssetID 可删除实体，删除操作可验证（日志忽略，因评估不严格）。 |</w:t>
      </w:r>
    </w:p>
    <w:p>
      <w:r>
        <w:t>| FR-04: Asset Usage Assignment Function | 否 | 是 | 是 | 非幻觉：涉及 AssetUsage 实体，并通过 AssetID 链接到 Asset；完整引用：输入（AssetID, UsageDate 等）和输出（AssetUsage 实体）在数据库接口定义；可测试：输入可创建使用记录，输出可验证。 |</w:t>
      </w:r>
    </w:p>
    <w:p>
      <w:r>
        <w:t>| FR-05: Asset Usage Modification Function | 否 | 是 | 是 | 非幻觉：涉及 AssetUsage 实体；完整引用：输入（UsageID 和更新字段）和输出（修改 AssetUsage）定义明确；可测试：输入可更新记录，输出可验证。 |</w:t>
      </w:r>
    </w:p>
    <w:p>
      <w:r>
        <w:t>| FR-06: Asset Usage Deletion Function | 否 | 否 | 是 | 非幻觉：涉及 AssetUsage 实体；不完整引用：输出包含“deletion is logged”，但日志未定义；可测试：输入 UsageID 可删除记录，操作可验证（日志忽略）。 |</w:t>
      </w:r>
    </w:p>
    <w:p>
      <w:r>
        <w:t>| FR-07: Asset Usage History Viewing Function | 否 | 是 | 是 | 非幻觉：涉及 AssetUsage 实体（UsageHistory 是其查询输出）；完整引用：输入（AssetID 或查询）和输出（UsageHistory 记录）在功能需求中定义，并链接到 AssetUsage；可测试：输入查询可检索输出列表，操作可验证。 |</w:t>
      </w:r>
    </w:p>
    <w:p>
      <w:r>
        <w:t>| FR-08: Email Notification Sending Function | 否 | 是 | 是 | 非幻觉：涉及 Email 实体，并通过 NotificationRecord 链接到核心；完整引用：输入（UsageID, ToAddress 等）和输出（Email 实体）在数据库接口定义；可测试：输入可发送邮件（依赖外部接口，但评估不严格），输出可验证。 |</w:t>
      </w:r>
    </w:p>
    <w:p>
      <w:r>
        <w:t>| FR-09: Notification Record Management Function | 否 | 是 | 是 | 非幻觉：涉及 NotificationRecord 实体，并链接到 AssetUsage 和 Email；完整引用：输入（UsageID, EmailID）和输出（NotificationRecord 实体）在数据库接口定义；可测试：输入可创建记录，输出可验证。 |</w:t>
      </w:r>
    </w:p>
    <w:p>
      <w:pPr>
        <w:rPr>
          <w:rFonts w:hint="default" w:eastAsia="宋体"/>
          <w:lang w:val="en-US" w:eastAsia="zh-CN"/>
        </w:rPr>
      </w:pPr>
      <w:r>
        <w:t xml:space="preserve">| FR-10: Administrator Account Management Function | </w:t>
      </w:r>
      <w:r>
        <w:rPr>
          <w:rFonts w:hint="eastAsia" w:eastAsia="宋体"/>
          <w:lang w:val="en-US" w:eastAsia="zh-CN"/>
        </w:rPr>
        <w:t>否</w:t>
      </w:r>
      <w:r>
        <w:t xml:space="preserve"> | </w:t>
      </w:r>
      <w:r>
        <w:rPr>
          <w:rFonts w:hint="eastAsia" w:eastAsia="宋体"/>
          <w:lang w:val="en-US" w:eastAsia="zh-CN"/>
        </w:rPr>
        <w:t>是</w:t>
      </w:r>
      <w:r>
        <w:t xml:space="preserve"> | </w:t>
      </w:r>
      <w:r>
        <w:rPr>
          <w:rFonts w:hint="eastAsia" w:eastAsia="宋体"/>
          <w:lang w:val="en-US" w:eastAsia="zh-CN"/>
        </w:rPr>
        <w:t>是</w:t>
      </w:r>
      <w:r>
        <w:t xml:space="preserve"> | </w:t>
      </w:r>
      <w:r>
        <w:rPr>
          <w:rFonts w:hint="eastAsia" w:eastAsia="宋体"/>
          <w:lang w:val="en-US" w:eastAsia="zh-CN"/>
        </w:rPr>
        <w:t>管理员相关功能判定为非幻觉</w:t>
      </w:r>
    </w:p>
    <w:p>
      <w:pPr>
        <w:rPr>
          <w:highlight w:val="red"/>
        </w:rPr>
      </w:pPr>
      <w:r>
        <w:rPr>
          <w:highlight w:val="red"/>
        </w:rPr>
        <w:t xml:space="preserve">| FR-11: Administrator Account Deletion Function | </w:t>
      </w:r>
      <w:r>
        <w:rPr>
          <w:rFonts w:hint="eastAsia" w:eastAsia="宋体"/>
          <w:highlight w:val="red"/>
          <w:lang w:val="en-US" w:eastAsia="zh-CN"/>
        </w:rPr>
        <w:t>否</w:t>
      </w:r>
      <w:r>
        <w:rPr>
          <w:highlight w:val="red"/>
        </w:rPr>
        <w:t xml:space="preserve"> | </w:t>
      </w:r>
      <w:r>
        <w:rPr>
          <w:rFonts w:hint="eastAsia" w:eastAsia="宋体"/>
          <w:highlight w:val="red"/>
          <w:lang w:val="en-US" w:eastAsia="zh-CN"/>
        </w:rPr>
        <w:t>是</w:t>
      </w:r>
      <w:r>
        <w:rPr>
          <w:highlight w:val="red"/>
        </w:rPr>
        <w:t xml:space="preserve"> | </w:t>
      </w:r>
      <w:r>
        <w:rPr>
          <w:rFonts w:hint="eastAsia" w:eastAsia="宋体"/>
          <w:highlight w:val="red"/>
          <w:lang w:val="en-US" w:eastAsia="zh-CN"/>
        </w:rPr>
        <w:t>是</w:t>
      </w:r>
      <w:r>
        <w:rPr>
          <w:highlight w:val="red"/>
        </w:rPr>
        <w:t xml:space="preserve"> | 幻觉：同 FR-10，涉及孤立 Administrator 实体；完整引用和可测试性为否：理由同上，且与 FR-10 部分冗余。 |</w:t>
      </w:r>
    </w:p>
    <w:p>
      <w:pPr>
        <w:rPr>
          <w:rFonts w:hint="default" w:eastAsia="宋体"/>
          <w:highlight w:val="red"/>
          <w:lang w:val="en-US" w:eastAsia="zh-CN"/>
        </w:rPr>
      </w:pPr>
      <w:r>
        <w:rPr>
          <w:highlight w:val="red"/>
        </w:rPr>
        <w:t>| FR-12: Administrator Information Viewing Function | 是 | 否 | 否 | 幻觉：同 FR-10，涉及孤立 Administrator 实体；完整引用和可测试性为否：理由同上。 |</w:t>
      </w:r>
      <w:r>
        <w:rPr>
          <w:rFonts w:hint="eastAsia" w:eastAsia="宋体"/>
          <w:highlight w:val="red"/>
          <w:lang w:val="en-US" w:eastAsia="zh-CN"/>
        </w:rPr>
        <w:t>合并为FR-10</w:t>
      </w:r>
    </w:p>
    <w:p/>
    <w:p>
      <w:r>
        <w:t xml:space="preserve">**总结**：  </w:t>
      </w:r>
    </w:p>
    <w:p>
      <w:r>
        <w:t xml:space="preserve">- 整个文档涉及的数据实体有 **5 个**（Asset, AssetUsage, Email, NotificationRecord, Administrator）。  </w:t>
      </w:r>
    </w:p>
    <w:p>
      <w:r>
        <w:t>- 经过相同功能点合并后，功能需求共 **1</w:t>
      </w:r>
      <w:r>
        <w:rPr>
          <w:rFonts w:hint="eastAsia" w:eastAsia="宋体"/>
          <w:lang w:val="en-US" w:eastAsia="zh-CN"/>
        </w:rPr>
        <w:t>0</w:t>
      </w:r>
      <w:r>
        <w:t xml:space="preserve"> 条**。  </w:t>
      </w:r>
    </w:p>
    <w:p>
      <w:r>
        <w:t>- 其中，幻觉需求有 **</w:t>
      </w:r>
      <w:r>
        <w:rPr>
          <w:rFonts w:hint="eastAsia" w:eastAsia="宋体"/>
          <w:lang w:val="en-US" w:eastAsia="zh-CN"/>
        </w:rPr>
        <w:t>0</w:t>
      </w:r>
      <w:r>
        <w:t xml:space="preserve"> 条**。  </w:t>
      </w:r>
    </w:p>
    <w:p>
      <w:r>
        <w:t>- 非幻觉需求有 **</w:t>
      </w:r>
      <w:r>
        <w:rPr>
          <w:rFonts w:hint="eastAsia" w:eastAsia="宋体"/>
          <w:lang w:val="en-US" w:eastAsia="zh-CN"/>
        </w:rPr>
        <w:t>10</w:t>
      </w:r>
      <w:r>
        <w:t xml:space="preserve"> 条**（占总数 75%）。  </w:t>
      </w:r>
    </w:p>
    <w:p>
      <w:r>
        <w:t>- 非幻觉需求中，完整引用的功能需求有 **</w:t>
      </w:r>
      <w:r>
        <w:rPr>
          <w:rFonts w:hint="eastAsia" w:eastAsia="宋体"/>
          <w:lang w:val="en-US" w:eastAsia="zh-CN"/>
        </w:rPr>
        <w:t>8</w:t>
      </w:r>
      <w:r>
        <w:t xml:space="preserve"> 条**。  </w:t>
      </w:r>
    </w:p>
    <w:p>
      <w:r>
        <w:t>- 非幻觉需求中，可测试的功能需求有 **</w:t>
      </w:r>
      <w:r>
        <w:rPr>
          <w:rFonts w:hint="eastAsia" w:eastAsia="宋体"/>
          <w:lang w:val="en-US" w:eastAsia="zh-CN"/>
        </w:rPr>
        <w:t>10</w:t>
      </w:r>
      <w:bookmarkStart w:id="0" w:name="_GoBack"/>
      <w:bookmarkEnd w:id="0"/>
      <w:r>
        <w:t xml:space="preserve"> 条**（占非幻觉需求 100%，因所有非幻觉需求均判定为可测试）。  </w:t>
      </w:r>
    </w:p>
    <w:p/>
    <w:p>
      <w:r>
        <w:t>评估基于文档内容严格进行，确保无遗漏。幻觉需求主要因 Administrator 实体孤立导致；完整引用问题集中在日志未定义；可测试性无重大障碍。</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3"/>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F7E8FC6"/>
    <w:rsid w:val="97F73768"/>
    <w:rsid w:val="B7F73833"/>
    <w:rsid w:val="BCDDB240"/>
    <w:rsid w:val="EBC79457"/>
    <w:rsid w:val="FFBF255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吴</cp:lastModifiedBy>
  <dcterms:modified xsi:type="dcterms:W3CDTF">2025-07-05T16:41:37Z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B5795D9D5E7841B028E568689B931011_42</vt:lpwstr>
  </property>
</Properties>
</file>