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6):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 to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 (involves FR-06 to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EmailNotification (involves FR-09, FR-10,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FR-11 to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AssetArchiveLog (involves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AssetUsageRequest (involves FR-15)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FR-02, FR-04, FR-05 into "Asset Update and Deletion"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14 (original 16 merged to 14)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FR-02/04/05: Asset Update and Deletion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Details View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Asset Usage Assignment | No | Involves AssetUsage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Asset Usage History View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Asset Usage Reporting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Email Notification Sending | No | Involves EmailNotification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Email Notification View | No | Involves EmailNotification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Administrator Account Management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Administrator Profile Update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Administrator Account Deletion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Asset Archive Log Management | No | Involves AssetArchiveLog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Asset Usage Request Management | No | Involves AssetUsageRequest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Email Notification Configuration | No | Involves EmailNotification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6 data entities. After functional point merging, there are 14 requirements in total, including 0 hallucination requirements and 14 non-hallucination requirements. All entities are properly connected in the entity-relationship graph through core entities (Asset and Administrator).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Asset entity (update/delete)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7297"/>
    <w:rsid w:val="0015074B"/>
    <w:rsid w:val="0029639D"/>
    <w:rsid w:val="00326F90"/>
    <w:rsid w:val="004844E2"/>
    <w:rsid w:val="00AA1D8D"/>
    <w:rsid w:val="00B47730"/>
    <w:rsid w:val="00CB0664"/>
    <w:rsid w:val="00E5234C"/>
    <w:rsid w:val="00FC693F"/>
    <w:rsid w:val="3BA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408</Words>
  <Characters>2328</Characters>
  <Lines>19</Lines>
  <Paragraphs>5</Paragraphs>
  <TotalTime>1</TotalTime>
  <ScaleCrop>false</ScaleCrop>
  <LinksUpToDate>false</LinksUpToDate>
  <CharactersWithSpaces>2731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A1867D57F83B2F3EE84D806893264D82_42</vt:lpwstr>
  </property>
</Properties>
</file>