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9):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 (involves FR-01 to FR-04, FR-14, FR-19 to FR-22)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 (involves FR-07 to FR-09, FR-11 to 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PermissionAssignment (involves FR-05, FR-06, FR-10, FR-27)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Department (involves FR-14,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AssetCategory (involves FR-16 to FR-18)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UsageRecord (involves FR-19 to FR-22, FR-28)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AuditLog (involves FR-23, FR-24)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EmailNotification (involves FR-25, FR-26)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UsageApprovalRecord (involves FR-28)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similar operations on same entities (e.g. CRUD operations)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17 (original 28 merged to 17)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 to FR-04: Asset Management (Register/View/Update/Delete) | No | Involves Asset entity connected to Department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FR-07, FR-11: User Creation (Including Admin) | No | Involves User entity connected to PermissionAssignment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FR-08, FR-12: User Deletion (Including Admin)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FR-09, FR-13: User Update (Including Admin Role)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FR-05, FR-06, FR-10, FR-27: Permission Assignment Management | No | Involves PermissionAssignment entity connected to User and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Department Asset Viewing | No | Involves Department and Asset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Department Information Update | No | Involves Department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 to FR-18: Asset Category Management | No | Involves AssetCategory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 to FR-22: Usage Record Management | No | Involves UsageRecord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FR-23: Audit Log Generation | No | Involves AuditLog entity connected to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FR-24: Audit Log Viewing | No | Involves AuditLog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FR-25: Email Notification Sending | No | Involves EmailNotification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FR-26: Email Notification Viewing | No | Involves EmailNotification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FR-28: Usage Approval Record Management | No | Involves UsageApprovalRecord entity connected to UsageRecord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9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17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17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9 data entities. After functional point merging, there are 17 requirements in total, including 0 hallucination requirements and 17 non-hallucination requirements. All entities are properly connected in the entity-relationship graph through core entities (Asset and User).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Merged similar operations on Asset, User, PermissionAssignment and other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F59A0"/>
    <w:rsid w:val="00326F90"/>
    <w:rsid w:val="004D398F"/>
    <w:rsid w:val="008334EA"/>
    <w:rsid w:val="00AA1D8D"/>
    <w:rsid w:val="00B47730"/>
    <w:rsid w:val="00CB0664"/>
    <w:rsid w:val="00E728BF"/>
    <w:rsid w:val="00FC693F"/>
    <w:rsid w:val="07FC8220"/>
    <w:rsid w:val="3FFD7434"/>
    <w:rsid w:val="775B1A20"/>
    <w:rsid w:val="777F5A8A"/>
    <w:rsid w:val="7DFF7B4E"/>
    <w:rsid w:val="DF67D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461</Words>
  <Characters>2631</Characters>
  <Lines>21</Lines>
  <Paragraphs>6</Paragraphs>
  <TotalTime>3</TotalTime>
  <ScaleCrop>false</ScaleCrop>
  <LinksUpToDate>false</LinksUpToDate>
  <CharactersWithSpaces>3086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2025-07-23T10:50:40Z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483B75EFE38F087FC2CC6468C102FFBF_42</vt:lpwstr>
  </property>
</Properties>
</file>