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 to FR-04)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FR-05 to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Department (involves FR-10 to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AssetCategory (involves FR-13 to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PermissionAssignment (involves FR-06,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UsageRecord (involves FR-18 to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AuditLog (involves FR-04, FR-20 to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EmailNotification (involves FR-24)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FR-10/11/12 into "Manage Departments"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FR-13/14/15 into "Manage Asset Categories"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20 (original 24 merged to 20)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system core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View Asset Information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Modify Asset Details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Remove Asset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User Registration | No | Involves User entity connected to Department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Assign User Permissions | No | Involves User and PermissionAssignment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Modify User Information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Remove User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Administrator Login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FR-10/11/12: Manage Departments | No | Involves Department entity connected to User/Asset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FR-13/14/15: Manage Asset Categories | No | Involves AssetCategory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View Asset Category | No | Involves AssetCategory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Manage Permission Assignment | No | Involves PermissionAssignment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Record Asset Usage | No | Involves UsageRecord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View Usage Records | No | Involves 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Modify Usage Records | No | Involves 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Delete Usage Records | No | Involves 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View Audit Log | No | Involves AuditLog entity connected to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Generate Audit Report | No | Involves AuditLog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Send Email Notification | No | Involves EmailNotification entity connected to events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20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20 requirements in total, including 0 hallucination requirements and 20 non-hallucination requirements. All entities are properly connected in the entity-relationship graph through core entities (Asset and User).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Department and AssetCategory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1B97"/>
    <w:rsid w:val="0015074B"/>
    <w:rsid w:val="0029639D"/>
    <w:rsid w:val="00326F90"/>
    <w:rsid w:val="004B602A"/>
    <w:rsid w:val="00AA1D8D"/>
    <w:rsid w:val="00B47730"/>
    <w:rsid w:val="00BA7308"/>
    <w:rsid w:val="00CB0664"/>
    <w:rsid w:val="00FC693F"/>
    <w:rsid w:val="3FB78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473</Words>
  <Characters>2698</Characters>
  <Lines>22</Lines>
  <Paragraphs>6</Paragraphs>
  <TotalTime>1</TotalTime>
  <ScaleCrop>false</ScaleCrop>
  <LinksUpToDate>false</LinksUpToDate>
  <CharactersWithSpaces>3165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A2B3DE6260F072AE054E806874ADAF14_42</vt:lpwstr>
  </property>
</Properties>
</file>