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12):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AssetLifeCycle (involves FR-01)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AssetUsage (involves FR-02,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ReportAnalysis (involves FR-03,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FR-05, FR-06,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FR-07 to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ApprovalWorkflow (involves FR-11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AuthRecord (involves FR-14,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FR-15,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DataImportExportRecord (involves FR-16, FR-17,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AuditTrail (involves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AssetCategory (involves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AssetLocation (involves FR-20)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FR-02 and FR-21 into "Usage Tracking and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FR-03 and FR-04 into "Reporting and Analysis"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FR-05, FR-06 and FR-22 into "Permission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FR-07 to FR-10 into "User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FR-11 to FR-13 into "Approval Workflow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FR-14 and FR-23 into "Authentication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FR-15 and FR-24 into "Email Notification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FR-16, FR-17 and FR-25 into "Data Import/Export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12 (original 25 merged to 12)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Lifecycle Management | No | Involves AssetLifeCycle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FR-Usage: Usage Tracking and Management | No | Involves AssetUsage entity connected to Asset and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FR-Report: Reporting and Analysis | No | Involves ReportAnalysis entity connected to Asset data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FR-Permission: Permission Management | No | Involves Permission entity connected to User and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FR-User: User Management | No | Involves User entity connected to Permission and Approval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FR-Approval: Approval Workflow Management | No | Involves ApprovalWorkflow entity connected to User and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FR-Auth: Authentication Management | No | Involves AuthRecord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FR-Email: Email Notification Management | No | Involves EmailNotification entity connected to events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FR-DataIO: Data Import/Export Management | No | Involves DataImportExportRecord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Audit Trail Viewing | No | Involves AuditTrail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Asset Category Management | No | Involves AssetCategory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Asset Location Management | No | Involves AssetLocation entity connected to Asset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12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12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12 data entities. After functional point merging, there are 12 requirements in total, including 0 hallucination requirements and 12 non-hallucination requirements. All entities are properly connected in the entity-relationship graph through core entities (Asset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Usage, Permission, User and other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475"/>
    <w:rsid w:val="00844CA7"/>
    <w:rsid w:val="008745A8"/>
    <w:rsid w:val="00AA1D8D"/>
    <w:rsid w:val="00B47730"/>
    <w:rsid w:val="00CB0664"/>
    <w:rsid w:val="00F15850"/>
    <w:rsid w:val="00FC693F"/>
    <w:rsid w:val="6BFBB2A4"/>
    <w:rsid w:val="70783137"/>
    <w:rsid w:val="7F9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514</Words>
  <Characters>2934</Characters>
  <Lines>24</Lines>
  <Paragraphs>6</Paragraphs>
  <TotalTime>2</TotalTime>
  <ScaleCrop>false</ScaleCrop>
  <LinksUpToDate>false</LinksUpToDate>
  <CharactersWithSpaces>3442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2052-6.5.2.8766</vt:lpwstr>
  </property>
  <property fmtid="{D5CDD505-2E9C-101B-9397-08002B2CF9AE}" pid="4" name="ICV">
    <vt:lpwstr>801B45DD04544E15A18FDC941CE8AC55_12</vt:lpwstr>
  </property>
</Properties>
</file>