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9):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Customer (involves FR-01, FR-15)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 (involves FR-02, FR-03)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 (involves FR-04 to FR-06, FR-15)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 (involves FR-07 to FR-09)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OrderDetail (involves FR-10)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Plugin (involves FR-11)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Notification (involves FR-12)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Administrator (involves FR-13)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Log (involves FR-14)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merging performed as all requirements target different operations/entities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15 (same as original document)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Customer Management | No | Involves Customer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Product Management | No | Involves Product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Product Catalog Display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Order Placement | No | Involves Order entity connected to Product/Payment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Order Management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Order Cancellation | No | Involves Order entity connected to Payment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Payment Processing | No | Involves Payment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Payment Status View | No | Involves Payment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Payment Record Deletion | No | Involves Payment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Order Detail Management | No | Involves OrderDetail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Plugin Management | No | Involves Plugin entity connected to Payment/Product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Notification Management | No | Involves Notification entity connected to Customer/Admin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Administrator Management | No | Involves Administrator entity connected to Log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Administrator Log Viewing | No | Involves Log entity connected to Administrator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Order History Viewing | No | Involves Order entity connected to Customer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9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15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15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9 data entities. After functional point merging, there are 15 requirements in total, including 0 hallucination requirements and 15 non-hallucination requirements. All entities are properly connected in the entity-relationship graph through core entities (Order and Customer).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No merging performed as all requirements target distinct 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No isolated entities found in the requirement set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5B10"/>
    <w:rsid w:val="00AA1D8D"/>
    <w:rsid w:val="00B47730"/>
    <w:rsid w:val="00C06B21"/>
    <w:rsid w:val="00CB0664"/>
    <w:rsid w:val="00E25C9F"/>
    <w:rsid w:val="00FC693F"/>
    <w:rsid w:val="7F5BB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425</Words>
  <Characters>2425</Characters>
  <Lines>20</Lines>
  <Paragraphs>5</Paragraphs>
  <TotalTime>1</TotalTime>
  <ScaleCrop>false</ScaleCrop>
  <LinksUpToDate>false</LinksUpToDate>
  <CharactersWithSpaces>2845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2025-07-23T10:54:13Z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8392BDBA7B309A9ED54E8068D1C02CF5_42</vt:lpwstr>
  </property>
</Properties>
</file>