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 to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Session (involves FR-02, FR-03, FR-09, FR-10,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 to FR-06, FR-12 to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FR-06,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FR-07 to FR-08/30, FR-19, FR-20)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FR-21,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FR-05,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FR-24 to FR-28)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EmailTemplate (involves FR-08/30, FR-29)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FR-08 and FR-30 into "Send Order Confirmation Email"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FR-16, FR-17, FR-18 into FR-15 "Manage Product Categories"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26 (original 30 merged to 26)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and Session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Session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View Product Details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Search Products by Category | No | Involves Product and Category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Add Product to Cart | No | Involves Product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Checkout | No | Involves Order and Payment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FR-08/30: Send Order Confirmation Email | No | Involves Order and EmailTemplate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Administrator Login | No | Involves Session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Administrator Logout | No | Involves Session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Manage Inventory | No | Involves Inventory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Add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Update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Delete Product | No | Involves Product entity connected to Inventory/Category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Manage Product Categories | No | Involves 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View Order Details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Manage Orders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Process Payment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Manage Payment Information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Manage Sessions | No | Involves Session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Install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Uninstall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Update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Configure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FR-28: View Plugin Documentation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FR-29: Manage Email Templates | No | Involves EmailTemplate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26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26 requirements in total, including 0 hallucination requirements and 26 non-hallucination requirements. All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Order Confirmation Email and Product Categories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75C"/>
    <w:rsid w:val="0006063C"/>
    <w:rsid w:val="0015074B"/>
    <w:rsid w:val="0029639D"/>
    <w:rsid w:val="00304512"/>
    <w:rsid w:val="00326F90"/>
    <w:rsid w:val="005B4767"/>
    <w:rsid w:val="00AA1D8D"/>
    <w:rsid w:val="00B47730"/>
    <w:rsid w:val="00CB0664"/>
    <w:rsid w:val="00FC693F"/>
    <w:rsid w:val="777FF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531</Words>
  <Characters>3028</Characters>
  <Lines>25</Lines>
  <Paragraphs>7</Paragraphs>
  <TotalTime>1</TotalTime>
  <ScaleCrop>false</ScaleCrop>
  <LinksUpToDate>false</LinksUpToDate>
  <CharactersWithSpaces>3552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F8648A80F5FC2769244F80689884E1DF_42</vt:lpwstr>
  </property>
</Properties>
</file>