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22367" w14:textId="77777777" w:rsidR="007368A4" w:rsidRDefault="007368A4" w:rsidP="007368A4">
      <w:pPr>
        <w:pStyle w:val="1"/>
        <w:rPr>
          <w:sz w:val="21"/>
          <w:szCs w:val="21"/>
        </w:rPr>
      </w:pPr>
      <w:r>
        <w:rPr>
          <w:rFonts w:hint="eastAsia"/>
          <w:sz w:val="21"/>
          <w:szCs w:val="21"/>
        </w:rPr>
        <w:t>5</w:t>
      </w:r>
    </w:p>
    <w:p w14:paraId="69D4FB03" w14:textId="77777777" w:rsidR="007368A4" w:rsidRDefault="007368A4" w:rsidP="007368A4">
      <w:pPr>
        <w:rPr>
          <w:szCs w:val="21"/>
        </w:rPr>
      </w:pPr>
    </w:p>
    <w:p w14:paraId="2AAE7EB4"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规则第四十三条.1:</w:t>
      </w:r>
      <w:r>
        <w:rPr>
          <w:rFonts w:ascii="Segoe UI" w:eastAsia="Segoe UI" w:hAnsi="Segoe UI" w:cs="Segoe UI"/>
          <w:color w:val="1A2029"/>
          <w:sz w:val="21"/>
          <w:szCs w:val="21"/>
          <w:shd w:val="clear" w:color="auto" w:fill="FFFFFF"/>
        </w:rPr>
        <w:t> if 交易市场 is “上海证券交易所” and 交易方式 is “匹配成交方式” and 时间 is “9:15至9:25” and 价值 is “集合匹配时间” then 交易结果 is “成功”</w:t>
      </w:r>
    </w:p>
    <w:p w14:paraId="033F865A"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规则第四十三条.2:</w:t>
      </w:r>
      <w:r>
        <w:rPr>
          <w:rFonts w:ascii="Segoe UI" w:eastAsia="Segoe UI" w:hAnsi="Segoe UI" w:cs="Segoe UI"/>
          <w:color w:val="1A2029"/>
          <w:sz w:val="21"/>
          <w:szCs w:val="21"/>
          <w:shd w:val="clear" w:color="auto" w:fill="FFFFFF"/>
        </w:rPr>
        <w:t> if 交易市场 is “上海证券交易所” and 交易方式 is “匹配成交方式” and 时间 is “9:30至11:30、13:00至15:30” and 价值 is “连续匹配时间” then 交易结果 is “成功”</w:t>
      </w:r>
    </w:p>
    <w:p w14:paraId="3711DEB2"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规则第四十三条.3:</w:t>
      </w:r>
      <w:r>
        <w:rPr>
          <w:rFonts w:ascii="Segoe UI" w:eastAsia="Segoe UI" w:hAnsi="Segoe UI" w:cs="Segoe UI"/>
          <w:color w:val="1A2029"/>
          <w:sz w:val="21"/>
          <w:szCs w:val="21"/>
          <w:shd w:val="clear" w:color="auto" w:fill="FFFFFF"/>
        </w:rPr>
        <w:t> if 交易市场 is “上海证券交易所” and 交易方式 is “点击成交方式” and 时间 is “9:00至11:30、13:00至20:00” and 价值 is “交易时间” then 交易结果 is “成功”</w:t>
      </w:r>
    </w:p>
    <w:p w14:paraId="43992EC1"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规则第四十三条.4:</w:t>
      </w:r>
      <w:r>
        <w:rPr>
          <w:rFonts w:ascii="Segoe UI" w:eastAsia="Segoe UI" w:hAnsi="Segoe UI" w:cs="Segoe UI"/>
          <w:color w:val="1A2029"/>
          <w:sz w:val="21"/>
          <w:szCs w:val="21"/>
          <w:shd w:val="clear" w:color="auto" w:fill="FFFFFF"/>
        </w:rPr>
        <w:t> if 交易市场 is “上海证券交易所” and 交易方式 is “询价成交方式” and 时间 is “9:00至11:30、13:00至20:00” and 价值 is “交易时间” then 交易结果 is “成功”</w:t>
      </w:r>
    </w:p>
    <w:p w14:paraId="66A375A8"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规则第四十三条.5:</w:t>
      </w:r>
      <w:r>
        <w:rPr>
          <w:rFonts w:ascii="Segoe UI" w:eastAsia="Segoe UI" w:hAnsi="Segoe UI" w:cs="Segoe UI"/>
          <w:color w:val="1A2029"/>
          <w:sz w:val="21"/>
          <w:szCs w:val="21"/>
          <w:shd w:val="clear" w:color="auto" w:fill="FFFFFF"/>
        </w:rPr>
        <w:t> if 交易市场 is “上海证券交易所” and 交易方式 is “协商成交方式” and 时间 is “9:00至11:30、13:00至20:00” and 价值 is “交易时间” then 交易结果 is “成功”</w:t>
      </w:r>
    </w:p>
    <w:p w14:paraId="27E59C2D"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规则第四十三条.6:</w:t>
      </w:r>
      <w:r>
        <w:rPr>
          <w:rFonts w:ascii="Segoe UI" w:eastAsia="Segoe UI" w:hAnsi="Segoe UI" w:cs="Segoe UI"/>
          <w:color w:val="1A2029"/>
          <w:sz w:val="21"/>
          <w:szCs w:val="21"/>
          <w:shd w:val="clear" w:color="auto" w:fill="FFFFFF"/>
        </w:rPr>
        <w:t> if 交易市场 is “上海证券交易所” and 交易方式 is “竞买成交方式” and 操作人 is “卖方” and 时间 is “9:00至10:00” and 操作 is “提交” and 操作部分 is “竞买发起申报” then 交易结果 is “成功”</w:t>
      </w:r>
    </w:p>
    <w:p w14:paraId="2EA544A3"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规则第四十三条.7:</w:t>
      </w:r>
      <w:r>
        <w:rPr>
          <w:rFonts w:ascii="Segoe UI" w:eastAsia="Segoe UI" w:hAnsi="Segoe UI" w:cs="Segoe UI"/>
          <w:color w:val="1A2029"/>
          <w:sz w:val="21"/>
          <w:szCs w:val="21"/>
          <w:shd w:val="clear" w:color="auto" w:fill="FFFFFF"/>
        </w:rPr>
        <w:t> if 交易市场 is “上海证券交易所” and 交易方式 is “竞买成交方式” and 操作人 is “应价方” and 时间 is “10:00至11:30” and 操作 is “提交” and 操作部分 is “应价申报” then 交易结果 is “成功”</w:t>
      </w:r>
    </w:p>
    <w:p w14:paraId="1546F656"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5E6501E7"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6406F1C1"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79755619"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2574E6E2"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10CA31DD"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37E7A2E2"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4C608966" w14:textId="77777777" w:rsidR="007368A4" w:rsidRPr="00C018B4" w:rsidRDefault="007368A4" w:rsidP="007368A4">
      <w:r>
        <w:rPr>
          <w:rFonts w:hint="eastAsia"/>
        </w:rPr>
        <w:t>补全：</w:t>
      </w:r>
      <w:r>
        <w:t>7(7)</w:t>
      </w:r>
      <w:r>
        <w:rPr>
          <w:rFonts w:hint="eastAsia"/>
        </w:rPr>
        <w:t>，具体化：</w:t>
      </w:r>
      <w:r>
        <w:t>0(1)</w:t>
      </w:r>
      <w:r>
        <w:rPr>
          <w:rFonts w:hint="eastAsia"/>
        </w:rPr>
        <w:t>，结果：</w:t>
      </w:r>
      <w:r>
        <w:t>1(1)</w:t>
      </w:r>
    </w:p>
    <w:p w14:paraId="2E83EAF8" w14:textId="77777777" w:rsidR="007368A4" w:rsidRPr="00AF22CE"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15D9E890" w14:textId="77777777" w:rsidR="007368A4" w:rsidRPr="00AF22CE"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63BBA631"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规则第五十二条.1:</w:t>
      </w:r>
      <w:r>
        <w:rPr>
          <w:rFonts w:ascii="Segoe UI" w:eastAsia="Segoe UI" w:hAnsi="Segoe UI" w:cs="Segoe UI"/>
          <w:color w:val="1A2029"/>
          <w:sz w:val="21"/>
          <w:szCs w:val="21"/>
          <w:shd w:val="clear" w:color="auto" w:fill="FFFFFF"/>
        </w:rPr>
        <w:t> if 交易市场 is “上海证券交易所” and 结合规则 is “第四十三条” and 操作 is “接受” and 操作部分 is “债券交易申报” then 交易结果 is “成功”</w:t>
      </w:r>
    </w:p>
    <w:p w14:paraId="30E38363" w14:textId="77777777" w:rsidR="007368A4" w:rsidRPr="00AF22CE"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233441C9"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规则第五十三条.1:</w:t>
      </w:r>
      <w:r>
        <w:rPr>
          <w:rFonts w:ascii="Segoe UI" w:eastAsia="Segoe UI" w:hAnsi="Segoe UI" w:cs="Segoe UI"/>
          <w:color w:val="1A2029"/>
          <w:sz w:val="21"/>
          <w:szCs w:val="21"/>
          <w:shd w:val="clear" w:color="auto" w:fill="FFFFFF"/>
        </w:rPr>
        <w:t> if 交易市场 is “上海证券交易所” and 交易方式 is “匹配成交方式” and 交易品种 is “债券现券” and 价值 is “申报数量” then 数量 op “等于” “10万元面额或其整数倍” and 交易结果 is “成功”</w:t>
      </w:r>
    </w:p>
    <w:p w14:paraId="26CC872D"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lastRenderedPageBreak/>
        <w:t>规则第五十三条.2:</w:t>
      </w:r>
      <w:r>
        <w:rPr>
          <w:rFonts w:ascii="Segoe UI" w:eastAsia="Segoe UI" w:hAnsi="Segoe UI" w:cs="Segoe UI"/>
          <w:color w:val="1A2029"/>
          <w:sz w:val="21"/>
          <w:szCs w:val="21"/>
          <w:shd w:val="clear" w:color="auto" w:fill="FFFFFF"/>
        </w:rPr>
        <w:t> if 交易市场 is “上海证券交易所” and 交易方式 is “匹配成交方式” and 交易品种 is “债券现券” and 操作 is “卖出” and 数量 op “不足” “10万元面额” and 申报数量 key is “一次性申报” then 交易结果 is “成功”</w:t>
      </w:r>
    </w:p>
    <w:p w14:paraId="0F6A83F2"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规则第五十三条.3:</w:t>
      </w:r>
      <w:r>
        <w:rPr>
          <w:rFonts w:ascii="Segoe UI" w:eastAsia="Segoe UI" w:hAnsi="Segoe UI" w:cs="Segoe UI"/>
          <w:color w:val="1A2029"/>
          <w:sz w:val="21"/>
          <w:szCs w:val="21"/>
          <w:shd w:val="clear" w:color="auto" w:fill="FFFFFF"/>
        </w:rPr>
        <w:t> if 交易市场 is “上海证券交易所” and 交易方式 is “匹配成交方式” and 交易品种 is “债券通用质押式回购” and 价值 is “申报数量” then 数量 op “等于” “1000元面额或其整数倍” and 交易结果 is “成功”</w:t>
      </w:r>
    </w:p>
    <w:p w14:paraId="0454900B"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规则第五十三条.4:</w:t>
      </w:r>
      <w:r>
        <w:rPr>
          <w:rFonts w:ascii="Segoe UI" w:eastAsia="Segoe UI" w:hAnsi="Segoe UI" w:cs="Segoe UI"/>
          <w:color w:val="1A2029"/>
          <w:sz w:val="21"/>
          <w:szCs w:val="21"/>
          <w:shd w:val="clear" w:color="auto" w:fill="FFFFFF"/>
        </w:rPr>
        <w:t> if 交易市场 is “上海证券交易所” and 交易方式 is “点击成交方式” and 交易品种 is “债券” and 价值 is “申报数量” then 数量 op “等于” “10万元面额或其整数倍” and 交易结果 is “成功”</w:t>
      </w:r>
    </w:p>
    <w:p w14:paraId="3B26A128"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规则第五十三条.5:</w:t>
      </w:r>
      <w:r>
        <w:rPr>
          <w:rFonts w:ascii="Segoe UI" w:eastAsia="Segoe UI" w:hAnsi="Segoe UI" w:cs="Segoe UI"/>
          <w:color w:val="1A2029"/>
          <w:sz w:val="21"/>
          <w:szCs w:val="21"/>
          <w:shd w:val="clear" w:color="auto" w:fill="FFFFFF"/>
        </w:rPr>
        <w:t> if 交易市场 is “上海证券交易所” and 交易方式 is “询价成交方式” and 交易品种 is “债券” and 价值 is “申报数量” then 数量 op “不低于” “10万元面额” and 数量2 op “等于” “1000元面额的整数倍” and 交易结果 is “成功”</w:t>
      </w:r>
    </w:p>
    <w:p w14:paraId="540146FC"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规则第五十三条.6:</w:t>
      </w:r>
      <w:r>
        <w:rPr>
          <w:rFonts w:ascii="Segoe UI" w:eastAsia="Segoe UI" w:hAnsi="Segoe UI" w:cs="Segoe UI"/>
          <w:color w:val="1A2029"/>
          <w:sz w:val="21"/>
          <w:szCs w:val="21"/>
          <w:shd w:val="clear" w:color="auto" w:fill="FFFFFF"/>
        </w:rPr>
        <w:t> if 交易市场 is “上海证券交易所” and 交易方式 is “竞买成交方式” and 交易品种 is “债券” and 价值 is “申报数量” then 数量 op “不低于” “10万元面额” and 数量2 op “等于” “1000元面额的整数倍” and 交易结果 is “成功”</w:t>
      </w:r>
    </w:p>
    <w:p w14:paraId="500D0803"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规则第五十三条.7:</w:t>
      </w:r>
      <w:r>
        <w:rPr>
          <w:rFonts w:ascii="Segoe UI" w:eastAsia="Segoe UI" w:hAnsi="Segoe UI" w:cs="Segoe UI"/>
          <w:color w:val="1A2029"/>
          <w:sz w:val="21"/>
          <w:szCs w:val="21"/>
          <w:shd w:val="clear" w:color="auto" w:fill="FFFFFF"/>
        </w:rPr>
        <w:t> if 交易市场 is “上海证券交易所” and 交易方式 is “协商成交方式” and 交易品种 is “债券现券” and 价值 is “申报数量” then 数量 op “不低于” “1000元面额” and 数量2 op “等于” “100元面额整数倍” and 交易结果 is “成功”</w:t>
      </w:r>
    </w:p>
    <w:p w14:paraId="1EF94C75"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规则第五十三条.8:</w:t>
      </w:r>
      <w:r>
        <w:rPr>
          <w:rFonts w:ascii="Segoe UI" w:eastAsia="Segoe UI" w:hAnsi="Segoe UI" w:cs="Segoe UI"/>
          <w:color w:val="1A2029"/>
          <w:sz w:val="21"/>
          <w:szCs w:val="21"/>
          <w:shd w:val="clear" w:color="auto" w:fill="FFFFFF"/>
        </w:rPr>
        <w:t> if 交易市场 is “上海证券交易所” and 交易方式 is “协商成交方式” and 交易品种 is “债券通用质押式回购” and 价值 is “申报数量” then 数量 op “等于” “1000元面额或其整数倍” and 交易结果 is “成功”</w:t>
      </w:r>
    </w:p>
    <w:p w14:paraId="5CF6F786"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规则第五十三条.9:</w:t>
      </w:r>
      <w:r>
        <w:rPr>
          <w:rFonts w:ascii="Segoe UI" w:eastAsia="Segoe UI" w:hAnsi="Segoe UI" w:cs="Segoe UI"/>
          <w:color w:val="1A2029"/>
          <w:sz w:val="21"/>
          <w:szCs w:val="21"/>
          <w:shd w:val="clear" w:color="auto" w:fill="FFFFFF"/>
        </w:rPr>
        <w:t> if 交易市场 is “上海证券交易所” and 交易品种 is “债券” and 价值 is “单笔最大申报数量” then 数量 op “不超过” “100亿元面额” and 交易结果 is “成功”</w:t>
      </w:r>
    </w:p>
    <w:p w14:paraId="0982B36A"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762993EA" w14:textId="77777777" w:rsidR="007368A4" w:rsidRPr="00AF22CE" w:rsidRDefault="007368A4" w:rsidP="007368A4">
      <w:pPr>
        <w:pStyle w:val="a7"/>
        <w:widowControl/>
        <w:shd w:val="clear" w:color="auto" w:fill="FFFFFF"/>
        <w:spacing w:before="80" w:beforeAutospacing="0" w:afterAutospacing="0" w:line="270" w:lineRule="atLeast"/>
        <w:textAlignment w:val="baseline"/>
      </w:pPr>
      <w:r>
        <w:rPr>
          <w:rFonts w:hint="eastAsia"/>
        </w:rPr>
        <w:t>补全：</w:t>
      </w:r>
      <w:r>
        <w:t>5(6)</w:t>
      </w:r>
      <w:r>
        <w:rPr>
          <w:rFonts w:hint="eastAsia"/>
        </w:rPr>
        <w:t>，具体化：</w:t>
      </w:r>
      <w:r>
        <w:t>0(0)</w:t>
      </w:r>
      <w:r>
        <w:rPr>
          <w:rFonts w:hint="eastAsia"/>
        </w:rPr>
        <w:t>，结果：</w:t>
      </w:r>
      <w:r>
        <w:t>1(1)</w:t>
      </w:r>
    </w:p>
    <w:p w14:paraId="341C70DE" w14:textId="77777777" w:rsidR="007368A4" w:rsidRDefault="007368A4" w:rsidP="007368A4">
      <w:pPr>
        <w:pStyle w:val="a7"/>
        <w:widowControl/>
        <w:shd w:val="clear" w:color="auto" w:fill="FFFFFF"/>
        <w:spacing w:before="80" w:beforeAutospacing="0" w:afterAutospacing="0" w:line="270" w:lineRule="atLeast"/>
        <w:textAlignment w:val="baseline"/>
      </w:pPr>
      <w:r>
        <w:rPr>
          <w:rFonts w:hint="eastAsia"/>
        </w:rPr>
        <w:t>补全：</w:t>
      </w:r>
      <w:r>
        <w:t>5(6)</w:t>
      </w:r>
      <w:r>
        <w:rPr>
          <w:rFonts w:hint="eastAsia"/>
        </w:rPr>
        <w:t>，具体化：</w:t>
      </w:r>
      <w:r>
        <w:t>0(0)</w:t>
      </w:r>
      <w:r>
        <w:rPr>
          <w:rFonts w:hint="eastAsia"/>
        </w:rPr>
        <w:t>，结果：</w:t>
      </w:r>
      <w:r>
        <w:t>1(1)</w:t>
      </w:r>
    </w:p>
    <w:p w14:paraId="4222CE0A" w14:textId="77777777" w:rsidR="007368A4" w:rsidRDefault="007368A4" w:rsidP="007368A4">
      <w:pPr>
        <w:pStyle w:val="a7"/>
        <w:widowControl/>
        <w:shd w:val="clear" w:color="auto" w:fill="FFFFFF"/>
        <w:spacing w:before="80" w:beforeAutospacing="0" w:afterAutospacing="0" w:line="270" w:lineRule="atLeast"/>
        <w:textAlignment w:val="baseline"/>
      </w:pPr>
      <w:r>
        <w:rPr>
          <w:rFonts w:hint="eastAsia"/>
        </w:rPr>
        <w:t>补全：</w:t>
      </w:r>
      <w:r>
        <w:t>6(6)</w:t>
      </w:r>
      <w:r>
        <w:rPr>
          <w:rFonts w:hint="eastAsia"/>
        </w:rPr>
        <w:t>，具体化：</w:t>
      </w:r>
      <w:r>
        <w:t>0(0)</w:t>
      </w:r>
      <w:r>
        <w:rPr>
          <w:rFonts w:hint="eastAsia"/>
        </w:rPr>
        <w:t>，结果：</w:t>
      </w:r>
      <w:r>
        <w:t>1(1)</w:t>
      </w:r>
    </w:p>
    <w:p w14:paraId="4C4723DC" w14:textId="77777777" w:rsidR="007368A4" w:rsidRDefault="007368A4" w:rsidP="007368A4">
      <w:pPr>
        <w:pStyle w:val="a7"/>
        <w:widowControl/>
        <w:shd w:val="clear" w:color="auto" w:fill="FFFFFF"/>
        <w:spacing w:before="80" w:beforeAutospacing="0" w:afterAutospacing="0" w:line="270" w:lineRule="atLeast"/>
        <w:textAlignment w:val="baseline"/>
      </w:pPr>
      <w:r>
        <w:rPr>
          <w:rFonts w:hint="eastAsia"/>
        </w:rPr>
        <w:t>补全：</w:t>
      </w:r>
      <w:r>
        <w:t>6(6)</w:t>
      </w:r>
      <w:r>
        <w:rPr>
          <w:rFonts w:hint="eastAsia"/>
        </w:rPr>
        <w:t>，具体化：</w:t>
      </w:r>
      <w:r>
        <w:t>0(0)</w:t>
      </w:r>
      <w:r>
        <w:rPr>
          <w:rFonts w:hint="eastAsia"/>
        </w:rPr>
        <w:t>，结果：</w:t>
      </w:r>
      <w:r>
        <w:t>1(1)</w:t>
      </w:r>
    </w:p>
    <w:p w14:paraId="60377AAC" w14:textId="77777777" w:rsidR="007368A4" w:rsidRDefault="007368A4" w:rsidP="007368A4">
      <w:pPr>
        <w:pStyle w:val="a7"/>
        <w:widowControl/>
        <w:shd w:val="clear" w:color="auto" w:fill="FFFFFF"/>
        <w:spacing w:before="80" w:beforeAutospacing="0" w:afterAutospacing="0" w:line="270" w:lineRule="atLeast"/>
        <w:textAlignment w:val="baseline"/>
      </w:pPr>
      <w:r>
        <w:rPr>
          <w:rFonts w:hint="eastAsia"/>
        </w:rPr>
        <w:t>补全：</w:t>
      </w:r>
      <w:r>
        <w:t>6(6)</w:t>
      </w:r>
      <w:r>
        <w:rPr>
          <w:rFonts w:hint="eastAsia"/>
        </w:rPr>
        <w:t>，具体化：</w:t>
      </w:r>
      <w:r>
        <w:t>0(0)</w:t>
      </w:r>
      <w:r>
        <w:rPr>
          <w:rFonts w:hint="eastAsia"/>
        </w:rPr>
        <w:t>，结果：</w:t>
      </w:r>
      <w:r>
        <w:t>1(1)</w:t>
      </w:r>
    </w:p>
    <w:p w14:paraId="4B6A0AD3"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r>
        <w:rPr>
          <w:rFonts w:hint="eastAsia"/>
        </w:rPr>
        <w:t>补全：</w:t>
      </w:r>
      <w:r>
        <w:t>6(6)</w:t>
      </w:r>
      <w:r>
        <w:rPr>
          <w:rFonts w:hint="eastAsia"/>
        </w:rPr>
        <w:t>，具体化：</w:t>
      </w:r>
      <w:r>
        <w:t>0(0)</w:t>
      </w:r>
      <w:r>
        <w:rPr>
          <w:rFonts w:hint="eastAsia"/>
        </w:rPr>
        <w:t>，结果：</w:t>
      </w:r>
      <w:r>
        <w:t>1(1)</w:t>
      </w:r>
    </w:p>
    <w:p w14:paraId="3E2E2189" w14:textId="77777777" w:rsidR="007368A4" w:rsidRPr="00AF22CE"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0AC9594B"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规则第五十四条.1:</w:t>
      </w:r>
      <w:r>
        <w:rPr>
          <w:rFonts w:ascii="Segoe UI" w:eastAsia="Segoe UI" w:hAnsi="Segoe UI" w:cs="Segoe UI"/>
          <w:color w:val="1A2029"/>
          <w:sz w:val="21"/>
          <w:szCs w:val="21"/>
          <w:shd w:val="clear" w:color="auto" w:fill="FFFFFF"/>
        </w:rPr>
        <w:t> if 交易市场 is “上海证券交易所” and 交易品种 is “债券现券” and 价值 is “价格单位” then value is “每百元面额债券的价格” and 交易结果 is “成功”</w:t>
      </w:r>
    </w:p>
    <w:p w14:paraId="69734186"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lastRenderedPageBreak/>
        <w:t>规则第五十四条.2:</w:t>
      </w:r>
      <w:r>
        <w:rPr>
          <w:rFonts w:ascii="Segoe UI" w:eastAsia="Segoe UI" w:hAnsi="Segoe UI" w:cs="Segoe UI"/>
          <w:color w:val="1A2029"/>
          <w:sz w:val="21"/>
          <w:szCs w:val="21"/>
          <w:shd w:val="clear" w:color="auto" w:fill="FFFFFF"/>
        </w:rPr>
        <w:t> if 交易市场 is “上海证券交易所” and 交易品种 is “债券通用质押式回购” and 价值 is “价格单位” then value is “每百元资金到期年收益” and 交易结果 is “成功”</w:t>
      </w:r>
    </w:p>
    <w:p w14:paraId="05A5A320"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3E6FB640" w14:textId="77777777" w:rsidR="007368A4" w:rsidRPr="009A1148" w:rsidRDefault="007368A4" w:rsidP="007368A4">
      <w:pPr>
        <w:rPr>
          <w:rStyle w:val="HTML"/>
          <w:szCs w:val="22"/>
        </w:rPr>
      </w:pPr>
      <w:r>
        <w:rPr>
          <w:rFonts w:hint="eastAsia"/>
        </w:rPr>
        <w:t>补全：</w:t>
      </w:r>
      <w:r>
        <w:t>6(6)</w:t>
      </w:r>
      <w:r>
        <w:rPr>
          <w:rFonts w:hint="eastAsia"/>
        </w:rPr>
        <w:t>，具体化：</w:t>
      </w:r>
      <w:r>
        <w:t>0(0)</w:t>
      </w:r>
      <w:r>
        <w:rPr>
          <w:rFonts w:hint="eastAsia"/>
        </w:rPr>
        <w:t>，结果：</w:t>
      </w:r>
      <w:r>
        <w:t>1(1)</w:t>
      </w:r>
    </w:p>
    <w:p w14:paraId="5EAF94DB" w14:textId="77777777" w:rsidR="007368A4" w:rsidRPr="009A1148" w:rsidRDefault="007368A4" w:rsidP="007368A4">
      <w:pPr>
        <w:rPr>
          <w:rStyle w:val="HTML"/>
          <w:szCs w:val="22"/>
        </w:rPr>
      </w:pPr>
      <w:r>
        <w:rPr>
          <w:rFonts w:hint="eastAsia"/>
        </w:rPr>
        <w:t>补全：</w:t>
      </w:r>
      <w:r>
        <w:t>6(6)</w:t>
      </w:r>
      <w:r>
        <w:rPr>
          <w:rFonts w:hint="eastAsia"/>
        </w:rPr>
        <w:t>，具体化：</w:t>
      </w:r>
      <w:r>
        <w:t>0(0)</w:t>
      </w:r>
      <w:r>
        <w:rPr>
          <w:rFonts w:hint="eastAsia"/>
        </w:rPr>
        <w:t>，结果：</w:t>
      </w:r>
      <w:r>
        <w:t>1(1)</w:t>
      </w:r>
    </w:p>
    <w:p w14:paraId="10EE8D13" w14:textId="77777777" w:rsidR="007368A4" w:rsidRPr="00AF22CE"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2AA6BA84" w14:textId="77777777" w:rsidR="007368A4" w:rsidRPr="00AF22CE"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594E1EA9"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规则第五十五条.1:</w:t>
      </w:r>
      <w:r>
        <w:rPr>
          <w:rFonts w:ascii="Segoe UI" w:eastAsia="Segoe UI" w:hAnsi="Segoe UI" w:cs="Segoe UI"/>
          <w:color w:val="1A2029"/>
          <w:sz w:val="21"/>
          <w:szCs w:val="21"/>
          <w:shd w:val="clear" w:color="auto" w:fill="FFFFFF"/>
        </w:rPr>
        <w:t> if 交易市场 is “上海证券交易所” and 交易方式 is “匹配成交方式” and 交易品种 is “债券现券” and 价值 is “申报价格最小变动单位” then 价格 is “0.001元” and 交易结果 is “成功”</w:t>
      </w:r>
    </w:p>
    <w:p w14:paraId="24FB28E4"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规则第五十五条.2:</w:t>
      </w:r>
      <w:r>
        <w:rPr>
          <w:rFonts w:ascii="Segoe UI" w:eastAsia="Segoe UI" w:hAnsi="Segoe UI" w:cs="Segoe UI"/>
          <w:color w:val="1A2029"/>
          <w:sz w:val="21"/>
          <w:szCs w:val="21"/>
          <w:shd w:val="clear" w:color="auto" w:fill="FFFFFF"/>
        </w:rPr>
        <w:t> if 交易市场 is “上海证券交易所” and 交易方式 is “匹配成交方式” and 交易品种 is “债券通用质押式回购” and 价值 is “申报价格最小变动单位” then 价格 is “0.005元” and 交易结果 is “成功”</w:t>
      </w:r>
    </w:p>
    <w:p w14:paraId="525C7118"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规则第五十五条.3:</w:t>
      </w:r>
      <w:r>
        <w:rPr>
          <w:rFonts w:ascii="Segoe UI" w:eastAsia="Segoe UI" w:hAnsi="Segoe UI" w:cs="Segoe UI"/>
          <w:color w:val="1A2029"/>
          <w:sz w:val="21"/>
          <w:szCs w:val="21"/>
          <w:shd w:val="clear" w:color="auto" w:fill="FFFFFF"/>
        </w:rPr>
        <w:t> if 交易市场 is “上海证券交易所” and 交易方式 is “除匹配成交方式外的其他交易方式” and 交易品种 is “债券” and 价值 is “申报价格最小变动单位” then 价格 is “0.0001元” and 交易结果 is “成功”</w:t>
      </w:r>
    </w:p>
    <w:p w14:paraId="3F6B7D63"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19B60660"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771F4852" w14:textId="77777777" w:rsidR="007368A4" w:rsidRPr="00974B7B"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06265B84"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规则第五十六条.1:</w:t>
      </w:r>
      <w:r>
        <w:rPr>
          <w:rFonts w:ascii="Segoe UI" w:eastAsia="Segoe UI" w:hAnsi="Segoe UI" w:cs="Segoe UI"/>
          <w:color w:val="1A2029"/>
          <w:sz w:val="21"/>
          <w:szCs w:val="21"/>
          <w:shd w:val="clear" w:color="auto" w:fill="FFFFFF"/>
        </w:rPr>
        <w:t> if 交易市场 is “上海证券交易所” and 交易品种 is “债券现券” and 价值 is “默认申报价格类型” then value is “净价价格” and 交易结果 is “成功”</w:t>
      </w:r>
    </w:p>
    <w:p w14:paraId="089195D2"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规则第五十六条.2:</w:t>
      </w:r>
      <w:r>
        <w:rPr>
          <w:rFonts w:ascii="Segoe UI" w:eastAsia="Segoe UI" w:hAnsi="Segoe UI" w:cs="Segoe UI"/>
          <w:color w:val="1A2029"/>
          <w:sz w:val="21"/>
          <w:szCs w:val="21"/>
          <w:shd w:val="clear" w:color="auto" w:fill="FFFFFF"/>
        </w:rPr>
        <w:t> if 交易市场 is “上海证券交易所” and 交易品种 is “债券现券” and 价值 is “另有规定的申报价格类型” then value2 is “全价价格” and 交易结果 is “成功”</w:t>
      </w:r>
    </w:p>
    <w:p w14:paraId="542D5BF9"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6B2E529F"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6B247E91" w14:textId="77777777" w:rsidR="007368A4" w:rsidRPr="00974B7B"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72187496"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规则第五十八条.1:</w:t>
      </w:r>
      <w:r>
        <w:rPr>
          <w:rFonts w:ascii="Segoe UI" w:eastAsia="Segoe UI" w:hAnsi="Segoe UI" w:cs="Segoe UI"/>
          <w:color w:val="1A2029"/>
          <w:sz w:val="21"/>
          <w:szCs w:val="21"/>
          <w:shd w:val="clear" w:color="auto" w:fill="FFFFFF"/>
        </w:rPr>
        <w:t> if 交易市场 is “上海证券交易所” and 交易品种 is “债券” and 价值 is “结算方式” then value is “多边净额结算” and 交易结果 is “成功”</w:t>
      </w:r>
    </w:p>
    <w:p w14:paraId="2F3D9EB2"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规则第五十八条.2:</w:t>
      </w:r>
      <w:r>
        <w:rPr>
          <w:rFonts w:ascii="Segoe UI" w:eastAsia="Segoe UI" w:hAnsi="Segoe UI" w:cs="Segoe UI"/>
          <w:color w:val="1A2029"/>
          <w:sz w:val="21"/>
          <w:szCs w:val="21"/>
          <w:shd w:val="clear" w:color="auto" w:fill="FFFFFF"/>
        </w:rPr>
        <w:t> if 交易市场 is “上海证券交易所” and 交易品种 is “债券” and 价值 is “结算方式” and 操作人 is “债券投资者” and 操作 is “选择” and 操作部分 is “结算周期” and 时间 is “15:30至20:00” and 价值2 is “债券现券交易结算日” and op is “不晚于” and 时间2 is “交易当日后的第三个交易日（含）” and 价值3 is “除非本所另有规定” then 交易结果 is “成功”</w:t>
      </w:r>
    </w:p>
    <w:p w14:paraId="69FDE469"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规则第五十八条.3:</w:t>
      </w:r>
      <w:r>
        <w:rPr>
          <w:rFonts w:ascii="Segoe UI" w:eastAsia="Segoe UI" w:hAnsi="Segoe UI" w:cs="Segoe UI"/>
          <w:color w:val="1A2029"/>
          <w:sz w:val="21"/>
          <w:szCs w:val="21"/>
          <w:shd w:val="clear" w:color="auto" w:fill="FFFFFF"/>
        </w:rPr>
        <w:t> if 交易市场 is “上海证券交易所” and 交易品种 is “债券” and 价值 is “结算方式” and 操作人 is “债券投资者” and 操作 is “选择” and 操作部分 is “结算周期” and 时间 is “15:30至20:00” and 价值2 is “债券回购交易首次结算日” and op is “不晚于” and 时间2 is “交易当日后的第三个交易日（含）” and 价值3 is “除非本所另有规定” then 交易结果 is “成功”</w:t>
      </w:r>
    </w:p>
    <w:p w14:paraId="4C307080"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lastRenderedPageBreak/>
        <w:t>规则第五十八条.4:</w:t>
      </w:r>
      <w:r>
        <w:rPr>
          <w:rFonts w:ascii="Segoe UI" w:eastAsia="Segoe UI" w:hAnsi="Segoe UI" w:cs="Segoe UI"/>
          <w:color w:val="1A2029"/>
          <w:sz w:val="21"/>
          <w:szCs w:val="21"/>
          <w:shd w:val="clear" w:color="auto" w:fill="FFFFFF"/>
        </w:rPr>
        <w:t> if 交易市场 is “上海证券交易所” and 时间 is “15:30至20:00” and 交易品种 is “债券” and 价值 is “结算方式” and 时间2 is “交易当日” then 交易结果 is “成功”</w:t>
      </w:r>
    </w:p>
    <w:p w14:paraId="7958CEF7"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规则第五十八条.5:</w:t>
      </w:r>
      <w:r>
        <w:rPr>
          <w:rFonts w:ascii="Segoe UI" w:eastAsia="Segoe UI" w:hAnsi="Segoe UI" w:cs="Segoe UI"/>
          <w:color w:val="1A2029"/>
          <w:sz w:val="21"/>
          <w:szCs w:val="21"/>
          <w:shd w:val="clear" w:color="auto" w:fill="FFFFFF"/>
        </w:rPr>
        <w:t> if 交易市场 is “上海证券交易所” and 时间 is “15:30至20:00” and 交易品种 is “债券” and 价值 is “结算方式” and 时间2 is “交易当日” then 交易结果 is “成功”</w:t>
      </w:r>
    </w:p>
    <w:p w14:paraId="5F08CC38"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6F8F6F29" w14:textId="77777777" w:rsidR="007368A4" w:rsidRPr="00D90CFB" w:rsidRDefault="007368A4" w:rsidP="007368A4">
      <w:pPr>
        <w:rPr>
          <w:rStyle w:val="HTML"/>
          <w:szCs w:val="22"/>
        </w:rPr>
      </w:pPr>
      <w:r>
        <w:rPr>
          <w:rFonts w:hint="eastAsia"/>
        </w:rPr>
        <w:t>补全：</w:t>
      </w:r>
      <w:r>
        <w:t>6(7)</w:t>
      </w:r>
      <w:r>
        <w:rPr>
          <w:rFonts w:hint="eastAsia"/>
        </w:rPr>
        <w:t>，具体化：</w:t>
      </w:r>
      <w:r>
        <w:t>0(0)</w:t>
      </w:r>
      <w:r>
        <w:rPr>
          <w:rFonts w:hint="eastAsia"/>
        </w:rPr>
        <w:t>，结果：</w:t>
      </w:r>
      <w:r>
        <w:t>1(1)</w:t>
      </w:r>
    </w:p>
    <w:p w14:paraId="6CA86A88" w14:textId="77777777" w:rsidR="007368A4" w:rsidRPr="00D90CFB" w:rsidRDefault="007368A4" w:rsidP="007368A4">
      <w:pPr>
        <w:rPr>
          <w:rStyle w:val="HTML"/>
          <w:szCs w:val="22"/>
        </w:rPr>
      </w:pPr>
      <w:r>
        <w:rPr>
          <w:rFonts w:hint="eastAsia"/>
        </w:rPr>
        <w:t>补全：</w:t>
      </w:r>
      <w:r>
        <w:t>6(7)</w:t>
      </w:r>
      <w:r>
        <w:rPr>
          <w:rFonts w:hint="eastAsia"/>
        </w:rPr>
        <w:t>，具体化：</w:t>
      </w:r>
      <w:r>
        <w:t>0(0)</w:t>
      </w:r>
      <w:r>
        <w:rPr>
          <w:rFonts w:hint="eastAsia"/>
        </w:rPr>
        <w:t>，结果：</w:t>
      </w:r>
      <w:r>
        <w:t>1(1)</w:t>
      </w:r>
    </w:p>
    <w:p w14:paraId="140BE051" w14:textId="77777777" w:rsidR="007368A4" w:rsidRPr="00974B7B"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26A92F1C" w14:textId="77777777" w:rsidR="007368A4" w:rsidRPr="00974B7B"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43811B0A"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规则第五十九条.1:</w:t>
      </w:r>
      <w:r>
        <w:rPr>
          <w:rFonts w:ascii="Segoe UI" w:eastAsia="Segoe UI" w:hAnsi="Segoe UI" w:cs="Segoe UI"/>
          <w:color w:val="1A2029"/>
          <w:sz w:val="21"/>
          <w:szCs w:val="21"/>
          <w:shd w:val="clear" w:color="auto" w:fill="FFFFFF"/>
        </w:rPr>
        <w:t> if 交易市场 is “上海证券交易所” and 交易方式 is “匹配成交方式” and 交易品种 is “债券” and 操作人 is “债券投资者” and 价值 is “申报方式” then value is “匿名方式” and 交易结果 is “成功”</w:t>
      </w:r>
    </w:p>
    <w:p w14:paraId="4AF72E9E"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规则第五十九条.2:</w:t>
      </w:r>
      <w:r>
        <w:rPr>
          <w:rFonts w:ascii="Segoe UI" w:eastAsia="Segoe UI" w:hAnsi="Segoe UI" w:cs="Segoe UI"/>
          <w:color w:val="1A2029"/>
          <w:sz w:val="21"/>
          <w:szCs w:val="21"/>
          <w:shd w:val="clear" w:color="auto" w:fill="FFFFFF"/>
        </w:rPr>
        <w:t> if 交易市场 is “上海证券交易所” and 交易方式 is “协商成交方式” and 交易品种 is “债券” and 操作人 is “债券投资者” and 价值 is “申报方式” then value is “显名方式” and 交易结果 is “成功”</w:t>
      </w:r>
    </w:p>
    <w:p w14:paraId="07C43107"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规则第五十九条.3:</w:t>
      </w:r>
      <w:r>
        <w:rPr>
          <w:rFonts w:ascii="Segoe UI" w:eastAsia="Segoe UI" w:hAnsi="Segoe UI" w:cs="Segoe UI"/>
          <w:color w:val="1A2029"/>
          <w:sz w:val="21"/>
          <w:szCs w:val="21"/>
          <w:shd w:val="clear" w:color="auto" w:fill="FFFFFF"/>
        </w:rPr>
        <w:t> if 交易市场 is “上海证券交易所” and 交易方式 is “非匹配成交和协商成交的其他交易方式” and 交易品种 is “债券” and 操作人 is “债券投资者” and 操作 is “选择” and 操作部分 is “匿名方式申报” then 交易结果 is “成功”</w:t>
      </w:r>
    </w:p>
    <w:p w14:paraId="0C9993EA"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shd w:val="clear" w:color="auto" w:fill="FFFFFF"/>
        </w:rPr>
      </w:pPr>
      <w:r>
        <w:rPr>
          <w:rStyle w:val="a8"/>
          <w:rFonts w:ascii="Segoe UI" w:eastAsia="Segoe UI" w:hAnsi="Segoe UI" w:cs="Segoe UI"/>
          <w:color w:val="1A2029"/>
          <w:sz w:val="21"/>
          <w:szCs w:val="21"/>
          <w:shd w:val="clear" w:color="auto" w:fill="FFFFFF"/>
        </w:rPr>
        <w:t>规则第五十九条.4:</w:t>
      </w:r>
      <w:r>
        <w:rPr>
          <w:rFonts w:ascii="Segoe UI" w:eastAsia="Segoe UI" w:hAnsi="Segoe UI" w:cs="Segoe UI"/>
          <w:color w:val="1A2029"/>
          <w:sz w:val="21"/>
          <w:szCs w:val="21"/>
          <w:shd w:val="clear" w:color="auto" w:fill="FFFFFF"/>
        </w:rPr>
        <w:t> if 交易市场 is “上海证券交易所” and 交易方式 is “非匹配成交和协商成交的其他交易方式” and 交易品种 is “债券” and 操作人 is “债券投资者” and 操作 is “选择” and 操作部分 is “显名方式申报” then 交易结果 is “成功”</w:t>
      </w:r>
    </w:p>
    <w:p w14:paraId="7ACC3E96"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088A04BF" w14:textId="77777777" w:rsidR="007368A4" w:rsidRPr="00D90CFB" w:rsidRDefault="007368A4" w:rsidP="007368A4">
      <w:pPr>
        <w:rPr>
          <w:rStyle w:val="HTML"/>
          <w:szCs w:val="22"/>
        </w:rPr>
      </w:pPr>
      <w:r>
        <w:rPr>
          <w:rFonts w:hint="eastAsia"/>
        </w:rPr>
        <w:t>补全：</w:t>
      </w:r>
      <w:r>
        <w:t>5(5)</w:t>
      </w:r>
      <w:r>
        <w:rPr>
          <w:rFonts w:hint="eastAsia"/>
        </w:rPr>
        <w:t>，具体化：</w:t>
      </w:r>
      <w:r>
        <w:t>0(0)</w:t>
      </w:r>
      <w:r>
        <w:rPr>
          <w:rFonts w:hint="eastAsia"/>
        </w:rPr>
        <w:t>，结果：</w:t>
      </w:r>
      <w:r>
        <w:t>1(1)</w:t>
      </w:r>
    </w:p>
    <w:p w14:paraId="31E4B76E" w14:textId="77777777" w:rsidR="007368A4" w:rsidRPr="00D90CFB" w:rsidRDefault="007368A4" w:rsidP="007368A4">
      <w:pPr>
        <w:rPr>
          <w:rStyle w:val="HTML"/>
          <w:szCs w:val="22"/>
        </w:rPr>
      </w:pPr>
      <w:r>
        <w:rPr>
          <w:rFonts w:hint="eastAsia"/>
        </w:rPr>
        <w:t>补全：</w:t>
      </w:r>
      <w:r>
        <w:t>5(5)</w:t>
      </w:r>
      <w:r>
        <w:rPr>
          <w:rFonts w:hint="eastAsia"/>
        </w:rPr>
        <w:t>，具体化：</w:t>
      </w:r>
      <w:r>
        <w:t>0(0)</w:t>
      </w:r>
      <w:r>
        <w:rPr>
          <w:rFonts w:hint="eastAsia"/>
        </w:rPr>
        <w:t>，结果：</w:t>
      </w:r>
      <w:r>
        <w:t>1(1)</w:t>
      </w:r>
    </w:p>
    <w:p w14:paraId="2E5DB899" w14:textId="77777777" w:rsidR="007368A4" w:rsidRPr="00974B7B"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5C7FA3EA" w14:textId="77777777" w:rsidR="007368A4" w:rsidRPr="00974B7B" w:rsidRDefault="007368A4" w:rsidP="007368A4">
      <w:pPr>
        <w:pStyle w:val="a7"/>
        <w:widowControl/>
        <w:shd w:val="clear" w:color="auto" w:fill="FFFFFF"/>
        <w:spacing w:before="80" w:beforeAutospacing="0" w:afterAutospacing="0" w:line="270" w:lineRule="atLeast"/>
        <w:textAlignment w:val="baseline"/>
        <w:rPr>
          <w:rFonts w:ascii="Segoe UI" w:hAnsi="Segoe UI" w:cs="Segoe UI"/>
          <w:color w:val="1A2029"/>
          <w:sz w:val="21"/>
          <w:szCs w:val="21"/>
        </w:rPr>
      </w:pPr>
    </w:p>
    <w:p w14:paraId="27C03C26"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规则第六十条.1:</w:t>
      </w:r>
      <w:r>
        <w:rPr>
          <w:rFonts w:ascii="Segoe UI" w:eastAsia="Segoe UI" w:hAnsi="Segoe UI" w:cs="Segoe UI"/>
          <w:color w:val="1A2029"/>
          <w:sz w:val="21"/>
          <w:szCs w:val="21"/>
          <w:shd w:val="clear" w:color="auto" w:fill="FFFFFF"/>
        </w:rPr>
        <w:t> if 交易市场 is “上海证券交易所” and 交易品种 is “债券” and 操作 is “提交” and 价值 is “申报有效期” and 时间 is “当日” and 价值2 is “除非本所另有规定” then 交易结果 is “成功”</w:t>
      </w:r>
    </w:p>
    <w:p w14:paraId="14D0461D"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规则第六十条.2:</w:t>
      </w:r>
      <w:r>
        <w:rPr>
          <w:rFonts w:ascii="Segoe UI" w:eastAsia="Segoe UI" w:hAnsi="Segoe UI" w:cs="Segoe UI"/>
          <w:color w:val="1A2029"/>
          <w:sz w:val="21"/>
          <w:szCs w:val="21"/>
          <w:shd w:val="clear" w:color="auto" w:fill="FFFFFF"/>
        </w:rPr>
        <w:t> if 交易市场 is “上海证券交易所” and 交易方式 is “匹配成交方式” and 交易品种 is “债券” and 价值 is “申报成交情况” and value2 is “不能一次全部成交” and 价值3 is “未成交部分有效期” and 时间 is “当日” then 交易结果 is “成功”</w:t>
      </w:r>
    </w:p>
    <w:p w14:paraId="151E84E1"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规则第六十条.3:</w:t>
      </w:r>
      <w:r>
        <w:rPr>
          <w:rFonts w:ascii="Segoe UI" w:eastAsia="Segoe UI" w:hAnsi="Segoe UI" w:cs="Segoe UI"/>
          <w:color w:val="1A2029"/>
          <w:sz w:val="21"/>
          <w:szCs w:val="21"/>
          <w:shd w:val="clear" w:color="auto" w:fill="FFFFFF"/>
        </w:rPr>
        <w:t> if 交易市场 is “上海证券交易所” and 交易方式 is “点击成交方式” and 交易品种 is “债券” and 价值 is “申报成交情况” and value2 is “不能一次全部成交” and 价值3 is “未成交部分有效期” and 时间 is “当日” then 交易结果 is “成功”</w:t>
      </w:r>
    </w:p>
    <w:p w14:paraId="4EDC6402"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规则第六十条.4:</w:t>
      </w:r>
      <w:r>
        <w:rPr>
          <w:rFonts w:ascii="Segoe UI" w:eastAsia="Segoe UI" w:hAnsi="Segoe UI" w:cs="Segoe UI"/>
          <w:color w:val="1A2029"/>
          <w:sz w:val="21"/>
          <w:szCs w:val="21"/>
          <w:shd w:val="clear" w:color="auto" w:fill="FFFFFF"/>
        </w:rPr>
        <w:t> if 交易市场 is “上海证券交易所” and 交易方式 is “询价成交方式” and 交易品种 is “债券” and 价值 is “申报成交情况” and value2 is “不能一次全部成交” and 价值3 is “未成交部分有效期” and 时间 is “当日” then 交易结果 is “成功”</w:t>
      </w:r>
    </w:p>
    <w:p w14:paraId="77F58A5F"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lastRenderedPageBreak/>
        <w:t>规则第六十一条.1:</w:t>
      </w:r>
      <w:r>
        <w:rPr>
          <w:rFonts w:ascii="Segoe UI" w:eastAsia="Segoe UI" w:hAnsi="Segoe UI" w:cs="Segoe UI"/>
          <w:color w:val="1A2029"/>
          <w:sz w:val="21"/>
          <w:szCs w:val="21"/>
          <w:shd w:val="clear" w:color="auto" w:fill="FFFFFF"/>
        </w:rPr>
        <w:t> if 交易市场 is “上海证券交易所” and 状态 is “未成交” and 交易品种 is “债券” and 操作 is “撤销” and 操作部分 is “交易申报” then 交易结果 is “成功”</w:t>
      </w:r>
    </w:p>
    <w:p w14:paraId="21CA6310" w14:textId="77777777" w:rsidR="007368A4" w:rsidRDefault="007368A4" w:rsidP="007368A4">
      <w:pPr>
        <w:pStyle w:val="a7"/>
        <w:widowControl/>
        <w:shd w:val="clear" w:color="auto" w:fill="FFFFFF"/>
        <w:spacing w:before="80" w:beforeAutospacing="0" w:afterAutospacing="0" w:line="270" w:lineRule="atLeast"/>
        <w:textAlignment w:val="baseline"/>
        <w:rPr>
          <w:rFonts w:ascii="Segoe UI" w:eastAsia="Segoe UI" w:hAnsi="Segoe UI" w:cs="Segoe UI"/>
          <w:color w:val="1A2029"/>
          <w:sz w:val="21"/>
          <w:szCs w:val="21"/>
        </w:rPr>
      </w:pPr>
      <w:r>
        <w:rPr>
          <w:rStyle w:val="a8"/>
          <w:rFonts w:ascii="Segoe UI" w:eastAsia="Segoe UI" w:hAnsi="Segoe UI" w:cs="Segoe UI"/>
          <w:color w:val="1A2029"/>
          <w:sz w:val="21"/>
          <w:szCs w:val="21"/>
          <w:shd w:val="clear" w:color="auto" w:fill="FFFFFF"/>
        </w:rPr>
        <w:t>规则第六十一条.2:</w:t>
      </w:r>
      <w:r>
        <w:rPr>
          <w:rFonts w:ascii="Segoe UI" w:eastAsia="Segoe UI" w:hAnsi="Segoe UI" w:cs="Segoe UI"/>
          <w:color w:val="1A2029"/>
          <w:sz w:val="21"/>
          <w:szCs w:val="21"/>
          <w:shd w:val="clear" w:color="auto" w:fill="FFFFFF"/>
        </w:rPr>
        <w:t> if 交易市场 is “上海证券交易所” and 状态 is “部分成交” and 交易品种 is “债券” and 操作 is “撤销” and 操作部分 is “交易申报中的未成交部分” then 交易结果 is “成功”</w:t>
      </w:r>
    </w:p>
    <w:p w14:paraId="6C471CB9" w14:textId="77777777" w:rsidR="007368A4" w:rsidRDefault="007368A4" w:rsidP="007368A4">
      <w:pPr>
        <w:rPr>
          <w:szCs w:val="21"/>
        </w:rPr>
      </w:pPr>
    </w:p>
    <w:p w14:paraId="7F25E315" w14:textId="77777777" w:rsidR="007368A4" w:rsidRPr="00D90CFB" w:rsidRDefault="007368A4" w:rsidP="007368A4">
      <w:pPr>
        <w:rPr>
          <w:rStyle w:val="HTML"/>
          <w:szCs w:val="22"/>
        </w:rPr>
      </w:pPr>
      <w:r>
        <w:rPr>
          <w:rFonts w:hint="eastAsia"/>
        </w:rPr>
        <w:t>补全：</w:t>
      </w:r>
      <w:r>
        <w:t>4(6)</w:t>
      </w:r>
      <w:r>
        <w:rPr>
          <w:rFonts w:hint="eastAsia"/>
        </w:rPr>
        <w:t>，具体化：</w:t>
      </w:r>
      <w:r>
        <w:t>0(0)</w:t>
      </w:r>
      <w:r>
        <w:rPr>
          <w:rFonts w:hint="eastAsia"/>
        </w:rPr>
        <w:t>，结果：</w:t>
      </w:r>
      <w:r>
        <w:t>1(1)</w:t>
      </w:r>
    </w:p>
    <w:p w14:paraId="6B85A2D3" w14:textId="77777777" w:rsidR="007368A4" w:rsidRPr="00D90CFB" w:rsidRDefault="007368A4" w:rsidP="007368A4">
      <w:pPr>
        <w:rPr>
          <w:rStyle w:val="HTML"/>
          <w:szCs w:val="22"/>
        </w:rPr>
      </w:pPr>
      <w:r>
        <w:rPr>
          <w:rFonts w:hint="eastAsia"/>
        </w:rPr>
        <w:t>补全：</w:t>
      </w:r>
      <w:r>
        <w:t>4(6)</w:t>
      </w:r>
      <w:r>
        <w:rPr>
          <w:rFonts w:hint="eastAsia"/>
        </w:rPr>
        <w:t>，具体化：</w:t>
      </w:r>
      <w:r>
        <w:t>0(0)</w:t>
      </w:r>
      <w:r>
        <w:rPr>
          <w:rFonts w:hint="eastAsia"/>
        </w:rPr>
        <w:t>，结果：</w:t>
      </w:r>
      <w:r>
        <w:t>1(1)</w:t>
      </w:r>
    </w:p>
    <w:p w14:paraId="00C45EC9" w14:textId="77777777" w:rsidR="007368A4" w:rsidRPr="00D90CFB" w:rsidRDefault="007368A4" w:rsidP="007368A4">
      <w:pPr>
        <w:rPr>
          <w:rStyle w:val="HTML"/>
          <w:szCs w:val="22"/>
        </w:rPr>
      </w:pPr>
      <w:r>
        <w:rPr>
          <w:rFonts w:hint="eastAsia"/>
        </w:rPr>
        <w:t>补全：</w:t>
      </w:r>
      <w:r>
        <w:t>6(6)</w:t>
      </w:r>
      <w:r>
        <w:rPr>
          <w:rFonts w:hint="eastAsia"/>
        </w:rPr>
        <w:t>，具体化：</w:t>
      </w:r>
      <w:r>
        <w:t>0(0)</w:t>
      </w:r>
      <w:r>
        <w:rPr>
          <w:rFonts w:hint="eastAsia"/>
        </w:rPr>
        <w:t>，结果：</w:t>
      </w:r>
      <w:r>
        <w:t>1(1)</w:t>
      </w:r>
    </w:p>
    <w:p w14:paraId="0874E851" w14:textId="77777777" w:rsidR="007368A4" w:rsidRPr="00D90CFB" w:rsidRDefault="007368A4" w:rsidP="007368A4">
      <w:pPr>
        <w:rPr>
          <w:rStyle w:val="HTML"/>
          <w:szCs w:val="22"/>
        </w:rPr>
      </w:pPr>
      <w:r>
        <w:rPr>
          <w:rFonts w:hint="eastAsia"/>
        </w:rPr>
        <w:t>补全：</w:t>
      </w:r>
      <w:r>
        <w:t>6(6)</w:t>
      </w:r>
      <w:r>
        <w:rPr>
          <w:rFonts w:hint="eastAsia"/>
        </w:rPr>
        <w:t>，具体化：</w:t>
      </w:r>
      <w:r>
        <w:t>0(0)</w:t>
      </w:r>
      <w:r>
        <w:rPr>
          <w:rFonts w:hint="eastAsia"/>
        </w:rPr>
        <w:t>，结果：</w:t>
      </w:r>
      <w:r>
        <w:t>1(1)</w:t>
      </w:r>
    </w:p>
    <w:p w14:paraId="08010DBF" w14:textId="77777777" w:rsidR="007368A4" w:rsidRPr="00D90CFB" w:rsidRDefault="007368A4" w:rsidP="007368A4">
      <w:pPr>
        <w:rPr>
          <w:rStyle w:val="HTML"/>
          <w:szCs w:val="22"/>
        </w:rPr>
      </w:pPr>
      <w:r>
        <w:rPr>
          <w:rFonts w:hint="eastAsia"/>
        </w:rPr>
        <w:t>补全：</w:t>
      </w:r>
      <w:r>
        <w:t>6(6)</w:t>
      </w:r>
      <w:r>
        <w:rPr>
          <w:rFonts w:hint="eastAsia"/>
        </w:rPr>
        <w:t>，具体化：</w:t>
      </w:r>
      <w:r>
        <w:t>0(0)</w:t>
      </w:r>
      <w:r>
        <w:rPr>
          <w:rFonts w:hint="eastAsia"/>
        </w:rPr>
        <w:t>，结果：</w:t>
      </w:r>
      <w:r>
        <w:t>1(1)</w:t>
      </w:r>
    </w:p>
    <w:p w14:paraId="2B791EB5" w14:textId="77777777" w:rsidR="007368A4" w:rsidRPr="00D90CFB" w:rsidRDefault="007368A4" w:rsidP="007368A4">
      <w:pPr>
        <w:rPr>
          <w:rStyle w:val="HTML"/>
          <w:szCs w:val="22"/>
        </w:rPr>
      </w:pPr>
      <w:r>
        <w:rPr>
          <w:rFonts w:hint="eastAsia"/>
        </w:rPr>
        <w:t>补全：</w:t>
      </w:r>
      <w:r>
        <w:t>6(6)</w:t>
      </w:r>
      <w:r>
        <w:rPr>
          <w:rFonts w:hint="eastAsia"/>
        </w:rPr>
        <w:t>，具体化：</w:t>
      </w:r>
      <w:r>
        <w:t>0(0)</w:t>
      </w:r>
      <w:r>
        <w:rPr>
          <w:rFonts w:hint="eastAsia"/>
        </w:rPr>
        <w:t>，结果：</w:t>
      </w:r>
      <w:r>
        <w:t>1(1)</w:t>
      </w:r>
    </w:p>
    <w:p w14:paraId="609BDE6E" w14:textId="77777777" w:rsidR="007368A4" w:rsidRDefault="007368A4" w:rsidP="007368A4">
      <w:pPr>
        <w:rPr>
          <w:szCs w:val="21"/>
        </w:rPr>
      </w:pPr>
    </w:p>
    <w:p w14:paraId="56B10DE5" w14:textId="77777777" w:rsidR="007368A4" w:rsidRDefault="007368A4" w:rsidP="007368A4">
      <w:pPr>
        <w:rPr>
          <w:szCs w:val="21"/>
        </w:rPr>
      </w:pPr>
    </w:p>
    <w:p w14:paraId="616EE9F3" w14:textId="77777777" w:rsidR="007368A4" w:rsidRDefault="007368A4" w:rsidP="007368A4">
      <w:r>
        <w:rPr>
          <w:rFonts w:hint="eastAsia"/>
        </w:rPr>
        <w:t>总：</w:t>
      </w:r>
    </w:p>
    <w:p w14:paraId="7711EE5C" w14:textId="77777777" w:rsidR="007368A4" w:rsidRDefault="007368A4" w:rsidP="007368A4">
      <w:r>
        <w:rPr>
          <w:rFonts w:hint="eastAsia"/>
        </w:rPr>
        <w:t>补全：1</w:t>
      </w:r>
      <w:r>
        <w:t>42</w:t>
      </w:r>
      <w:r>
        <w:rPr>
          <w:rFonts w:hint="eastAsia"/>
        </w:rPr>
        <w:t>/</w:t>
      </w:r>
      <w:r>
        <w:t>150</w:t>
      </w:r>
    </w:p>
    <w:p w14:paraId="05F22C85" w14:textId="77777777" w:rsidR="007368A4" w:rsidRDefault="007368A4" w:rsidP="007368A4">
      <w:r>
        <w:rPr>
          <w:rFonts w:hint="eastAsia"/>
        </w:rPr>
        <w:t>具体化：</w:t>
      </w:r>
      <w:r>
        <w:t>7/7=1</w:t>
      </w:r>
    </w:p>
    <w:p w14:paraId="36A2AFC7" w14:textId="77777777" w:rsidR="007368A4" w:rsidRPr="005D092D" w:rsidRDefault="007368A4" w:rsidP="007368A4">
      <w:r>
        <w:rPr>
          <w:rFonts w:hint="eastAsia"/>
        </w:rPr>
        <w:t>结果：2</w:t>
      </w:r>
      <w:r>
        <w:t>4/24=1</w:t>
      </w:r>
    </w:p>
    <w:p w14:paraId="1A3E2762" w14:textId="77777777" w:rsidR="007368A4" w:rsidRPr="004200B3" w:rsidRDefault="007368A4" w:rsidP="007368A4">
      <w:pPr>
        <w:rPr>
          <w:szCs w:val="21"/>
        </w:rPr>
      </w:pPr>
    </w:p>
    <w:p w14:paraId="6CDE4060" w14:textId="77777777" w:rsidR="003A67C9" w:rsidRPr="007368A4" w:rsidRDefault="003A67C9">
      <w:bookmarkStart w:id="0" w:name="_GoBack"/>
      <w:bookmarkEnd w:id="0"/>
    </w:p>
    <w:sectPr w:rsidR="003A67C9" w:rsidRPr="00736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67B0" w14:textId="77777777" w:rsidR="00D34B2A" w:rsidRDefault="00D34B2A" w:rsidP="007368A4">
      <w:r>
        <w:separator/>
      </w:r>
    </w:p>
  </w:endnote>
  <w:endnote w:type="continuationSeparator" w:id="0">
    <w:p w14:paraId="15D6023E" w14:textId="77777777" w:rsidR="00D34B2A" w:rsidRDefault="00D34B2A" w:rsidP="0073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DB892" w14:textId="77777777" w:rsidR="00D34B2A" w:rsidRDefault="00D34B2A" w:rsidP="007368A4">
      <w:r>
        <w:separator/>
      </w:r>
    </w:p>
  </w:footnote>
  <w:footnote w:type="continuationSeparator" w:id="0">
    <w:p w14:paraId="2EC92593" w14:textId="77777777" w:rsidR="00D34B2A" w:rsidRDefault="00D34B2A" w:rsidP="007368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6B"/>
    <w:rsid w:val="003A67C9"/>
    <w:rsid w:val="004B589D"/>
    <w:rsid w:val="0058536B"/>
    <w:rsid w:val="007368A4"/>
    <w:rsid w:val="00CE6A88"/>
    <w:rsid w:val="00D3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A3D3E7-9BD9-43F3-80D7-C0433D7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68A4"/>
    <w:pPr>
      <w:widowControl w:val="0"/>
      <w:jc w:val="both"/>
    </w:pPr>
    <w:rPr>
      <w:szCs w:val="24"/>
    </w:rPr>
  </w:style>
  <w:style w:type="paragraph" w:styleId="1">
    <w:name w:val="heading 1"/>
    <w:basedOn w:val="a"/>
    <w:next w:val="a"/>
    <w:link w:val="10"/>
    <w:qFormat/>
    <w:rsid w:val="007368A4"/>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8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8A4"/>
    <w:rPr>
      <w:sz w:val="18"/>
      <w:szCs w:val="18"/>
    </w:rPr>
  </w:style>
  <w:style w:type="paragraph" w:styleId="a5">
    <w:name w:val="footer"/>
    <w:basedOn w:val="a"/>
    <w:link w:val="a6"/>
    <w:uiPriority w:val="99"/>
    <w:unhideWhenUsed/>
    <w:rsid w:val="007368A4"/>
    <w:pPr>
      <w:tabs>
        <w:tab w:val="center" w:pos="4153"/>
        <w:tab w:val="right" w:pos="8306"/>
      </w:tabs>
      <w:snapToGrid w:val="0"/>
      <w:jc w:val="left"/>
    </w:pPr>
    <w:rPr>
      <w:sz w:val="18"/>
      <w:szCs w:val="18"/>
    </w:rPr>
  </w:style>
  <w:style w:type="character" w:customStyle="1" w:styleId="a6">
    <w:name w:val="页脚 字符"/>
    <w:basedOn w:val="a0"/>
    <w:link w:val="a5"/>
    <w:uiPriority w:val="99"/>
    <w:rsid w:val="007368A4"/>
    <w:rPr>
      <w:sz w:val="18"/>
      <w:szCs w:val="18"/>
    </w:rPr>
  </w:style>
  <w:style w:type="character" w:customStyle="1" w:styleId="10">
    <w:name w:val="标题 1 字符"/>
    <w:basedOn w:val="a0"/>
    <w:link w:val="1"/>
    <w:rsid w:val="007368A4"/>
    <w:rPr>
      <w:b/>
      <w:kern w:val="44"/>
      <w:sz w:val="44"/>
      <w:szCs w:val="24"/>
    </w:rPr>
  </w:style>
  <w:style w:type="paragraph" w:styleId="a7">
    <w:name w:val="Normal (Web)"/>
    <w:basedOn w:val="a"/>
    <w:rsid w:val="007368A4"/>
    <w:pPr>
      <w:spacing w:beforeAutospacing="1" w:afterAutospacing="1"/>
      <w:jc w:val="left"/>
    </w:pPr>
    <w:rPr>
      <w:rFonts w:cs="Times New Roman"/>
      <w:kern w:val="0"/>
      <w:sz w:val="24"/>
    </w:rPr>
  </w:style>
  <w:style w:type="character" w:styleId="a8">
    <w:name w:val="Strong"/>
    <w:basedOn w:val="a0"/>
    <w:qFormat/>
    <w:rsid w:val="007368A4"/>
    <w:rPr>
      <w:b/>
    </w:rPr>
  </w:style>
  <w:style w:type="character" w:styleId="HTML">
    <w:name w:val="HTML Code"/>
    <w:basedOn w:val="a0"/>
    <w:uiPriority w:val="99"/>
    <w:unhideWhenUsed/>
    <w:rsid w:val="007368A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2</cp:revision>
  <dcterms:created xsi:type="dcterms:W3CDTF">2025-03-14T10:09:00Z</dcterms:created>
  <dcterms:modified xsi:type="dcterms:W3CDTF">2025-03-14T10:09:00Z</dcterms:modified>
</cp:coreProperties>
</file>