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B8A88">
      <w:pP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Криптографийн ирээдүй: </w:t>
      </w:r>
    </w:p>
    <w:p w14:paraId="09D4E859">
      <w:pP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Квантын дараах криптографи (PQC)</w:t>
      </w:r>
    </w:p>
    <w:p w14:paraId="1BDBBC97">
      <w:pP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mn-MN"/>
        </w:rPr>
      </w:pPr>
    </w:p>
    <w:p w14:paraId="46C7691B">
      <w:pPr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Квантын компьютерууд хөгж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и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хийн хэрээр криптографийн ландшафт үндсэн өөрчлөлттэй тулгарч байна. RSA болон ECC (Elliptic Curve Cryptography) зэрэг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математик хүндрэлүүд боло 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(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том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 тооны фактори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заци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 хийх,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дискрет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 логарифмууд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)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 суурилсан байдаг ба 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уламжлалт шифрлэлтийн алгоритмууд нь сонгодог компьютеруудад тооцоолоход хэцүү боловч хангалттай хүчирхэг квант компьютерээр харьцангуй амархан шийдэж болох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ыг баталсан байдаг. </w:t>
      </w:r>
    </w:p>
    <w:p w14:paraId="192C9DE0">
      <w:pPr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Пост квант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 криптографи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 /квантын дараах криптограф/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 (PQC)** нь квант компьютерийн халдлагад тэсвэртэй криптограф алгоритмуудыг боловсруулахад чиглэсэн салбар юм. </w:t>
      </w:r>
    </w:p>
    <w:p w14:paraId="3EEB0DCD">
      <w:pPr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 NIST нь торон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д 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суурилсан криптограф, хэшт суурилсан гарын үсэг, код дээр суурилсан криптограф** зэрэгт үндэслэн нэр дэвшигчдийг сонго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ж авсан байдаг.</w:t>
      </w:r>
    </w:p>
    <w:p w14:paraId="746FA975">
      <w:pPr>
        <w:spacing w:line="24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</w:pPr>
    </w:p>
    <w:p w14:paraId="6D8F0B14">
      <w:pP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drawing>
          <wp:inline distT="0" distB="0" distL="114300" distR="114300">
            <wp:extent cx="5273040" cy="3298825"/>
            <wp:effectExtent l="0" t="0" r="3810" b="15875"/>
            <wp:docPr id="1" name="Picture 1" descr="p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q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A9BF">
      <w:pPr>
        <w:spacing w:line="24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Энэ онд 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криптограф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 судлаачид пост кюант криптографын хөгжүүлэлт, н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ууцлалын технологи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{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privacy technologies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}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, практик хэрэглээний дэвшлээс үүдэлтэй хэд хэдэн гайхалтай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зүйлс тохиосон.</w:t>
      </w:r>
    </w:p>
    <w:p w14:paraId="6D0FE5FC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NIST-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ийн 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PQC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 буюу квант тооцоололд тэсвэртэй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алгоритмын сонгон шалгаруулах уралдаан эцсийн шатандаа явагдаж байна..</w:t>
      </w:r>
    </w:p>
    <w:p w14:paraId="1C07C654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Уралдааны сүүлийн шатны алгоритмууд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: Kyber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 болон 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 xml:space="preserve">NTRU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алгоритмуудыг нийтийн түлхүүрийн шифрлэлтийн /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Publickey encryption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/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стандарт алгоритмд, 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FrodoKEM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-ийг түлхүүр солилцох системийн стандартад сонгохоор болоод байна. Эдгээр алгоритмууд нь торны онолд суурилсан /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>Lattice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/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байдаг.</w:t>
      </w:r>
    </w:p>
    <w:p w14:paraId="01E077C7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>Квантын аюулгүй түлхүүрийн менежмент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: NIST нь мөн түлхүүр солилцооны протоколд зориулсан сонгодог болон квантаас хойшхи криптографийн алгоритмуудыг хослуулсан эрлийз шийдлүүдийг санал болгохоор ажиллаж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 xml:space="preserve"> байна.</w:t>
      </w:r>
    </w:p>
    <w:p w14:paraId="36BA736C"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cs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Квант тэсвэртэй тоон гарын үсэг</w:t>
      </w:r>
      <w:r>
        <w:rPr>
          <w:rFonts w:hint="default" w:ascii="Arial" w:hAnsi="Arial" w:cs="Arial"/>
          <w:b w:val="0"/>
          <w:bCs w:val="0"/>
          <w:sz w:val="24"/>
          <w:szCs w:val="24"/>
          <w:cs w:val="0"/>
          <w:lang w:val="en-US"/>
        </w:rPr>
        <w:t xml:space="preserve">: </w:t>
      </w:r>
      <w:r>
        <w:rPr>
          <w:rFonts w:hint="default" w:ascii="Arial" w:hAnsi="Arial" w:cs="Arial"/>
          <w:b w:val="0"/>
          <w:bCs w:val="0"/>
          <w:sz w:val="24"/>
          <w:szCs w:val="24"/>
          <w:lang w:val="mn-MN"/>
        </w:rPr>
        <w:t xml:space="preserve">Хөгжлийн өөр нэг гол талбар бол квантад тэсвэртэй тоон гарын үсэг юм. **SPHINCS+** (хэш-д суурилсан гарын үсэг) болон **Falcon** (торон дээр суурилсан гарын үсгийн схем) зэрэг алгоритмуудыг </w:t>
      </w:r>
      <w:r>
        <w:rPr>
          <w:rFonts w:hint="default" w:ascii="Arial" w:hAnsi="Arial" w:cs="Arial"/>
          <w:b w:val="0"/>
          <w:bCs w:val="0"/>
          <w:sz w:val="24"/>
          <w:szCs w:val="24"/>
          <w:cs/>
          <w:lang w:val="mn-MN"/>
        </w:rPr>
        <w:t>бодит системд туршиж, хэрэгжүүлж  байна.</w:t>
      </w:r>
      <w:bookmarkStart w:id="0" w:name="_GoBack"/>
      <w:bookmarkEnd w:id="0"/>
    </w:p>
    <w:p w14:paraId="4CCC68CB">
      <w:pPr>
        <w:pStyle w:val="4"/>
        <w:jc w:val="both"/>
        <w:rPr>
          <w:rFonts w:hint="default" w:ascii="Arial" w:hAnsi="Arial" w:cs="Arial"/>
          <w:sz w:val="24"/>
          <w:szCs w:val="24"/>
          <w:cs w:val="0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cs/>
          <w:lang w:val="mn-MN"/>
        </w:rPr>
        <w:t>Нэмж хэлэхэд</w:t>
      </w:r>
      <w:r>
        <w:rPr>
          <w:rFonts w:hint="default" w:ascii="Arial" w:hAnsi="Arial"/>
          <w:b w:val="0"/>
          <w:bCs w:val="0"/>
          <w:sz w:val="24"/>
          <w:szCs w:val="24"/>
          <w:cs w:val="0"/>
          <w:lang w:val="en-US"/>
        </w:rPr>
        <w:t xml:space="preserve">  </w:t>
      </w:r>
      <w:r>
        <w:rPr>
          <w:rFonts w:hint="default" w:ascii="Arial" w:hAnsi="Arial"/>
          <w:b w:val="0"/>
          <w:bCs w:val="0"/>
          <w:sz w:val="24"/>
          <w:szCs w:val="24"/>
          <w:cs/>
          <w:lang w:val="mn-MN"/>
        </w:rPr>
        <w:t xml:space="preserve">тус уралдааны </w:t>
      </w:r>
      <w:r>
        <w:rPr>
          <w:rFonts w:ascii="Arial" w:hAnsi="Arial" w:cs="Arial"/>
          <w:sz w:val="24"/>
          <w:szCs w:val="24"/>
        </w:rPr>
        <w:t xml:space="preserve"> PQC стандартчиллын </w:t>
      </w:r>
      <w:r>
        <w:rPr>
          <w:rFonts w:ascii="Arial" w:hAnsi="Arial" w:cs="Arial"/>
          <w:sz w:val="24"/>
          <w:szCs w:val="24"/>
          <w:cs/>
          <w:lang w:val="mn-MN"/>
        </w:rPr>
        <w:t>үйл</w:t>
      </w:r>
      <w:r>
        <w:rPr>
          <w:rFonts w:hint="default" w:ascii="Arial" w:hAnsi="Arial" w:cs="Arial"/>
          <w:sz w:val="24"/>
          <w:szCs w:val="24"/>
          <w:cs/>
          <w:lang w:val="mn-MN"/>
        </w:rPr>
        <w:t xml:space="preserve"> явцыг зургаар харуулав.</w:t>
      </w:r>
    </w:p>
    <w:p w14:paraId="6CC16438">
      <w:pPr>
        <w:pStyle w:val="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6322060" cy="1908175"/>
            <wp:effectExtent l="0" t="0" r="2540" b="15875"/>
            <wp:docPr id="5830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61376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436" cy="19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3171">
      <w:pPr>
        <w:pStyle w:val="4"/>
        <w:jc w:val="both"/>
        <w:rPr>
          <w:rFonts w:hint="default" w:ascii="Arial" w:hAnsi="Arial" w:cs="Arial"/>
          <w:sz w:val="24"/>
          <w:szCs w:val="24"/>
          <w: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BF8DC"/>
    <w:multiLevelType w:val="singleLevel"/>
    <w:tmpl w:val="9A2BF8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72623"/>
    <w:rsid w:val="0D3A6AC1"/>
    <w:rsid w:val="11072623"/>
    <w:rsid w:val="19314B62"/>
    <w:rsid w:val="3EB504FB"/>
    <w:rsid w:val="5B6231FB"/>
    <w:rsid w:val="78410E26"/>
    <w:rsid w:val="7C3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2024-11-14T13:11:00Z</dcterms:created>
  <dc:creator>Sanchir</dc:creator>
  <cp:lastModifiedBy>Sanchir</cp:lastModifiedBy>
  <dcterms:modified xsi:type="dcterms:W3CDTF">2024-11-14T20:16:58Z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128BD8AE231A4C61A953A412322BCB51_13</vt:lpwstr>
  </property>
</Properties>
</file>