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13D"/>
        </w:rPr>
        <w:t>Final Checklist — Status</w:t>
      </w:r>
    </w:p>
    <w:p>
      <w:r>
        <w:rPr>
          <w:i/>
        </w:rPr>
        <w:t>IT Procurement Intelligence Platform · reviewed against the main branch, 23 Oct 2026; re-checked 25 Oct</w:t>
      </w:r>
    </w:p>
    <w:p>
      <w:pPr>
        <w:pStyle w:val="Heading1"/>
      </w:pPr>
      <w:r>
        <w:t>A. End-to-end workflow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865" w:type="dxa"/>
        <w:tblBorders>
          <w:top w:val="single" w:sz="4" w:color="C9CFD8"/>
          <w:left w:val="single" w:sz="4" w:color="C9CFD8"/>
          <w:bottom w:val="single" w:sz="4" w:color="C9CFD8"/>
          <w:right w:val="single" w:sz="4" w:color="C9CFD8"/>
          <w:insideH w:val="single" w:sz="4" w:color="C9CFD8"/>
          <w:insideV w:val="single" w:sz="4" w:color="C9CFD8"/>
        </w:tblBorders>
      </w:tblPr>
      <w:tblGrid>
        <w:gridCol w:w="624"/>
        <w:gridCol w:w="3402"/>
        <w:gridCol w:w="1474"/>
        <w:gridCol w:w="4365"/>
      </w:tblGrid>
      <w:tr>
        <w:tc>
          <w:tcPr>
            <w:tcW w:type="dxa" w:w="624"/>
            <w:shd w:val="clear" w:color="auto" w:fill="E8EEF7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402"/>
            <w:shd w:val="clear" w:color="auto" w:fill="E8EEF7"/>
          </w:tcPr>
          <w:p>
            <w:r/>
            <w:r>
              <w:rPr>
                <w:b/>
                <w:sz w:val="19"/>
              </w:rPr>
              <w:t>Checklist item</w:t>
            </w:r>
          </w:p>
        </w:tc>
        <w:tc>
          <w:tcPr>
            <w:tcW w:type="dxa" w:w="1474"/>
            <w:shd w:val="clear" w:color="auto" w:fill="E8EEF7"/>
          </w:tcPr>
          <w:p>
            <w:r/>
            <w:r>
              <w:rPr>
                <w:b/>
                <w:sz w:val="19"/>
              </w:rPr>
              <w:t>Remark</w:t>
            </w:r>
          </w:p>
        </w:tc>
        <w:tc>
          <w:tcPr>
            <w:tcW w:type="dxa" w:w="4365"/>
            <w:shd w:val="clear" w:color="auto" w:fill="E8EEF7"/>
          </w:tcPr>
          <w:p>
            <w:r/>
            <w:r>
              <w:rPr>
                <w:b/>
                <w:sz w:val="19"/>
              </w:rPr>
              <w:t>Notes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9"/>
              </w:rPr>
              <w:t>A1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Input, Processed and Failed folders</w:t>
            </w:r>
          </w:p>
        </w:tc>
        <w:tc>
          <w:tcPr>
            <w:tcW w:type="dxa" w:w="1474"/>
            <w:shd w:val="clear" w:color="auto" w:fill="DCFCE7"/>
          </w:tcPr>
          <w:p>
            <w:r/>
            <w:r>
              <w:rPr>
                <w:b/>
                <w:sz w:val="19"/>
              </w:rPr>
              <w:t>Done</w:t>
            </w:r>
          </w:p>
        </w:tc>
        <w:tc>
          <w:tcPr>
            <w:tcW w:type="dxa" w:w="4365"/>
          </w:tcPr>
          <w:p>
            <w:r/>
            <w:r>
              <w:rPr>
                <w:sz w:val="19"/>
              </w:rPr>
              <w:t>./inbox/input, processed/, failed/. Re-checked live 23 Oct.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9"/>
              </w:rPr>
              <w:t>A1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Folder watcher sends documents to Kafka</w:t>
            </w:r>
          </w:p>
        </w:tc>
        <w:tc>
          <w:tcPr>
            <w:tcW w:type="dxa" w:w="1474"/>
            <w:shd w:val="clear" w:color="auto" w:fill="DCFCE7"/>
          </w:tcPr>
          <w:p>
            <w:r/>
            <w:r>
              <w:rPr>
                <w:b/>
                <w:sz w:val="19"/>
              </w:rPr>
              <w:t>Done</w:t>
            </w:r>
          </w:p>
        </w:tc>
        <w:tc>
          <w:tcPr>
            <w:tcW w:type="dxa" w:w="4365"/>
          </w:tcPr>
          <w:p>
            <w:r/>
            <w:r>
              <w:rPr>
                <w:sz w:val="19"/>
              </w:rPr>
              <w:t>Checks every 3 s; publishes document.ingested.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9"/>
              </w:rPr>
              <w:t>A1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Failure reasons and logs captured</w:t>
            </w:r>
          </w:p>
        </w:tc>
        <w:tc>
          <w:tcPr>
            <w:tcW w:type="dxa" w:w="1474"/>
            <w:shd w:val="clear" w:color="auto" w:fill="DCFCE7"/>
          </w:tcPr>
          <w:p>
            <w:r/>
            <w:r>
              <w:rPr>
                <w:b/>
                <w:sz w:val="19"/>
              </w:rPr>
              <w:t>Done</w:t>
            </w:r>
          </w:p>
        </w:tc>
        <w:tc>
          <w:tcPr>
            <w:tcW w:type="dxa" w:w="4365"/>
          </w:tcPr>
          <w:p>
            <w:r/>
            <w:r>
              <w:rPr>
                <w:sz w:val="19"/>
              </w:rPr>
              <w:t>A .error.txt next to each failed file: file, time, document id, reason.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9"/>
              </w:rPr>
              <w:t>A1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Processing status per document</w:t>
            </w:r>
          </w:p>
        </w:tc>
        <w:tc>
          <w:tcPr>
            <w:tcW w:type="dxa" w:w="1474"/>
            <w:shd w:val="clear" w:color="auto" w:fill="DCFCE7"/>
          </w:tcPr>
          <w:p>
            <w:r/>
            <w:r>
              <w:rPr>
                <w:b/>
                <w:sz w:val="19"/>
              </w:rPr>
              <w:t>Done</w:t>
            </w:r>
          </w:p>
        </w:tc>
        <w:tc>
          <w:tcPr>
            <w:tcW w:type="dxa" w:w="4365"/>
          </w:tcPr>
          <w:p>
            <w:r/>
            <w:r>
              <w:rPr>
                <w:sz w:val="19"/>
              </w:rPr>
              <w:t>Control Panel → Documents.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9"/>
              </w:rPr>
              <w:t>A2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Email notifications at every approval stage</w:t>
            </w:r>
          </w:p>
        </w:tc>
        <w:tc>
          <w:tcPr>
            <w:tcW w:type="dxa" w:w="1474"/>
            <w:shd w:val="clear" w:color="auto" w:fill="DCFCE7"/>
          </w:tcPr>
          <w:p>
            <w:r/>
            <w:r>
              <w:rPr>
                <w:b/>
                <w:sz w:val="19"/>
              </w:rPr>
              <w:t>Done</w:t>
            </w:r>
          </w:p>
        </w:tc>
        <w:tc>
          <w:tcPr>
            <w:tcW w:type="dxa" w:w="4365"/>
          </w:tcPr>
          <w:p>
            <w:r/>
            <w:r>
              <w:rPr>
                <w:sz w:val="19"/>
              </w:rPr>
              <w:t>Approvers of each level, reminders, escalation, outcome, signer, vendor. Escalation fixed 23 Oct (tested, not yet seen live). Levels with nobody assigned still go to placeholder addresses.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9"/>
              </w:rPr>
              <w:t>A3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Templates created, viewed and edited in the Control Panel</w:t>
            </w:r>
          </w:p>
        </w:tc>
        <w:tc>
          <w:tcPr>
            <w:tcW w:type="dxa" w:w="1474"/>
            <w:shd w:val="clear" w:color="auto" w:fill="DCFCE7"/>
          </w:tcPr>
          <w:p>
            <w:r/>
            <w:r>
              <w:rPr>
                <w:b/>
                <w:sz w:val="19"/>
              </w:rPr>
              <w:t>Done</w:t>
            </w:r>
          </w:p>
        </w:tc>
        <w:tc>
          <w:tcPr>
            <w:tcW w:type="dxa" w:w="4365"/>
          </w:tcPr>
          <w:p>
            <w:r/>
            <w:r>
              <w:rPr>
                <w:sz w:val="19"/>
              </w:rPr>
              <w:t>Control Panel → Notifications.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9"/>
              </w:rPr>
              <w:t>A3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Subject, body, recipient, placeholders editable without code</w:t>
            </w:r>
          </w:p>
        </w:tc>
        <w:tc>
          <w:tcPr>
            <w:tcW w:type="dxa" w:w="1474"/>
            <w:shd w:val="clear" w:color="auto" w:fill="DCFCE7"/>
          </w:tcPr>
          <w:p>
            <w:r/>
            <w:r>
              <w:rPr>
                <w:b/>
                <w:sz w:val="19"/>
              </w:rPr>
              <w:t>Done</w:t>
            </w:r>
          </w:p>
        </w:tc>
        <w:tc>
          <w:tcPr>
            <w:tcW w:type="dxa" w:w="4365"/>
          </w:tcPr>
          <w:p>
            <w:r/>
            <w:r>
              <w:rPr>
                <w:sz w:val="19"/>
              </w:rPr>
              <w:t>Checked on save; a broken edit falls back to the original email.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9"/>
              </w:rPr>
              <w:t>A4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Contract generated after approval</w:t>
            </w:r>
          </w:p>
        </w:tc>
        <w:tc>
          <w:tcPr>
            <w:tcW w:type="dxa" w:w="1474"/>
            <w:shd w:val="clear" w:color="auto" w:fill="DCFCE7"/>
          </w:tcPr>
          <w:p>
            <w:r/>
            <w:r>
              <w:rPr>
                <w:b/>
                <w:sz w:val="19"/>
              </w:rPr>
              <w:t>Done</w:t>
            </w:r>
          </w:p>
        </w:tc>
        <w:tc>
          <w:tcPr>
            <w:tcW w:type="dxa" w:w="4365"/>
          </w:tcPr>
          <w:p>
            <w:r/>
            <w:r>
              <w:rPr>
                <w:sz w:val="19"/>
              </w:rPr>
              <w:t>Only after the final approval level.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9"/>
              </w:rPr>
              <w:t>A4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Sent for e-signature by email</w:t>
            </w:r>
          </w:p>
        </w:tc>
        <w:tc>
          <w:tcPr>
            <w:tcW w:type="dxa" w:w="1474"/>
            <w:shd w:val="clear" w:color="auto" w:fill="DCFCE7"/>
          </w:tcPr>
          <w:p>
            <w:r/>
            <w:r>
              <w:rPr>
                <w:b/>
                <w:sz w:val="19"/>
              </w:rPr>
              <w:t>Done</w:t>
            </w:r>
          </w:p>
        </w:tc>
        <w:tc>
          <w:tcPr>
            <w:tcW w:type="dxa" w:w="4365"/>
          </w:tcPr>
          <w:p>
            <w:r/>
            <w:r>
              <w:rPr>
                <w:sz w:val="19"/>
              </w:rPr>
              <w:t>The signer gets a signing link.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9"/>
              </w:rPr>
              <w:t>A4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Signature status tracked automatically</w:t>
            </w:r>
          </w:p>
        </w:tc>
        <w:tc>
          <w:tcPr>
            <w:tcW w:type="dxa" w:w="1474"/>
            <w:shd w:val="clear" w:color="auto" w:fill="DCFCE7"/>
          </w:tcPr>
          <w:p>
            <w:r/>
            <w:r>
              <w:rPr>
                <w:b/>
                <w:sz w:val="19"/>
              </w:rPr>
              <w:t>Done</w:t>
            </w:r>
          </w:p>
        </w:tc>
        <w:tc>
          <w:tcPr>
            <w:tcW w:type="dxa" w:w="4365"/>
          </w:tcPr>
          <w:p>
            <w:r/>
            <w:r>
              <w:rPr>
                <w:sz w:val="19"/>
              </w:rPr>
              <w:t>Built-in e-signature; not a legally recognised provider.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9"/>
              </w:rPr>
              <w:t>A5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Unsigned / signed PDFs with status in the Control Panel</w:t>
            </w:r>
          </w:p>
        </w:tc>
        <w:tc>
          <w:tcPr>
            <w:tcW w:type="dxa" w:w="1474"/>
            <w:shd w:val="clear" w:color="auto" w:fill="DCFCE7"/>
          </w:tcPr>
          <w:p>
            <w:r/>
            <w:r>
              <w:rPr>
                <w:b/>
                <w:sz w:val="19"/>
              </w:rPr>
              <w:t>Done</w:t>
            </w:r>
          </w:p>
        </w:tc>
        <w:tc>
          <w:tcPr>
            <w:tcW w:type="dxa" w:w="4365"/>
          </w:tcPr>
          <w:p>
            <w:r/>
            <w:r>
              <w:rPr>
                <w:sz w:val="19"/>
              </w:rPr>
              <w:t>Pending E-Signature / E-Signature Complete.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9"/>
              </w:rPr>
              <w:t>A5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No need to open MinIO or the e-sign site</w:t>
            </w:r>
          </w:p>
        </w:tc>
        <w:tc>
          <w:tcPr>
            <w:tcW w:type="dxa" w:w="1474"/>
            <w:shd w:val="clear" w:color="auto" w:fill="DCFCE7"/>
          </w:tcPr>
          <w:p>
            <w:r/>
            <w:r>
              <w:rPr>
                <w:b/>
                <w:sz w:val="19"/>
              </w:rPr>
              <w:t>Done</w:t>
            </w:r>
          </w:p>
        </w:tc>
        <w:tc>
          <w:tcPr>
            <w:tcW w:type="dxa" w:w="4365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9"/>
              </w:rPr>
              <w:t>A6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Extracted fields, confidence, validation results, exceptions</w:t>
            </w:r>
          </w:p>
        </w:tc>
        <w:tc>
          <w:tcPr>
            <w:tcW w:type="dxa" w:w="1474"/>
            <w:shd w:val="clear" w:color="auto" w:fill="DCFCE7"/>
          </w:tcPr>
          <w:p>
            <w:r/>
            <w:r>
              <w:rPr>
                <w:b/>
                <w:sz w:val="19"/>
              </w:rPr>
              <w:t>Done</w:t>
            </w:r>
          </w:p>
        </w:tc>
        <w:tc>
          <w:tcPr>
            <w:tcW w:type="dxa" w:w="4365"/>
          </w:tcPr>
          <w:p>
            <w:r/>
            <w:r>
              <w:rPr>
                <w:sz w:val="19"/>
              </w:rPr>
              <w:t>On each document's page.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9"/>
              </w:rPr>
              <w:t>A7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Structured Control Panel with status and error details</w:t>
            </w:r>
          </w:p>
        </w:tc>
        <w:tc>
          <w:tcPr>
            <w:tcW w:type="dxa" w:w="1474"/>
            <w:shd w:val="clear" w:color="auto" w:fill="DCFCE7"/>
          </w:tcPr>
          <w:p>
            <w:r/>
            <w:r>
              <w:rPr>
                <w:b/>
                <w:sz w:val="19"/>
              </w:rPr>
              <w:t>Done</w:t>
            </w:r>
          </w:p>
        </w:tc>
        <w:tc>
          <w:tcPr>
            <w:tcW w:type="dxa" w:w="4365"/>
          </w:tcPr>
          <w:p>
            <w:r/>
            <w:r>
              <w:rPr>
                <w:sz w:val="19"/>
              </w:rPr>
              <w:t>9 sections, including Email Settings.</w:t>
            </w:r>
          </w:p>
        </w:tc>
      </w:tr>
    </w:tbl>
    <w:p>
      <w:pPr>
        <w:pStyle w:val="Heading1"/>
      </w:pPr>
      <w:r>
        <w:t>B–F. Diagrams, slides and documentation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865" w:type="dxa"/>
        <w:tblBorders>
          <w:top w:val="single" w:sz="4" w:color="C9CFD8"/>
          <w:left w:val="single" w:sz="4" w:color="C9CFD8"/>
          <w:bottom w:val="single" w:sz="4" w:color="C9CFD8"/>
          <w:right w:val="single" w:sz="4" w:color="C9CFD8"/>
          <w:insideH w:val="single" w:sz="4" w:color="C9CFD8"/>
          <w:insideV w:val="single" w:sz="4" w:color="C9CFD8"/>
        </w:tblBorders>
      </w:tblPr>
      <w:tblGrid>
        <w:gridCol w:w="624"/>
        <w:gridCol w:w="3402"/>
        <w:gridCol w:w="1474"/>
        <w:gridCol w:w="4365"/>
      </w:tblGrid>
      <w:tr>
        <w:tc>
          <w:tcPr>
            <w:tcW w:type="dxa" w:w="624"/>
            <w:shd w:val="clear" w:color="auto" w:fill="E8EEF7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402"/>
            <w:shd w:val="clear" w:color="auto" w:fill="E8EEF7"/>
          </w:tcPr>
          <w:p>
            <w:r/>
            <w:r>
              <w:rPr>
                <w:b/>
                <w:sz w:val="19"/>
              </w:rPr>
              <w:t>Checklist item</w:t>
            </w:r>
          </w:p>
        </w:tc>
        <w:tc>
          <w:tcPr>
            <w:tcW w:type="dxa" w:w="1474"/>
            <w:shd w:val="clear" w:color="auto" w:fill="E8EEF7"/>
          </w:tcPr>
          <w:p>
            <w:r/>
            <w:r>
              <w:rPr>
                <w:b/>
                <w:sz w:val="19"/>
              </w:rPr>
              <w:t>Remark</w:t>
            </w:r>
          </w:p>
        </w:tc>
        <w:tc>
          <w:tcPr>
            <w:tcW w:type="dxa" w:w="4365"/>
            <w:shd w:val="clear" w:color="auto" w:fill="E8EEF7"/>
          </w:tcPr>
          <w:p>
            <w:r/>
            <w:r>
              <w:rPr>
                <w:b/>
                <w:sz w:val="19"/>
              </w:rPr>
              <w:t>Notes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9"/>
              </w:rPr>
              <w:t>B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System architecture diagram</w:t>
            </w:r>
          </w:p>
        </w:tc>
        <w:tc>
          <w:tcPr>
            <w:tcW w:type="dxa" w:w="1474"/>
            <w:shd w:val="clear" w:color="auto" w:fill="DCFCE7"/>
          </w:tcPr>
          <w:p>
            <w:r/>
            <w:r>
              <w:rPr>
                <w:b/>
                <w:sz w:val="19"/>
              </w:rPr>
              <w:t>Done</w:t>
            </w:r>
          </w:p>
        </w:tc>
        <w:tc>
          <w:tcPr>
            <w:tcW w:type="dxa" w:w="4365"/>
          </w:tcPr>
          <w:p>
            <w:r/>
            <w:r>
              <w:rPr>
                <w:sz w:val="19"/>
              </w:rPr>
              <w:t>docs/assets/architecture.png / .svg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9"/>
              </w:rPr>
              <w:t>C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Functional flow diagram</w:t>
            </w:r>
          </w:p>
        </w:tc>
        <w:tc>
          <w:tcPr>
            <w:tcW w:type="dxa" w:w="1474"/>
            <w:shd w:val="clear" w:color="auto" w:fill="DCFCE7"/>
          </w:tcPr>
          <w:p>
            <w:r/>
            <w:r>
              <w:rPr>
                <w:b/>
                <w:sz w:val="19"/>
              </w:rPr>
              <w:t>Done</w:t>
            </w:r>
          </w:p>
        </w:tc>
        <w:tc>
          <w:tcPr>
            <w:tcW w:type="dxa" w:w="4365"/>
          </w:tcPr>
          <w:p>
            <w:r/>
            <w:r>
              <w:rPr>
                <w:sz w:val="19"/>
              </w:rPr>
              <w:t>docs/assets/functional-flow.png / .svg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9"/>
              </w:rPr>
              <w:t>D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Presentation slides</w:t>
            </w:r>
          </w:p>
        </w:tc>
        <w:tc>
          <w:tcPr>
            <w:tcW w:type="dxa" w:w="1474"/>
            <w:shd w:val="clear" w:color="auto" w:fill="DCFCE7"/>
          </w:tcPr>
          <w:p>
            <w:r/>
            <w:r>
              <w:rPr>
                <w:b/>
                <w:sz w:val="19"/>
              </w:rPr>
              <w:t>Done</w:t>
            </w:r>
          </w:p>
        </w:tc>
        <w:tc>
          <w:tcPr>
            <w:tcW w:type="dxa" w:w="4365"/>
          </w:tcPr>
          <w:p>
            <w:r/>
            <w:r>
              <w:rPr>
                <w:sz w:val="19"/>
              </w:rPr>
              <w:t>16 slides (claude.ai). Private until Anjali shares it; team still to rehearse.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9"/>
              </w:rPr>
              <w:t>E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Standardised documentation</w:t>
            </w:r>
          </w:p>
        </w:tc>
        <w:tc>
          <w:tcPr>
            <w:tcW w:type="dxa" w:w="1474"/>
            <w:shd w:val="clear" w:color="auto" w:fill="DCFCE7"/>
          </w:tcPr>
          <w:p>
            <w:r/>
            <w:r>
              <w:rPr>
                <w:b/>
                <w:sz w:val="19"/>
              </w:rPr>
              <w:t>Done</w:t>
            </w:r>
          </w:p>
        </w:tc>
        <w:tc>
          <w:tcPr>
            <w:tcW w:type="dxa" w:w="4365"/>
          </w:tcPr>
          <w:p>
            <w:r/>
            <w:r>
              <w:rPr>
                <w:sz w:val="19"/>
              </w:rPr>
              <w:t>Follows the Overall Documentation and Agent templates.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9"/>
              </w:rPr>
              <w:t>F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MkDocs documentation site</w:t>
            </w:r>
          </w:p>
        </w:tc>
        <w:tc>
          <w:tcPr>
            <w:tcW w:type="dxa" w:w="1474"/>
            <w:shd w:val="clear" w:color="auto" w:fill="FEF3C7"/>
          </w:tcPr>
          <w:p>
            <w:r/>
            <w:r>
              <w:rPr>
                <w:b/>
                <w:sz w:val="19"/>
              </w:rPr>
              <w:t>Done</w:t>
            </w:r>
          </w:p>
        </w:tc>
        <w:tc>
          <w:tcPr>
            <w:tcW w:type="dxa" w:w="4365"/>
          </w:tcPr>
          <w:p>
            <w:r/>
            <w:r>
              <w:rPr>
                <w:sz w:val="19"/>
              </w:rPr>
              <w:t>Published 23 Oct at anoojshete.github.io/ProcurementAutomation; builds cleanly. Republish after doc changes (Actions → Docs → Run workflow).</w:t>
            </w:r>
          </w:p>
        </w:tc>
      </w:tr>
    </w:tbl>
    <w:p>
      <w:pPr>
        <w:pStyle w:val="Heading1"/>
      </w:pPr>
      <w:r>
        <w:t>Expected deliverables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865" w:type="dxa"/>
        <w:tblBorders>
          <w:top w:val="single" w:sz="4" w:color="C9CFD8"/>
          <w:left w:val="single" w:sz="4" w:color="C9CFD8"/>
          <w:bottom w:val="single" w:sz="4" w:color="C9CFD8"/>
          <w:right w:val="single" w:sz="4" w:color="C9CFD8"/>
          <w:insideH w:val="single" w:sz="4" w:color="C9CFD8"/>
          <w:insideV w:val="single" w:sz="4" w:color="C9CFD8"/>
        </w:tblBorders>
      </w:tblPr>
      <w:tblGrid>
        <w:gridCol w:w="624"/>
        <w:gridCol w:w="4309"/>
        <w:gridCol w:w="1474"/>
        <w:gridCol w:w="3458"/>
      </w:tblGrid>
      <w:tr>
        <w:tc>
          <w:tcPr>
            <w:tcW w:type="dxa" w:w="624"/>
            <w:shd w:val="clear" w:color="auto" w:fill="E8EEF7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4309"/>
            <w:shd w:val="clear" w:color="auto" w:fill="E8EEF7"/>
          </w:tcPr>
          <w:p>
            <w:r/>
            <w:r>
              <w:rPr>
                <w:b/>
                <w:sz w:val="19"/>
              </w:rPr>
              <w:t>Deliverable</w:t>
            </w:r>
          </w:p>
        </w:tc>
        <w:tc>
          <w:tcPr>
            <w:tcW w:type="dxa" w:w="1474"/>
            <w:shd w:val="clear" w:color="auto" w:fill="E8EEF7"/>
          </w:tcPr>
          <w:p>
            <w:r/>
            <w:r>
              <w:rPr>
                <w:b/>
                <w:sz w:val="19"/>
              </w:rPr>
              <w:t>Remark</w:t>
            </w:r>
          </w:p>
        </w:tc>
        <w:tc>
          <w:tcPr>
            <w:tcW w:type="dxa" w:w="3458"/>
            <w:shd w:val="clear" w:color="auto" w:fill="E8EEF7"/>
          </w:tcPr>
          <w:p>
            <w:r/>
            <w:r>
              <w:rPr>
                <w:b/>
                <w:sz w:val="19"/>
              </w:rPr>
              <w:t>Notes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End-to-end workflow</w:t>
            </w:r>
          </w:p>
        </w:tc>
        <w:tc>
          <w:tcPr>
            <w:tcW w:type="dxa" w:w="1474"/>
            <w:shd w:val="clear" w:color="auto" w:fill="DCFCE7"/>
          </w:tcPr>
          <w:p>
            <w:r/>
            <w:r>
              <w:rPr>
                <w:b/>
                <w:sz w:val="19"/>
              </w:rPr>
              <w:t>Done</w:t>
            </w:r>
          </w:p>
        </w:tc>
        <w:tc>
          <w:tcPr>
            <w:tcW w:type="dxa" w:w="345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Document lifecycle</w:t>
            </w:r>
          </w:p>
        </w:tc>
        <w:tc>
          <w:tcPr>
            <w:tcW w:type="dxa" w:w="1474"/>
            <w:shd w:val="clear" w:color="auto" w:fill="DCFCE7"/>
          </w:tcPr>
          <w:p>
            <w:r/>
            <w:r>
              <w:rPr>
                <w:b/>
                <w:sz w:val="19"/>
              </w:rPr>
              <w:t>Done</w:t>
            </w:r>
          </w:p>
        </w:tc>
        <w:tc>
          <w:tcPr>
            <w:tcW w:type="dxa" w:w="345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Notification management</w:t>
            </w:r>
          </w:p>
        </w:tc>
        <w:tc>
          <w:tcPr>
            <w:tcW w:type="dxa" w:w="1474"/>
            <w:shd w:val="clear" w:color="auto" w:fill="DCFCE7"/>
          </w:tcPr>
          <w:p>
            <w:r/>
            <w:r>
              <w:rPr>
                <w:b/>
                <w:sz w:val="19"/>
              </w:rPr>
              <w:t>Done</w:t>
            </w:r>
          </w:p>
        </w:tc>
        <w:tc>
          <w:tcPr>
            <w:tcW w:type="dxa" w:w="345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Contract and e-signature integration</w:t>
            </w:r>
          </w:p>
        </w:tc>
        <w:tc>
          <w:tcPr>
            <w:tcW w:type="dxa" w:w="1474"/>
            <w:shd w:val="clear" w:color="auto" w:fill="DCFCE7"/>
          </w:tcPr>
          <w:p>
            <w:r/>
            <w:r>
              <w:rPr>
                <w:b/>
                <w:sz w:val="19"/>
              </w:rPr>
              <w:t>Done</w:t>
            </w:r>
          </w:p>
        </w:tc>
        <w:tc>
          <w:tcPr>
            <w:tcW w:type="dxa" w:w="345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Centralised Control Panel</w:t>
            </w:r>
          </w:p>
        </w:tc>
        <w:tc>
          <w:tcPr>
            <w:tcW w:type="dxa" w:w="1474"/>
            <w:shd w:val="clear" w:color="auto" w:fill="DCFCE7"/>
          </w:tcPr>
          <w:p>
            <w:r/>
            <w:r>
              <w:rPr>
                <w:b/>
                <w:sz w:val="19"/>
              </w:rPr>
              <w:t>Done</w:t>
            </w:r>
          </w:p>
        </w:tc>
        <w:tc>
          <w:tcPr>
            <w:tcW w:type="dxa" w:w="345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System architecture diagram</w:t>
            </w:r>
          </w:p>
        </w:tc>
        <w:tc>
          <w:tcPr>
            <w:tcW w:type="dxa" w:w="1474"/>
            <w:shd w:val="clear" w:color="auto" w:fill="DCFCE7"/>
          </w:tcPr>
          <w:p>
            <w:r/>
            <w:r>
              <w:rPr>
                <w:b/>
                <w:sz w:val="19"/>
              </w:rPr>
              <w:t>Done</w:t>
            </w:r>
          </w:p>
        </w:tc>
        <w:tc>
          <w:tcPr>
            <w:tcW w:type="dxa" w:w="345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Functional flow diagram</w:t>
            </w:r>
          </w:p>
        </w:tc>
        <w:tc>
          <w:tcPr>
            <w:tcW w:type="dxa" w:w="1474"/>
            <w:shd w:val="clear" w:color="auto" w:fill="DCFCE7"/>
          </w:tcPr>
          <w:p>
            <w:r/>
            <w:r>
              <w:rPr>
                <w:b/>
                <w:sz w:val="19"/>
              </w:rPr>
              <w:t>Done</w:t>
            </w:r>
          </w:p>
        </w:tc>
        <w:tc>
          <w:tcPr>
            <w:tcW w:type="dxa" w:w="345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9"/>
              </w:rPr>
              <w:t>8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Presentation slides</w:t>
            </w:r>
          </w:p>
        </w:tc>
        <w:tc>
          <w:tcPr>
            <w:tcW w:type="dxa" w:w="1474"/>
            <w:shd w:val="clear" w:color="auto" w:fill="DCFCE7"/>
          </w:tcPr>
          <w:p>
            <w:r/>
            <w:r>
              <w:rPr>
                <w:b/>
                <w:sz w:val="19"/>
              </w:rPr>
              <w:t>Done</w:t>
            </w:r>
          </w:p>
        </w:tc>
        <w:tc>
          <w:tcPr>
            <w:tcW w:type="dxa" w:w="3458"/>
          </w:tcPr>
          <w:p>
            <w:r/>
            <w:r>
              <w:rPr>
                <w:sz w:val="19"/>
              </w:rPr>
              <w:t>Share and rehearse.</w:t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9"/>
              </w:rPr>
              <w:t>9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Standardised documentation</w:t>
            </w:r>
          </w:p>
        </w:tc>
        <w:tc>
          <w:tcPr>
            <w:tcW w:type="dxa" w:w="1474"/>
            <w:shd w:val="clear" w:color="auto" w:fill="DCFCE7"/>
          </w:tcPr>
          <w:p>
            <w:r/>
            <w:r>
              <w:rPr>
                <w:b/>
                <w:sz w:val="19"/>
              </w:rPr>
              <w:t>Done</w:t>
            </w:r>
          </w:p>
        </w:tc>
        <w:tc>
          <w:tcPr>
            <w:tcW w:type="dxa" w:w="345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624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MkDocs documentation site</w:t>
            </w:r>
          </w:p>
        </w:tc>
        <w:tc>
          <w:tcPr>
            <w:tcW w:type="dxa" w:w="1474"/>
            <w:shd w:val="clear" w:color="auto" w:fill="FEF3C7"/>
          </w:tcPr>
          <w:p>
            <w:r/>
            <w:r>
              <w:rPr>
                <w:b/>
                <w:sz w:val="19"/>
              </w:rPr>
              <w:t>Done</w:t>
            </w:r>
          </w:p>
        </w:tc>
        <w:tc>
          <w:tcPr>
            <w:tcW w:type="dxa" w:w="3458"/>
          </w:tcPr>
          <w:p>
            <w:r/>
            <w:r>
              <w:rPr>
                <w:sz w:val="19"/>
              </w:rPr>
              <w:t>Published; republish after changes.</w:t>
            </w:r>
          </w:p>
        </w:tc>
      </w:tr>
    </w:tbl>
    <w:p>
      <w:pPr>
        <w:pStyle w:val="Heading1"/>
      </w:pPr>
      <w:r>
        <w:t>Notes and issues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865" w:type="dxa"/>
        <w:tblBorders>
          <w:top w:val="single" w:sz="4" w:color="C9CFD8"/>
          <w:left w:val="single" w:sz="4" w:color="C9CFD8"/>
          <w:bottom w:val="single" w:sz="4" w:color="C9CFD8"/>
          <w:right w:val="single" w:sz="4" w:color="C9CFD8"/>
          <w:insideH w:val="single" w:sz="4" w:color="C9CFD8"/>
          <w:insideV w:val="single" w:sz="4" w:color="C9CFD8"/>
        </w:tblBorders>
      </w:tblPr>
      <w:tblGrid>
        <w:gridCol w:w="2041"/>
        <w:gridCol w:w="7824"/>
      </w:tblGrid>
      <w:tr>
        <w:tc>
          <w:tcPr>
            <w:tcW w:type="dxa" w:w="2041"/>
            <w:shd w:val="clear" w:color="auto" w:fill="E8EEF7"/>
          </w:tcPr>
          <w:p>
            <w:r/>
            <w:r>
              <w:rPr>
                <w:b/>
                <w:sz w:val="19"/>
              </w:rPr>
            </w:r>
          </w:p>
        </w:tc>
        <w:tc>
          <w:tcPr>
            <w:tcW w:type="dxa" w:w="7824"/>
            <w:shd w:val="clear" w:color="auto" w:fill="E8EEF7"/>
          </w:tcPr>
          <w:p>
            <w:r/>
            <w:r>
              <w:rPr>
                <w:b/>
                <w:sz w:val="19"/>
              </w:rPr>
              <w:t>Note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Needs a decision</w:t>
            </w:r>
          </w:p>
        </w:tc>
        <w:tc>
          <w:tcPr>
            <w:tcW w:type="dxa" w:w="7824"/>
          </w:tcPr>
          <w:p>
            <w:r/>
            <w:r>
              <w:rPr>
                <w:sz w:val="19"/>
              </w:rPr>
              <w:t>Company SMTP passwords: a missing key now stops the service in production, but the encryption code reads a missing APP_ENV as development and then uses a key that is public in the code. Set APP_ENV=production and MASTER_ENCRYPTION_KEY before any shared deployment.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Fixed 23 Oct</w:t>
            </w:r>
          </w:p>
        </w:tc>
        <w:tc>
          <w:tcPr>
            <w:tcW w:type="dxa" w:w="7824"/>
          </w:tcPr>
          <w:p>
            <w:r/>
            <w:r>
              <w:rPr>
                <w:sz w:val="19"/>
              </w:rPr>
              <w:t>Escalation emails went to the level that missed its deadline, not the next level.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Fixed 23 Oct</w:t>
            </w:r>
          </w:p>
        </w:tc>
        <w:tc>
          <w:tcPr>
            <w:tcW w:type="dxa" w:w="7824"/>
          </w:tcPr>
          <w:p>
            <w:r/>
            <w:r>
              <w:rPr>
                <w:sz w:val="19"/>
              </w:rPr>
              <w:t>The notification service was out of date after a new dependency; rebuilt.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Before the review</w:t>
            </w:r>
          </w:p>
        </w:tc>
        <w:tc>
          <w:tcPr>
            <w:tcW w:type="dxa" w:w="7824"/>
          </w:tcPr>
          <w:p>
            <w:r/>
            <w:r>
              <w:rPr>
                <w:sz w:val="19"/>
              </w:rPr>
              <w:t>Run ./scripts/reset-demo.sh to clear the test data left by these checks.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Fixed 25 Oct</w:t>
            </w:r>
          </w:p>
        </w:tc>
        <w:tc>
          <w:tcPr>
            <w:tcW w:type="dxa" w:w="7824"/>
          </w:tcPr>
          <w:p>
            <w:r/>
            <w:r>
              <w:rPr>
                <w:sz w:val="19"/>
              </w:rPr>
              <w:t>After the 24 Oct merges, contract generation and auto-send, approval and contract emails, and the request list for admin and finance failed. Fixed, each with a test.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Needs a decision</w:t>
            </w:r>
          </w:p>
        </w:tc>
        <w:tc>
          <w:tcPr>
            <w:tcW w:type="dxa" w:w="7824"/>
          </w:tcPr>
          <w:p>
            <w:r/>
            <w:r>
              <w:rPr>
                <w:sz w:val="19"/>
              </w:rPr>
              <w:t>Bulk and email approval can't check a vendor's clearance (401), so requests with a vendor are never bulk-approved. Choose how services authenticate to each other.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Niraj</w:t>
            </w:r>
          </w:p>
        </w:tc>
        <w:tc>
          <w:tcPr>
            <w:tcW w:type="dxa" w:w="7824"/>
          </w:tcPr>
          <w:p>
            <w:r/>
            <w:r>
              <w:rPr>
                <w:sz w:val="19"/>
              </w:rPr>
              <w:t>Signing mandates: the password re-check calls the wrong auth-service port, so the real password is never checked.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Tests, 25 Oct</w:t>
            </w:r>
          </w:p>
        </w:tc>
        <w:tc>
          <w:tcPr>
            <w:tcW w:type="dxa" w:w="7824"/>
          </w:tcPr>
          <w:p>
            <w:r/>
            <w:r>
              <w:rPr>
                <w:sz w:val="19"/>
              </w:rPr>
              <w:t>1,330 automated service tests pass; root tests, typecheck and the docs build are clean; invoice lifecycle 71/71 and demo 28/28 through the gateway.</w:t>
            </w:r>
          </w:p>
        </w:tc>
      </w:tr>
    </w:tbl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