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E15C80" w:rsidRDefault="00000000">
      <w:pPr>
        <w:spacing w:after="280"/>
        <w:jc w:val="center"/>
        <w:rPr>
          <w:rFonts w:ascii="Helvetica Neue" w:hAnsi="Helvetica Neue"/>
        </w:rPr>
      </w:pPr>
      <w:r w:rsidRPr="00E15C80">
        <w:rPr>
          <w:rFonts w:ascii="Helvetica Neue" w:hAnsi="Helvetica Neue"/>
          <w:b/>
          <w:sz w:val="28"/>
        </w:rPr>
        <w:t>Clarity Without Convergence: Commercial SATCOM and the Information Contest over Participation in the Russia–Ukraine War</w:t>
      </w:r>
    </w:p>
    <w:p w:rsidR="00965EB2" w:rsidRPr="00637D67" w:rsidRDefault="00965EB2" w:rsidP="00965EB2">
      <w:pPr>
        <w:spacing w:after="60"/>
        <w:jc w:val="center"/>
        <w:rPr>
          <w:rFonts w:ascii="Helvetica Neue" w:hAnsi="Helvetica Neue"/>
        </w:rPr>
      </w:pPr>
      <w:r w:rsidRPr="00637D67">
        <w:rPr>
          <w:rFonts w:ascii="Helvetica Neue" w:hAnsi="Helvetica Neue"/>
          <w:sz w:val="22"/>
        </w:rPr>
        <w:t>Santiago Verace - z5223432</w:t>
      </w:r>
    </w:p>
    <w:p w:rsidR="00965EB2" w:rsidRPr="00637D67" w:rsidRDefault="00965EB2" w:rsidP="00965EB2">
      <w:pPr>
        <w:spacing w:after="60"/>
        <w:jc w:val="center"/>
        <w:rPr>
          <w:rFonts w:ascii="Helvetica Neue" w:hAnsi="Helvetica Neue"/>
        </w:rPr>
      </w:pPr>
      <w:r w:rsidRPr="00637D67">
        <w:rPr>
          <w:rFonts w:ascii="Helvetica Neue" w:hAnsi="Helvetica Neue"/>
          <w:sz w:val="22"/>
        </w:rPr>
        <w:t>s.verace@student.unsw.edu.au</w:t>
      </w:r>
    </w:p>
    <w:p w:rsidR="00965EB2" w:rsidRPr="00637D67" w:rsidRDefault="00965EB2" w:rsidP="00965EB2">
      <w:pPr>
        <w:spacing w:after="60"/>
        <w:jc w:val="center"/>
        <w:rPr>
          <w:rFonts w:ascii="Helvetica Neue" w:hAnsi="Helvetica Neue"/>
        </w:rPr>
      </w:pPr>
      <w:r w:rsidRPr="00637D67">
        <w:rPr>
          <w:rFonts w:ascii="Helvetica Neue" w:hAnsi="Helvetica Neue"/>
          <w:sz w:val="22"/>
        </w:rPr>
        <w:t>ADFA / University of New South Wales – ZEIT8115 S2_2026</w:t>
      </w:r>
    </w:p>
    <w:p w:rsidR="00C8735E" w:rsidRPr="00E15C80" w:rsidRDefault="001A1716">
      <w:pPr>
        <w:spacing w:after="60"/>
        <w:jc w:val="center"/>
        <w:rPr>
          <w:rFonts w:ascii="Helvetica Neue" w:hAnsi="Helvetica Neue"/>
        </w:rPr>
      </w:pPr>
      <w:r w:rsidRPr="00E15C80">
        <w:rPr>
          <w:rFonts w:ascii="Helvetica Neue" w:hAnsi="Helvetica Neue"/>
          <w:sz w:val="22"/>
        </w:rPr>
        <w:t>15 October 2026</w:t>
      </w:r>
    </w:p>
    <w:p w:rsidR="00C8735E" w:rsidRPr="00E15C80" w:rsidRDefault="00000000">
      <w:pPr>
        <w:spacing w:after="60"/>
        <w:jc w:val="center"/>
        <w:rPr>
          <w:rFonts w:ascii="Helvetica Neue" w:hAnsi="Helvetica Neue"/>
        </w:rPr>
      </w:pPr>
      <w:r w:rsidRPr="00E15C80">
        <w:rPr>
          <w:rFonts w:ascii="Helvetica Neue" w:hAnsi="Helvetica Neue"/>
        </w:rPr>
        <w:t xml:space="preserve">Word count (body, excluding abstract, footnotes and bibliography): </w:t>
      </w:r>
      <w:r w:rsidR="00825C61">
        <w:rPr>
          <w:rFonts w:ascii="Helvetica Neue" w:hAnsi="Helvetica Neue"/>
        </w:rPr>
        <w:t>3</w:t>
      </w:r>
      <w:r w:rsidR="00965EB2">
        <w:rPr>
          <w:rFonts w:ascii="Helvetica Neue" w:hAnsi="Helvetica Neue"/>
        </w:rPr>
        <w:t>8</w:t>
      </w:r>
      <w:r w:rsidR="00FA6D4A">
        <w:rPr>
          <w:rFonts w:ascii="Helvetica Neue" w:hAnsi="Helvetica Neue"/>
        </w:rPr>
        <w:t>20</w:t>
      </w:r>
    </w:p>
    <w:p w:rsidR="00C8735E" w:rsidRPr="00E15C80" w:rsidRDefault="00C8735E">
      <w:pPr>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t>Abstract</w:t>
      </w:r>
    </w:p>
    <w:p w:rsidR="00A7419C" w:rsidRPr="00A7419C" w:rsidRDefault="00A7419C" w:rsidP="00A7419C">
      <w:pPr>
        <w:pStyle w:val="NormalWeb"/>
        <w:spacing w:line="360" w:lineRule="auto"/>
        <w:rPr>
          <w:rFonts w:ascii="Helvetica Neue" w:hAnsi="Helvetica Neue"/>
        </w:rPr>
      </w:pPr>
      <w:r w:rsidRPr="00A7419C">
        <w:rPr>
          <w:rFonts w:ascii="Helvetica Neue" w:hAnsi="Helvetica Neue"/>
        </w:rPr>
        <w:t xml:space="preserve">Commercial SATCOM created two different problems in Ukraine, and they were often discussed as though they were one. KA-SAT raised a technical and legal problem about what part of a commercial system was actually being used, affected or potentially targetable. Starlink raised another problem because Ukrainian forces could depend on a service whose coverage and permitted uses remained under private </w:t>
      </w:r>
      <w:r w:rsidRPr="00244E64">
        <w:rPr>
          <w:rFonts w:ascii="Helvetica Neue" w:hAnsi="Helvetica Neue"/>
        </w:rPr>
        <w:t xml:space="preserve">control. </w:t>
      </w:r>
      <w:r w:rsidR="00244E64" w:rsidRPr="00244E64">
        <w:rPr>
          <w:rFonts w:ascii="Helvetica Neue" w:hAnsi="Helvetica Neue"/>
        </w:rPr>
        <w:t>Public statements did not settle either issue. Russia described Western use of commercial space infrastructure as “indirect participation in military conflicts”, while SpaceX later drew a different kind of line between military communications and offensive use. These were not answers to the same question</w:t>
      </w:r>
      <w:r w:rsidRPr="00244E64">
        <w:rPr>
          <w:rFonts w:ascii="Helvetica Neue" w:hAnsi="Helvetica Neue"/>
        </w:rPr>
        <w:t>.</w:t>
      </w:r>
    </w:p>
    <w:p w:rsidR="00A7419C" w:rsidRPr="00A7419C" w:rsidRDefault="00244E64" w:rsidP="00A7419C">
      <w:pPr>
        <w:pStyle w:val="NormalWeb"/>
        <w:spacing w:line="360" w:lineRule="auto"/>
        <w:ind w:firstLine="720"/>
        <w:rPr>
          <w:rFonts w:ascii="Helvetica Neue" w:hAnsi="Helvetica Neue"/>
        </w:rPr>
      </w:pPr>
      <w:r w:rsidRPr="00244E64">
        <w:rPr>
          <w:rFonts w:ascii="Helvetica Neue" w:hAnsi="Helvetica Neue"/>
        </w:rPr>
        <w:t>It was how much of the disagreement was visible that changed over time.</w:t>
      </w:r>
      <w:r w:rsidR="00A7419C" w:rsidRPr="00A7419C">
        <w:rPr>
          <w:rFonts w:ascii="Helvetica Neue" w:hAnsi="Helvetica Neue"/>
        </w:rPr>
        <w:t xml:space="preserve"> Article 52 still required an object-specific assessment, regardless of the broader labels being used around commercial participation. </w:t>
      </w:r>
      <w:r w:rsidRPr="00244E64">
        <w:rPr>
          <w:rFonts w:ascii="Helvetica Neue" w:hAnsi="Helvetica Neue"/>
        </w:rPr>
        <w:t>Wiener helps with one part of the problem: participation may gain meaning through practice without acquiring one fixed meaning. Fearon points to another limit. Some information and incentives remain private even when actors state their positions publicly.</w:t>
      </w:r>
      <w:r>
        <w:t xml:space="preserve">  </w:t>
      </w:r>
      <w:r w:rsidR="00A7419C" w:rsidRPr="00A7419C">
        <w:rPr>
          <w:rFonts w:ascii="Helvetica Neue" w:hAnsi="Helvetica Neue"/>
        </w:rPr>
        <w:t>The case therefore does not show transparency producing convergence. It shows a disagreement becoming easier to identify.</w:t>
      </w:r>
    </w:p>
    <w:p w:rsidR="00F5776A" w:rsidRPr="0068535C" w:rsidRDefault="00F5776A" w:rsidP="00F5776A">
      <w:pPr>
        <w:pStyle w:val="NormalWeb"/>
        <w:spacing w:line="360" w:lineRule="auto"/>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lastRenderedPageBreak/>
        <w:t>Introduction</w:t>
      </w:r>
    </w:p>
    <w:p w:rsidR="00C8735E" w:rsidRPr="00AF7CF7" w:rsidRDefault="00AF7CF7">
      <w:pPr>
        <w:rPr>
          <w:rFonts w:ascii="Helvetica Neue" w:hAnsi="Helvetica Neue"/>
        </w:rPr>
      </w:pPr>
      <w:r w:rsidRPr="00AF7CF7">
        <w:rPr>
          <w:rFonts w:ascii="Helvetica Neue" w:hAnsi="Helvetica Neue"/>
        </w:rPr>
        <w:t>Commercial SATCOM was already part of the war in its first weeks. On 24 February 2022, a cyber operation disrupted Viasat’s KA-SAT network. The United Kingdom later attributed the operation to Russia and assessed that the Ukrainian military was believed to have been the primary target.</w:t>
      </w:r>
      <w:r w:rsidRPr="00AF7CF7">
        <w:rPr>
          <w:rFonts w:ascii="Helvetica Neue" w:hAnsi="Helvetica Neue"/>
          <w:sz w:val="16"/>
          <w:szCs w:val="16"/>
        </w:rPr>
        <w:footnoteReference w:id="1"/>
      </w:r>
      <w:r w:rsidRPr="00AF7CF7">
        <w:rPr>
          <w:rFonts w:ascii="Helvetica Neue" w:hAnsi="Helvetica Neue"/>
        </w:rPr>
        <w:t xml:space="preserve"> The United States described the same event in more operational terms, saying the attack was intended to disrupt Ukrainian command and control.</w:t>
      </w:r>
      <w:r w:rsidRPr="00AF7CF7">
        <w:rPr>
          <w:rFonts w:ascii="Helvetica Neue" w:hAnsi="Helvetica Neue"/>
          <w:sz w:val="16"/>
          <w:szCs w:val="16"/>
        </w:rPr>
        <w:footnoteReference w:id="2"/>
      </w:r>
      <w:r w:rsidRPr="00AF7CF7">
        <w:rPr>
          <w:rFonts w:ascii="Helvetica Neue" w:hAnsi="Helvetica Neue"/>
        </w:rPr>
        <w:t xml:space="preserve"> By October, however, the argument had moved beyond who carried out the attack. Vorontsov used the UN First Committee to describe Western military use of civilian and commercial space infrastructure as “indirect participation in military conflicts” and warned that “Quasi-civilian infrastructure may become a legitimate target for retaliation.”</w:t>
      </w:r>
      <w:r w:rsidRPr="00AF7CF7">
        <w:rPr>
          <w:rFonts w:ascii="Helvetica Neue" w:hAnsi="Helvetica Neue"/>
          <w:sz w:val="16"/>
          <w:szCs w:val="16"/>
        </w:rPr>
        <w:footnoteReference w:id="3"/>
      </w:r>
      <w:r w:rsidRPr="00AF7CF7">
        <w:rPr>
          <w:rFonts w:ascii="Helvetica Neue" w:hAnsi="Helvetica Neue"/>
        </w:rPr>
        <w:t xml:space="preserve"> SpaceX put a different boundary into the public record in February 2023. </w:t>
      </w:r>
      <w:r w:rsidR="00244E64" w:rsidRPr="00244E64">
        <w:rPr>
          <w:rFonts w:ascii="Helvetica Neue" w:hAnsi="Helvetica Neue"/>
        </w:rPr>
        <w:t>Military communications over Starlink were acceptable, but offensive use was not, Shotwell said; SpaceX had taken steps to limit that use</w:t>
      </w:r>
      <w:r w:rsidR="00A7419C" w:rsidRPr="00A7419C">
        <w:rPr>
          <w:rFonts w:ascii="Helvetica Neue" w:hAnsi="Helvetica Neue"/>
        </w:rPr>
        <w:t>.</w:t>
      </w:r>
      <w:r w:rsidRPr="00A7419C">
        <w:rPr>
          <w:rFonts w:ascii="Helvetica Neue" w:hAnsi="Helvetica Neue"/>
          <w:sz w:val="16"/>
          <w:szCs w:val="16"/>
        </w:rPr>
        <w:footnoteReference w:id="4"/>
      </w:r>
    </w:p>
    <w:p w:rsidR="00E1429E" w:rsidRDefault="00000000" w:rsidP="00E1429E">
      <w:pPr>
        <w:rPr>
          <w:rFonts w:ascii="Helvetica Neue" w:hAnsi="Helvetica Neue"/>
        </w:rPr>
      </w:pPr>
      <w:r w:rsidRPr="00E15C80">
        <w:rPr>
          <w:rFonts w:ascii="Helvetica Neue" w:hAnsi="Helvetica Neue"/>
        </w:rPr>
        <w:t xml:space="preserve">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w:t>
      </w:r>
      <w:r w:rsidRPr="00AF7CF7">
        <w:rPr>
          <w:rFonts w:ascii="Helvetica Neue" w:hAnsi="Helvetica Neue"/>
        </w:rPr>
        <w:t>transparency to reduce interpretive ambiguity?</w:t>
      </w:r>
    </w:p>
    <w:p w:rsidR="00C8735E" w:rsidRPr="00244E64" w:rsidRDefault="00244E64" w:rsidP="00E1429E">
      <w:pPr>
        <w:rPr>
          <w:rFonts w:ascii="Helvetica Neue" w:hAnsi="Helvetica Neue"/>
        </w:rPr>
      </w:pPr>
      <w:r w:rsidRPr="00244E64">
        <w:rPr>
          <w:rFonts w:ascii="Helvetica Neue" w:hAnsi="Helvetica Neue"/>
        </w:rPr>
        <w:t>Starlink makes the disagreement apparent before the literature enters the discussion. SpaceX could accept some military uses of the service and reject others.</w:t>
      </w:r>
      <w:r w:rsidR="00A7419C" w:rsidRPr="00A7419C">
        <w:rPr>
          <w:rFonts w:ascii="Helvetica Neue" w:hAnsi="Helvetica Neue"/>
        </w:rPr>
        <w:t xml:space="preserve"> Russia could look at the same military reliance on commercial infrastructure and </w:t>
      </w:r>
      <w:r w:rsidR="00A7419C" w:rsidRPr="00A7419C">
        <w:rPr>
          <w:rFonts w:ascii="Helvetica Neue" w:hAnsi="Helvetica Neue"/>
        </w:rPr>
        <w:lastRenderedPageBreak/>
        <w:t>describe it as participation. Both positions could be made public without answering the question in the same way.</w:t>
      </w:r>
      <w:r w:rsidR="00A7419C" w:rsidRPr="00A7419C">
        <w:rPr>
          <w:rFonts w:ascii="Helvetica Neue" w:hAnsi="Helvetica Neue"/>
        </w:rPr>
        <w:t xml:space="preserve"> </w:t>
      </w:r>
      <w:r w:rsidR="00A7419C" w:rsidRPr="00A7419C">
        <w:rPr>
          <w:rFonts w:ascii="Helvetica Neue" w:hAnsi="Helvetica Neue"/>
        </w:rPr>
        <w:t>Kuplic and Sawmiller approach one part of this problem through targeting law and Viasat.</w:t>
      </w:r>
      <w:r w:rsidR="00A7419C" w:rsidRPr="00244E64">
        <w:rPr>
          <w:rFonts w:ascii="Helvetica Neue" w:hAnsi="Helvetica Neue"/>
        </w:rPr>
        <w:t xml:space="preserve"> </w:t>
      </w:r>
      <w:r w:rsidRPr="00244E64">
        <w:rPr>
          <w:rFonts w:ascii="Helvetica Neue" w:hAnsi="Helvetica Neue"/>
        </w:rPr>
        <w:t>They use present military “use” to show how a commercial object can become part of military-objective analysis, but the argument is not limited to the object itself. Published policy, state practice and dialogue can give other states a sense of how existing legal obligations are being interpreted without revealing every operational threshold.</w:t>
      </w:r>
      <w:r w:rsidR="00AF7CF7" w:rsidRPr="00244E64">
        <w:rPr>
          <w:rFonts w:ascii="Helvetica Neue" w:hAnsi="Helvetica Neue"/>
          <w:sz w:val="16"/>
          <w:szCs w:val="16"/>
        </w:rPr>
        <w:footnoteReference w:id="5"/>
      </w:r>
      <w:r w:rsidR="00AF7CF7" w:rsidRPr="00244E64">
        <w:rPr>
          <w:rFonts w:ascii="Helvetica Neue" w:hAnsi="Helvetica Neue"/>
        </w:rPr>
        <w:t xml:space="preserve"> </w:t>
      </w:r>
      <w:r w:rsidRPr="00244E64">
        <w:rPr>
          <w:rFonts w:ascii="Helvetica Neue" w:hAnsi="Helvetica Neue"/>
        </w:rPr>
        <w:t>There still has to be enough visible practice for other actors to see how the law is being understood and applied. West and Azcárate Ortega set limits on what publication can achieve. Norms still depend on acceptance and implementation, and on enough trust for common understandings to develop. Where those conditions are weak, making a position public may reveal the disagreement without resolving it.</w:t>
      </w:r>
      <w:r w:rsidR="00AF7CF7" w:rsidRPr="00244E64">
        <w:rPr>
          <w:rFonts w:ascii="Helvetica Neue" w:hAnsi="Helvetica Neue"/>
          <w:sz w:val="16"/>
          <w:szCs w:val="16"/>
        </w:rPr>
        <w:footnoteReference w:id="6"/>
      </w:r>
    </w:p>
    <w:p w:rsidR="00C8735E" w:rsidRPr="00A7419C" w:rsidRDefault="00244E64" w:rsidP="00AF7CF7">
      <w:pPr>
        <w:rPr>
          <w:rFonts w:ascii="Helvetica Neue" w:hAnsi="Helvetica Neue"/>
        </w:rPr>
      </w:pPr>
      <w:r w:rsidRPr="00244E64">
        <w:rPr>
          <w:rFonts w:ascii="Helvetica Neue" w:hAnsi="Helvetica Neue"/>
        </w:rPr>
        <w:t>Starlink sat in that problem: the boundaries were visible, but there was no agreement on where commercial support ended and participation began</w:t>
      </w:r>
      <w:r w:rsidR="00A7419C" w:rsidRPr="00A7419C">
        <w:rPr>
          <w:rFonts w:ascii="Helvetica Neue" w:hAnsi="Helvetica Neue"/>
        </w:rPr>
        <w:t>.</w:t>
      </w:r>
    </w:p>
    <w:p w:rsidR="00C8735E" w:rsidRPr="0068535C" w:rsidRDefault="00000000">
      <w:pPr>
        <w:pStyle w:val="Heading1"/>
        <w:rPr>
          <w:rFonts w:ascii="Helvetica Neue" w:hAnsi="Helvetica Neue"/>
        </w:rPr>
      </w:pPr>
      <w:r w:rsidRPr="00E15C80">
        <w:rPr>
          <w:rFonts w:ascii="Helvetica Neue" w:hAnsi="Helvetica Neue"/>
        </w:rPr>
        <w:t>Commerci</w:t>
      </w:r>
      <w:r w:rsidRPr="0068535C">
        <w:rPr>
          <w:rFonts w:ascii="Helvetica Neue" w:hAnsi="Helvetica Neue"/>
        </w:rPr>
        <w:t>al SATCOM in the Information Environment</w:t>
      </w:r>
    </w:p>
    <w:p w:rsidR="00F5776A" w:rsidRPr="00A7419C" w:rsidRDefault="00244E64" w:rsidP="00A7419C">
      <w:pPr>
        <w:rPr>
          <w:rFonts w:ascii="Helvetica Neue" w:hAnsi="Helvetica Neue"/>
        </w:rPr>
      </w:pPr>
      <w:r w:rsidRPr="00244E64">
        <w:rPr>
          <w:rFonts w:ascii="Helvetica Neue" w:hAnsi="Helvetica Neue"/>
        </w:rPr>
        <w:t>The doctrinal language changed too. JP 3-04 replaced JP 3-13, taking the older language of Information Operations and information-related capabilities with it</w:t>
      </w:r>
      <w:r w:rsidR="00A7419C" w:rsidRPr="00A7419C">
        <w:rPr>
          <w:rFonts w:ascii="Helvetica Neue" w:hAnsi="Helvetica Neue"/>
        </w:rPr>
        <w:t>.</w:t>
      </w:r>
      <w:r w:rsidR="00E1429E" w:rsidRPr="00A7419C">
        <w:rPr>
          <w:rFonts w:ascii="Helvetica Neue" w:hAnsi="Helvetica Neue"/>
          <w:sz w:val="16"/>
          <w:szCs w:val="16"/>
        </w:rPr>
        <w:footnoteReference w:id="7"/>
      </w:r>
      <w:r w:rsidR="00E1429E" w:rsidRPr="00A7419C">
        <w:rPr>
          <w:rFonts w:ascii="Helvetica Neue" w:hAnsi="Helvetica Neue"/>
        </w:rPr>
        <w:t xml:space="preserve"> </w:t>
      </w:r>
      <w:r w:rsidRPr="00244E64">
        <w:rPr>
          <w:rFonts w:ascii="Helvetica Neue" w:hAnsi="Helvetica Neue"/>
        </w:rPr>
        <w:t>That matters here because current US doctrine does not treat a commercial communications network as mere technical background. It places the network within a broader information environment, where systems, organisations and people shape how information is gathered, interpreted and acted upon.</w:t>
      </w:r>
      <w:r>
        <w:t xml:space="preserve"> </w:t>
      </w:r>
      <w:r w:rsidR="00E1429E" w:rsidRPr="00E15C80">
        <w:rPr>
          <w:rFonts w:ascii="Helvetica Neue" w:hAnsi="Helvetica Neue"/>
        </w:rPr>
        <w:t xml:space="preserve">The 2023 Department of Defense Strategy for Operations in the Information Environment defines the information environment as “the aggregate of social, cultural, linguistic, psychological, technical, and physical factors that affect how humans and automated systems derive meaning from, act upon, and are impacted by information, including the individuals, organizations, and systems that collect, process, disseminate, or use </w:t>
      </w:r>
      <w:r w:rsidR="00E1429E" w:rsidRPr="00E15C80">
        <w:rPr>
          <w:rFonts w:ascii="Helvetica Neue" w:hAnsi="Helvetica Neue"/>
        </w:rPr>
        <w:lastRenderedPageBreak/>
        <w:t>information.”</w:t>
      </w:r>
      <w:r w:rsidR="00E1429E" w:rsidRPr="00E15C80">
        <w:rPr>
          <w:rFonts w:ascii="Helvetica Neue" w:hAnsi="Helvetica Neue"/>
          <w:sz w:val="16"/>
          <w:szCs w:val="16"/>
        </w:rPr>
        <w:footnoteReference w:id="8"/>
      </w:r>
      <w:r w:rsidR="00E1429E" w:rsidRPr="00E15C80">
        <w:rPr>
          <w:rFonts w:ascii="Helvetica Neue" w:hAnsi="Helvetica Neue"/>
        </w:rPr>
        <w:t xml:space="preserve"> Commercial SATCOM fits comfortably inside it: satellites and terminals matter, but so do gateways, management networks, operators and access rules. The same Strategy describes consistent integration of informational and physical power </w:t>
      </w:r>
      <w:r w:rsidR="00E1429E" w:rsidRPr="00A7419C">
        <w:rPr>
          <w:rFonts w:ascii="Helvetica Neue" w:hAnsi="Helvetica Neue"/>
        </w:rPr>
        <w:t>as the norm rather than treating information as a separate messaging function.</w:t>
      </w:r>
    </w:p>
    <w:p w:rsidR="00244E64" w:rsidRDefault="00000000" w:rsidP="00244E64">
      <w:pPr>
        <w:pStyle w:val="NormalWeb"/>
        <w:spacing w:line="360" w:lineRule="auto"/>
        <w:rPr>
          <w:rFonts w:ascii="Helvetica Neue" w:hAnsi="Helvetica Neue"/>
        </w:rPr>
      </w:pPr>
      <w:r w:rsidRPr="00A7419C">
        <w:rPr>
          <w:rFonts w:ascii="Helvetica Neue" w:hAnsi="Helvetica Neue"/>
        </w:rPr>
        <w:t>JP 3-13 had offered a cleaner division of the environment. Communications networks, platforms and key decision-makers occupied the physical dimension; collection, processing, storage and dissemination the informational; perception, judgement and decision-making the cognitive.</w:t>
      </w:r>
      <w:r w:rsidRPr="00A7419C">
        <w:rPr>
          <w:rFonts w:ascii="Helvetica Neue" w:hAnsi="Helvetica Neue"/>
          <w:sz w:val="16"/>
          <w:szCs w:val="16"/>
        </w:rPr>
        <w:footnoteReference w:id="9"/>
      </w:r>
      <w:r w:rsidRPr="00A7419C">
        <w:rPr>
          <w:rFonts w:ascii="Helvetica Neue" w:hAnsi="Helvetica Neue"/>
        </w:rPr>
        <w:t xml:space="preserve"> </w:t>
      </w:r>
      <w:r w:rsidR="00E1429E" w:rsidRPr="00A7419C">
        <w:rPr>
          <w:rFonts w:ascii="Helvetica Neue" w:hAnsi="Helvetica Neue"/>
        </w:rPr>
        <w:t xml:space="preserve">JCOIE criticised the older model for putting too much weight on transmission. </w:t>
      </w:r>
      <w:r w:rsidR="00244E64" w:rsidRPr="00244E64">
        <w:rPr>
          <w:rFonts w:ascii="Helvetica Neue" w:hAnsi="Helvetica Neue"/>
        </w:rPr>
        <w:t>Starlink shows the problem clearly. Audiences do not simply receive information; they interpret it through different worldviews and contexts, which brings the human, physical and informational aspects back into the analysis.</w:t>
      </w:r>
      <w:r w:rsidRPr="00244E64">
        <w:rPr>
          <w:rFonts w:ascii="Helvetica Neue" w:hAnsi="Helvetica Neue"/>
          <w:sz w:val="16"/>
          <w:szCs w:val="16"/>
        </w:rPr>
        <w:footnoteReference w:id="10"/>
      </w:r>
      <w:r w:rsidRPr="00244E64">
        <w:rPr>
          <w:rFonts w:ascii="Helvetica Neue" w:hAnsi="Helvetica Neue"/>
        </w:rPr>
        <w:t xml:space="preserve"> </w:t>
      </w:r>
      <w:r w:rsidR="00244E64" w:rsidRPr="00244E64">
        <w:rPr>
          <w:rFonts w:ascii="Helvetica Neue" w:hAnsi="Helvetica Neue"/>
        </w:rPr>
        <w:t>The network could function and Ukrainian forces could use it, but Ukraine did not control the service. SpaceX still determined where it operated and which uses it would accept. Civilians used the same infrastructure. Successful transmission therefore tells us little about where authority sat or what different actors made of the relationship.</w:t>
      </w:r>
    </w:p>
    <w:p w:rsidR="00C8735E" w:rsidRPr="00244E64" w:rsidRDefault="00244E64" w:rsidP="00244E64">
      <w:pPr>
        <w:pStyle w:val="NormalWeb"/>
        <w:spacing w:line="360" w:lineRule="auto"/>
        <w:ind w:firstLine="720"/>
        <w:rPr>
          <w:rFonts w:ascii="Helvetica Neue" w:hAnsi="Helvetica Neue"/>
        </w:rPr>
      </w:pPr>
      <w:r w:rsidRPr="00244E64">
        <w:rPr>
          <w:rFonts w:ascii="Helvetica Neue" w:hAnsi="Helvetica Neue"/>
        </w:rPr>
        <w:t>By October 2022, military use itself was not especially secret. The harder question was what followed from it. Russia’s statement put one answer into public view by attaching consequences to Western military reliance on commercial infrastructure. Wither is useful here because ambiguity can affect the response even when the activity itself is visible. Disinformation and destabilisation can leave leaders unsure what they are seeing or what to do next.</w:t>
      </w:r>
      <w:r w:rsidR="006C67BE" w:rsidRPr="00244E64">
        <w:rPr>
          <w:rFonts w:ascii="Helvetica Neue" w:hAnsi="Helvetica Neue"/>
          <w:sz w:val="16"/>
          <w:szCs w:val="16"/>
        </w:rPr>
        <w:footnoteReference w:id="11"/>
      </w:r>
      <w:r w:rsidR="006C67BE" w:rsidRPr="00244E64">
        <w:rPr>
          <w:rFonts w:ascii="Helvetica Neue" w:hAnsi="Helvetica Neue"/>
        </w:rPr>
        <w:t xml:space="preserve"> </w:t>
      </w:r>
    </w:p>
    <w:p w:rsidR="00C8735E" w:rsidRPr="00E15C80" w:rsidRDefault="00A63CDA" w:rsidP="00A63CDA">
      <w:pPr>
        <w:rPr>
          <w:rFonts w:ascii="Helvetica Neue" w:hAnsi="Helvetica Neue"/>
        </w:rPr>
      </w:pPr>
      <w:r w:rsidRPr="00E15C80">
        <w:rPr>
          <w:rFonts w:ascii="Helvetica Neue" w:hAnsi="Helvetica Neue"/>
        </w:rPr>
        <w:t xml:space="preserve">Later evidence is kept separate from what actors could know at the time. A disclosure made months afterwards can change what can be reconstructed about an event. It does not change when the information became public. Rid and Buchanan </w:t>
      </w:r>
      <w:r w:rsidRPr="00E15C80">
        <w:rPr>
          <w:rFonts w:ascii="Helvetica Neue" w:hAnsi="Helvetica Neue"/>
        </w:rPr>
        <w:lastRenderedPageBreak/>
        <w:t>treat attribution as assessment and communication together, including communication to third parties and the public.</w:t>
      </w:r>
      <w:r w:rsidRPr="00E15C80">
        <w:rPr>
          <w:rFonts w:ascii="Helvetica Neue" w:hAnsi="Helvetica Neue"/>
          <w:sz w:val="16"/>
          <w:szCs w:val="16"/>
        </w:rPr>
        <w:footnoteReference w:id="12"/>
      </w:r>
      <w:r w:rsidRPr="00E15C80">
        <w:rPr>
          <w:rFonts w:ascii="Helvetica Neue" w:hAnsi="Helvetica Neue"/>
        </w:rPr>
        <w:t xml:space="preserve"> Paul cautions against treating later behaviour as evidence that an earlier message worked when other causes remain plausible.</w:t>
      </w:r>
      <w:r w:rsidRPr="00E15C80">
        <w:rPr>
          <w:rFonts w:ascii="Helvetica Neue" w:hAnsi="Helvetica Neue"/>
          <w:sz w:val="16"/>
          <w:szCs w:val="16"/>
        </w:rPr>
        <w:footnoteReference w:id="13"/>
      </w:r>
    </w:p>
    <w:p w:rsidR="00C8735E" w:rsidRPr="00E15C80" w:rsidRDefault="00131271">
      <w:pPr>
        <w:rPr>
          <w:rFonts w:ascii="Helvetica Neue" w:hAnsi="Helvetica Neue"/>
        </w:rPr>
      </w:pPr>
      <w:r>
        <w:rPr>
          <w:rFonts w:ascii="Helvetica Neue" w:hAnsi="Helvetica Neue"/>
        </w:rPr>
        <w:t>“</w:t>
      </w:r>
      <w:r w:rsidR="00A63CDA" w:rsidRPr="00E15C80">
        <w:rPr>
          <w:rFonts w:ascii="Helvetica Neue" w:hAnsi="Helvetica Neue"/>
        </w:rPr>
        <w:t>Public articulation” and “transparency” are not used as synonyms here</w:t>
      </w:r>
      <w:r w:rsidRPr="00E15C80">
        <w:rPr>
          <w:rFonts w:ascii="Helvetica Neue" w:hAnsi="Helvetica Neue"/>
        </w:rPr>
        <w:t>. “Public articulation” means an open statement of a position, interpretation or warning; “transparency” is the stronger proposition that making policies and interpretations public can reduce misunderstanding or miscalculation. Deppe and Schaal’s warning about conceptual stretching is useful here because a category broad enough to absorb every informational consequence stops distinguishing very much.</w:t>
      </w:r>
      <w:r w:rsidRPr="00E15C80">
        <w:rPr>
          <w:rFonts w:ascii="Helvetica Neue" w:hAnsi="Helvetica Neue"/>
          <w:sz w:val="16"/>
          <w:szCs w:val="16"/>
        </w:rPr>
        <w:footnoteReference w:id="14"/>
      </w:r>
      <w:r w:rsidRPr="00E15C80">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E15C80" w:rsidRDefault="00000000">
      <w:pPr>
        <w:pStyle w:val="Heading1"/>
        <w:rPr>
          <w:rFonts w:ascii="Helvetica Neue" w:hAnsi="Helvetica Neue"/>
        </w:rPr>
      </w:pPr>
      <w:r w:rsidRPr="00E15C80">
        <w:rPr>
          <w:rFonts w:ascii="Helvetica Neue" w:hAnsi="Helvetica Neue"/>
        </w:rPr>
        <w:t>Law, Interpretation and the Norms Proposition</w:t>
      </w:r>
    </w:p>
    <w:p w:rsidR="00C8735E" w:rsidRPr="00E15C80" w:rsidRDefault="00000000">
      <w:pPr>
        <w:rPr>
          <w:rFonts w:ascii="Helvetica Neue" w:hAnsi="Helvetica Neue"/>
        </w:rPr>
      </w:pPr>
      <w:r w:rsidRPr="00E15C80">
        <w:rPr>
          <w:rFonts w:ascii="Helvetica Neue" w:hAnsi="Helvetica Neue"/>
        </w:rPr>
        <w:t>Russia’s language of participation and retaliation was politically broad, whereas targeting law asks a narrower set of questions. Article 52(2) of Additional Protocol I requires both an effective contribution to military action by nature, location, purpose or use and a definite military advantage from destruction, capture or neutralisation in the circumstances ruling at the time.</w:t>
      </w:r>
      <w:r w:rsidRPr="00E15C80">
        <w:rPr>
          <w:rFonts w:ascii="Helvetica Neue" w:hAnsi="Helvetica Neue"/>
          <w:sz w:val="16"/>
          <w:szCs w:val="16"/>
        </w:rPr>
        <w:footnoteReference w:id="15"/>
      </w:r>
      <w:r w:rsidRPr="00E15C80">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E15C80">
        <w:rPr>
          <w:rFonts w:ascii="Helvetica Neue" w:hAnsi="Helvetica Neue"/>
          <w:sz w:val="16"/>
          <w:szCs w:val="16"/>
        </w:rPr>
        <w:footnoteReference w:id="16"/>
      </w:r>
    </w:p>
    <w:p w:rsidR="00C8735E" w:rsidRPr="00E15C80" w:rsidRDefault="00EB0237">
      <w:pPr>
        <w:rPr>
          <w:rFonts w:ascii="Helvetica Neue" w:hAnsi="Helvetica Neue"/>
        </w:rPr>
      </w:pPr>
      <w:r w:rsidRPr="00E15C80">
        <w:rPr>
          <w:rFonts w:ascii="Helvetica Neue" w:hAnsi="Helvetica Neue"/>
        </w:rPr>
        <w:t>Article 52 does not create a third category between civilian object and military objective. An object remains protected as civilian unless the military-objective test is satisfied in the circumstances ruling at the time.</w:t>
      </w:r>
      <w:r w:rsidRPr="002A29DB">
        <w:rPr>
          <w:rFonts w:ascii="Helvetica Neue" w:hAnsi="Helvetica Neue"/>
        </w:rPr>
        <w:t xml:space="preserve"> </w:t>
      </w:r>
      <w:r w:rsidR="002A29DB" w:rsidRPr="002A29DB">
        <w:rPr>
          <w:rFonts w:ascii="Helvetica Neue" w:hAnsi="Helvetica Neue"/>
        </w:rPr>
        <w:t xml:space="preserve">Berrang reaches the issue from </w:t>
      </w:r>
      <w:r w:rsidR="002A29DB" w:rsidRPr="002A29DB">
        <w:rPr>
          <w:rFonts w:ascii="Helvetica Neue" w:hAnsi="Helvetica Neue"/>
        </w:rPr>
        <w:lastRenderedPageBreak/>
        <w:t>another direction. The fact that a commercial system serves both civilian and military users does not, in his view, make a new space-specific Geneva Convention necessary.</w:t>
      </w:r>
      <w:r w:rsidRPr="002A29DB">
        <w:rPr>
          <w:rFonts w:ascii="Helvetica Neue" w:hAnsi="Helvetica Neue"/>
          <w:sz w:val="16"/>
          <w:szCs w:val="16"/>
        </w:rPr>
        <w:footnoteReference w:id="17"/>
      </w:r>
      <w:r w:rsidRPr="00E15C80">
        <w:rPr>
          <w:rFonts w:ascii="Helvetica Neue" w:hAnsi="Helvetica Neue"/>
        </w:rPr>
        <w:t xml:space="preserve"> Hathaway, Khan and Revkin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E15C80">
        <w:rPr>
          <w:rFonts w:ascii="Helvetica Neue" w:hAnsi="Helvetica Neue"/>
          <w:sz w:val="16"/>
          <w:szCs w:val="16"/>
        </w:rPr>
        <w:footnoteReference w:id="18"/>
      </w:r>
      <w:r w:rsidRPr="00E15C80">
        <w:rPr>
          <w:rFonts w:ascii="Helvetica Neue" w:hAnsi="Helvetica Neue"/>
        </w:rPr>
        <w:t xml:space="preserve"> </w:t>
      </w:r>
    </w:p>
    <w:p w:rsidR="00C8735E" w:rsidRPr="00E15C80" w:rsidRDefault="006C67BE">
      <w:pPr>
        <w:rPr>
          <w:rFonts w:ascii="Helvetica Neue" w:hAnsi="Helvetica Neue"/>
        </w:rPr>
      </w:pPr>
      <w:r w:rsidRPr="00E15C80">
        <w:rPr>
          <w:rFonts w:ascii="Helvetica Neue" w:hAnsi="Helvetica Neue"/>
        </w:rPr>
        <w:t>Calling a satellite network one object hides most of the targeting problem. A satellite, a gateway, a terminal and the management segment do not necessarily perform the same function, and civilian and military dependence can sit on different parts of the same service. Kuplic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Viasat communications.</w:t>
      </w:r>
      <w:r w:rsidRPr="00E15C80">
        <w:rPr>
          <w:rFonts w:ascii="Helvetica Neue" w:hAnsi="Helvetica Neue"/>
          <w:sz w:val="16"/>
          <w:szCs w:val="16"/>
        </w:rPr>
        <w:footnoteReference w:id="19"/>
      </w:r>
      <w:r w:rsidRPr="00E15C80">
        <w:rPr>
          <w:rFonts w:ascii="Helvetica Neue" w:hAnsi="Helvetica Neue"/>
        </w:rPr>
        <w:t xml:space="preserve"> </w:t>
      </w:r>
    </w:p>
    <w:p w:rsidR="006C67BE" w:rsidRPr="00E15C80" w:rsidRDefault="00142FB7">
      <w:pPr>
        <w:rPr>
          <w:rFonts w:ascii="Helvetica Neue" w:hAnsi="Helvetica Neue"/>
        </w:rPr>
      </w:pPr>
      <w:r w:rsidRPr="00E15C80">
        <w:rPr>
          <w:rFonts w:ascii="Helvetica Neue" w:hAnsi="Helvetica Neue"/>
        </w:rPr>
        <w:t>Military communications may make an effective contribution to military action, but that does not dispense with the separate requirement for definite military advantage.</w:t>
      </w:r>
      <w:r w:rsidR="00203A4E" w:rsidRPr="00E15C80">
        <w:rPr>
          <w:rFonts w:ascii="Helvetica Neue" w:hAnsi="Helvetica Neue"/>
        </w:rPr>
        <w:t xml:space="preserve"> The Woomera Manual also keeps distinguishable civilian components and continuing verification in view, making the problem harder to collapse into the label “satellite network.” </w:t>
      </w:r>
      <w:r w:rsidRPr="00E15C80">
        <w:rPr>
          <w:rFonts w:ascii="Helvetica Neue" w:hAnsi="Helvetica Neue"/>
          <w:sz w:val="16"/>
          <w:szCs w:val="16"/>
        </w:rPr>
        <w:footnoteReference w:id="20"/>
      </w:r>
      <w:r w:rsidRPr="00E15C80">
        <w:rPr>
          <w:rFonts w:ascii="Helvetica Neue" w:hAnsi="Helvetica Neue"/>
        </w:rPr>
        <w:t xml:space="preserve"> </w:t>
      </w:r>
    </w:p>
    <w:p w:rsidR="00C8735E" w:rsidRPr="00E15C80" w:rsidRDefault="00142FB7">
      <w:pPr>
        <w:rPr>
          <w:rFonts w:ascii="Helvetica Neue" w:hAnsi="Helvetica Neue"/>
        </w:rPr>
      </w:pPr>
      <w:r w:rsidRPr="00E15C80">
        <w:rPr>
          <w:rFonts w:ascii="Helvetica Neue" w:hAnsi="Helvetica Neue"/>
        </w:rPr>
        <w:t>Bi and Zhu work at a smaller scale. Their analysis begins with the smallest feasible function of military relevance and then asks what civilian dependence and cascading effects sit around it</w:t>
      </w:r>
      <w:r w:rsidR="006C67BE" w:rsidRPr="00E15C80">
        <w:rPr>
          <w:rFonts w:ascii="Helvetica Neue" w:hAnsi="Helvetica Neue"/>
        </w:rPr>
        <w:t>.</w:t>
      </w:r>
      <w:r w:rsidRPr="00E15C80">
        <w:rPr>
          <w:rFonts w:ascii="Helvetica Neue" w:hAnsi="Helvetica Neue"/>
          <w:sz w:val="16"/>
          <w:szCs w:val="16"/>
        </w:rPr>
        <w:footnoteReference w:id="21"/>
      </w:r>
      <w:r w:rsidRPr="00E15C80">
        <w:rPr>
          <w:rFonts w:ascii="Helvetica Neue" w:hAnsi="Helvetica Neue"/>
        </w:rPr>
        <w:t xml:space="preserve"> </w:t>
      </w:r>
      <w:r w:rsidR="00EA74B1" w:rsidRPr="00E15C80">
        <w:rPr>
          <w:rFonts w:ascii="Helvetica Neue" w:hAnsi="Helvetica Neue"/>
        </w:rPr>
        <w:t>In some systems, that leaves the relevant question at the level of a function or component rather than the network as a whole</w:t>
      </w:r>
      <w:r w:rsidR="006C67BE" w:rsidRPr="00E15C80">
        <w:rPr>
          <w:rFonts w:ascii="Helvetica Neue" w:hAnsi="Helvetica Neue"/>
        </w:rPr>
        <w:t>.</w:t>
      </w:r>
    </w:p>
    <w:p w:rsidR="00C8735E" w:rsidRPr="00E15C80" w:rsidRDefault="00000000">
      <w:pPr>
        <w:rPr>
          <w:rFonts w:ascii="Helvetica Neue" w:hAnsi="Helvetica Neue"/>
        </w:rPr>
      </w:pPr>
      <w:r w:rsidRPr="00E15C80">
        <w:rPr>
          <w:rFonts w:ascii="Helvetica Neue" w:hAnsi="Helvetica Neue"/>
        </w:rPr>
        <w:lastRenderedPageBreak/>
        <w:t>Publishing those facts and policies can still matter because other actors then have more to work with than inference alone. Kuplic and Sawmiller link guidance, state practice and dialogue to the possibility of common understandings and fewer misunderstandings or miscalculations.</w:t>
      </w:r>
      <w:r w:rsidRPr="00E15C80">
        <w:rPr>
          <w:rFonts w:ascii="Helvetica Neue" w:hAnsi="Helvetica Neue"/>
          <w:sz w:val="16"/>
          <w:szCs w:val="16"/>
        </w:rPr>
        <w:footnoteReference w:id="22"/>
      </w:r>
      <w:r w:rsidRPr="00E15C80">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E15C80">
        <w:rPr>
          <w:rFonts w:ascii="Helvetica Neue" w:hAnsi="Helvetica Neue"/>
          <w:sz w:val="16"/>
          <w:szCs w:val="16"/>
        </w:rPr>
        <w:footnoteReference w:id="23"/>
      </w:r>
    </w:p>
    <w:p w:rsidR="00C8735E" w:rsidRPr="00E15C80" w:rsidRDefault="00EB0237">
      <w:pPr>
        <w:rPr>
          <w:rFonts w:ascii="Helvetica Neue" w:hAnsi="Helvetica Neue"/>
        </w:rPr>
      </w:pPr>
      <w:r w:rsidRPr="00E15C80">
        <w:rPr>
          <w:rFonts w:ascii="Helvetica Neue" w:hAnsi="Helvetica Neue"/>
        </w:rPr>
        <w:t>Wiener’s “meaning-in-use” is concerned with what happens after actors share the same vocabulary. The meaning does not sit only in the wording of a norm; practice gives it content.</w:t>
      </w:r>
      <w:r w:rsidRPr="00E15C80">
        <w:rPr>
          <w:rFonts w:ascii="Helvetica Neue" w:hAnsi="Helvetica Neue"/>
          <w:sz w:val="16"/>
          <w:szCs w:val="16"/>
        </w:rPr>
        <w:footnoteReference w:id="24"/>
      </w:r>
      <w:r w:rsidRPr="00E15C80">
        <w:rPr>
          <w:rFonts w:ascii="Helvetica Neue" w:hAnsi="Helvetica Neue"/>
        </w:rPr>
        <w:t xml:space="preserve"> </w:t>
      </w:r>
      <w:r w:rsidR="00203A4E" w:rsidRPr="00E15C80">
        <w:rPr>
          <w:rFonts w:ascii="Helvetica Neue" w:hAnsi="Helvetica Neue"/>
        </w:rPr>
        <w:t xml:space="preserve">In this case, “participation” could be spoken publicly without settling what conduct counted as participation. </w:t>
      </w:r>
      <w:r w:rsidRPr="00E15C80">
        <w:rPr>
          <w:rFonts w:ascii="Helvetica Neue" w:hAnsi="Helvetica Neue"/>
        </w:rPr>
        <w:t>Fearon is dealing with a different problem. Public communication can still leave private information, capability and resolve undisclosed, while actors retain incentives to misrepresent them.</w:t>
      </w:r>
      <w:r w:rsidRPr="00E15C80">
        <w:rPr>
          <w:rFonts w:ascii="Helvetica Neue" w:hAnsi="Helvetica Neue"/>
          <w:sz w:val="16"/>
          <w:szCs w:val="16"/>
        </w:rPr>
        <w:footnoteReference w:id="25"/>
      </w:r>
      <w:r w:rsidRPr="00E15C80">
        <w:rPr>
          <w:rFonts w:ascii="Helvetica Neue" w:hAnsi="Helvetica Neue"/>
        </w:rPr>
        <w:t xml:space="preserve"> </w:t>
      </w:r>
    </w:p>
    <w:p w:rsidR="00C8735E" w:rsidRPr="00E15C80" w:rsidRDefault="00000000" w:rsidP="00A63CDA">
      <w:pPr>
        <w:rPr>
          <w:rFonts w:ascii="Helvetica Neue" w:hAnsi="Helvetica Neue"/>
        </w:rPr>
      </w:pPr>
      <w:r w:rsidRPr="00E15C80">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E15C80">
        <w:rPr>
          <w:rFonts w:ascii="Helvetica Neue" w:hAnsi="Helvetica Neue"/>
          <w:sz w:val="16"/>
          <w:szCs w:val="16"/>
        </w:rPr>
        <w:footnoteReference w:id="26"/>
      </w:r>
      <w:r w:rsidRPr="00E15C80">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E15C80">
        <w:rPr>
          <w:rFonts w:ascii="Helvetica Neue" w:hAnsi="Helvetica Neue"/>
          <w:sz w:val="16"/>
          <w:szCs w:val="16"/>
        </w:rPr>
        <w:footnoteReference w:id="27"/>
      </w:r>
      <w:r w:rsidRPr="00E15C80">
        <w:rPr>
          <w:rFonts w:ascii="Helvetica Neue" w:hAnsi="Helvetica Neue"/>
        </w:rPr>
        <w:t xml:space="preserve"> </w:t>
      </w:r>
      <w:r w:rsidR="00A63CDA" w:rsidRPr="00E15C80">
        <w:rPr>
          <w:rFonts w:ascii="Helvetica Neue" w:hAnsi="Helvetica Neue"/>
        </w:rPr>
        <w:t>Russia, the United States and SpaceX did not necessarily use the same boundary when they spoke about commercial military support.</w:t>
      </w:r>
    </w:p>
    <w:p w:rsidR="00C8735E" w:rsidRPr="00E15C80" w:rsidRDefault="00000000">
      <w:pPr>
        <w:pStyle w:val="Heading1"/>
        <w:rPr>
          <w:rFonts w:ascii="Helvetica Neue" w:hAnsi="Helvetica Neue"/>
        </w:rPr>
      </w:pPr>
      <w:r w:rsidRPr="00E15C80">
        <w:rPr>
          <w:rFonts w:ascii="Helvetica Neue" w:hAnsi="Helvetica Neue"/>
        </w:rPr>
        <w:t>The Russia–Ukraine Case</w:t>
      </w:r>
    </w:p>
    <w:p w:rsidR="00142FB7" w:rsidRPr="00E15C80" w:rsidRDefault="00A63CDA" w:rsidP="00A63CDA">
      <w:pPr>
        <w:rPr>
          <w:rFonts w:ascii="Helvetica Neue" w:hAnsi="Helvetica Neue"/>
        </w:rPr>
      </w:pPr>
      <w:r w:rsidRPr="00E15C80">
        <w:rPr>
          <w:rFonts w:ascii="Helvetica Neue" w:hAnsi="Helvetica Neue"/>
        </w:rPr>
        <w:t xml:space="preserve">Viasat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w:t>
      </w:r>
      <w:r w:rsidRPr="00E15C80">
        <w:rPr>
          <w:rFonts w:ascii="Helvetica Neue" w:hAnsi="Helvetica Neue"/>
        </w:rPr>
        <w:lastRenderedPageBreak/>
        <w:t>partition was consumer-oriented. Several thousand customers in Ukraine lost service, along with tens of thousands elsewhere in Europe; directly managed government and mobility users did not. Its wording does not mean that no military user was affected. Ukrainian military users could still have been relying on the affected consumer-oriented partition.</w:t>
      </w:r>
      <w:r w:rsidR="001D36EC" w:rsidRPr="00E15C80">
        <w:rPr>
          <w:rFonts w:ascii="Helvetica Neue" w:hAnsi="Helvetica Neue"/>
          <w:sz w:val="16"/>
          <w:szCs w:val="16"/>
        </w:rPr>
        <w:footnoteReference w:id="28"/>
      </w:r>
      <w:r w:rsidR="001D36EC" w:rsidRPr="00E15C80">
        <w:rPr>
          <w:rFonts w:ascii="Helvetica Neue" w:hAnsi="Helvetica Neue"/>
        </w:rPr>
        <w:t xml:space="preserve"> </w:t>
      </w:r>
      <w:r w:rsidRPr="00E15C80">
        <w:rPr>
          <w:rFonts w:ascii="Helvetica Neue" w:hAnsi="Helvetica Neue"/>
        </w:rPr>
        <w:t>MITRE later associated AcidRain with the outage and records destructive techniques against network devices.</w:t>
      </w:r>
      <w:r w:rsidR="001D36EC" w:rsidRPr="00E15C80">
        <w:rPr>
          <w:rFonts w:ascii="Helvetica Neue" w:hAnsi="Helvetica Neue"/>
          <w:sz w:val="16"/>
          <w:szCs w:val="16"/>
        </w:rPr>
        <w:footnoteReference w:id="29"/>
      </w:r>
      <w:r w:rsidR="00F256DD" w:rsidRPr="00E15C80">
        <w:rPr>
          <w:rFonts w:ascii="Helvetica Neue" w:hAnsi="Helvetica Neue"/>
        </w:rPr>
        <w:t xml:space="preserve"> </w:t>
      </w:r>
    </w:p>
    <w:p w:rsidR="00C8735E" w:rsidRPr="0068535C" w:rsidRDefault="001D36EC" w:rsidP="001D36EC">
      <w:pPr>
        <w:rPr>
          <w:rFonts w:ascii="Helvetica Neue" w:hAnsi="Helvetica Neue"/>
        </w:rPr>
      </w:pPr>
      <w:r w:rsidRPr="00E15C80">
        <w:rPr>
          <w:rFonts w:ascii="Helvetica Neue" w:hAnsi="Helvetica Neue"/>
        </w:rPr>
        <w:t xml:space="preserve">Viasat did not say what the operation was supposed to achieve. Governments did. The United Kingdom attributed the operation to Russia and said the Ukrainian military was believed to have been the primary target. </w:t>
      </w:r>
      <w:r w:rsidRPr="00E15C80">
        <w:rPr>
          <w:rFonts w:ascii="Helvetica Neue" w:hAnsi="Helvetica Neue"/>
          <w:sz w:val="16"/>
          <w:szCs w:val="16"/>
        </w:rPr>
        <w:footnoteReference w:id="30"/>
      </w:r>
      <w:r w:rsidRPr="00E15C80">
        <w:rPr>
          <w:rFonts w:ascii="Helvetica Neue" w:hAnsi="Helvetica Neue"/>
        </w:rPr>
        <w:t xml:space="preserve"> The United States described a Russian attack on commercial satellite communications networks intended to disrupt Ukrainian command and control. </w:t>
      </w:r>
      <w:r w:rsidRPr="00E15C80">
        <w:rPr>
          <w:rFonts w:ascii="Helvetica Neue" w:hAnsi="Helvetica Neue"/>
          <w:sz w:val="16"/>
          <w:szCs w:val="16"/>
        </w:rPr>
        <w:footnoteReference w:id="31"/>
      </w:r>
      <w:r w:rsidRPr="00E15C80">
        <w:rPr>
          <w:rFonts w:ascii="Helvetica Neue" w:hAnsi="Helvetica Neue"/>
        </w:rPr>
        <w:t xml:space="preserve"> </w:t>
      </w:r>
      <w:r w:rsidR="00A63CDA" w:rsidRPr="00E15C80">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E15C80">
        <w:rPr>
          <w:rFonts w:ascii="Helvetica Neue" w:hAnsi="Helvetica Neue"/>
          <w:sz w:val="16"/>
          <w:szCs w:val="16"/>
        </w:rPr>
        <w:footnoteReference w:id="32"/>
      </w:r>
      <w:r w:rsidRPr="00E15C80">
        <w:rPr>
          <w:rFonts w:ascii="Helvetica Neue" w:hAnsi="Helvetica Neue"/>
        </w:rPr>
        <w:t xml:space="preserve"> </w:t>
      </w:r>
      <w:r w:rsidR="00A63CDA" w:rsidRPr="00E15C80">
        <w:rPr>
          <w:rFonts w:ascii="Helvetica Neue" w:hAnsi="Helvetica Neue"/>
        </w:rPr>
        <w:t>“In</w:t>
      </w:r>
      <w:r w:rsidR="00A63CDA" w:rsidRPr="0068535C">
        <w:rPr>
          <w:rFonts w:ascii="Helvetica Neue" w:hAnsi="Helvetica Neue"/>
        </w:rPr>
        <w:t>discriminate” is the language of that declaration. It is not used here as a finding under the law of attack.</w:t>
      </w:r>
    </w:p>
    <w:p w:rsidR="00C8735E" w:rsidRPr="00A7419C" w:rsidRDefault="00244E64" w:rsidP="00E1429E">
      <w:pPr>
        <w:rPr>
          <w:rFonts w:ascii="Helvetica Neue" w:hAnsi="Helvetica Neue"/>
        </w:rPr>
      </w:pPr>
      <w:r w:rsidRPr="00244E64">
        <w:rPr>
          <w:rFonts w:ascii="Helvetica Neue" w:hAnsi="Helvetica Neue"/>
        </w:rPr>
        <w:t>Over the next few months, Zhora’s public account became less dramatic. He first described a “really huge loss in communications.” By September he was giving a narrower account: the loss was in the satellite component, land lines remained the armed forces’ priority, and coordination between forces had continued. That later description did not sit comfortably with the earlier one, especially alongside reports of radio jamming at the front. Zetter also quoted an unnamed source with recent Ukrainian military experience. The source said Viasat was not distributed widely enough among Ukrainian forces for the outage to cause major military disruption.</w:t>
      </w:r>
      <w:r w:rsidR="006C67BE" w:rsidRPr="00244E64">
        <w:rPr>
          <w:rFonts w:ascii="Helvetica Neue" w:hAnsi="Helvetica Neue"/>
          <w:sz w:val="16"/>
          <w:szCs w:val="16"/>
        </w:rPr>
        <w:footnoteReference w:id="33"/>
      </w:r>
      <w:r w:rsidR="006C67BE" w:rsidRPr="00A7419C">
        <w:rPr>
          <w:rFonts w:ascii="Helvetica Neue" w:hAnsi="Helvetica Neue"/>
        </w:rPr>
        <w:t xml:space="preserve"> </w:t>
      </w:r>
      <w:r w:rsidRPr="00244E64">
        <w:rPr>
          <w:rFonts w:ascii="Helvetica Neue" w:hAnsi="Helvetica Neue"/>
        </w:rPr>
        <w:t>The public record therefore supports caution about both the scale of the outage and its military effect</w:t>
      </w:r>
      <w:r w:rsidR="00A7419C" w:rsidRPr="00A7419C">
        <w:rPr>
          <w:rFonts w:ascii="Helvetica Neue" w:hAnsi="Helvetica Neue"/>
        </w:rPr>
        <w:t>.</w:t>
      </w:r>
    </w:p>
    <w:p w:rsidR="00142FB7" w:rsidRPr="00E15C80" w:rsidRDefault="00000000">
      <w:pPr>
        <w:rPr>
          <w:rFonts w:ascii="Helvetica Neue" w:hAnsi="Helvetica Neue"/>
        </w:rPr>
      </w:pPr>
      <w:r w:rsidRPr="00E15C80">
        <w:rPr>
          <w:rFonts w:ascii="Helvetica Neue" w:hAnsi="Helvetica Neue"/>
        </w:rPr>
        <w:lastRenderedPageBreak/>
        <w:t>By October 2022, the Starlink record was still thin. On 14 October, Pentagon deputy press secretary Sabrina Singh confirmed that the Department was in communication with SpaceX and, when asked whether Starlink had mainly supported civilian communications or military command and control, replied: “Well, if I remember, I think it has been used for both.”</w:t>
      </w:r>
      <w:r w:rsidR="00593F9B" w:rsidRPr="00E15C80">
        <w:rPr>
          <w:rFonts w:ascii="Helvetica Neue" w:hAnsi="Helvetica Neue"/>
        </w:rPr>
        <w:t xml:space="preserve"> </w:t>
      </w:r>
      <w:r w:rsidR="00907E99" w:rsidRPr="00E15C80">
        <w:rPr>
          <w:rFonts w:ascii="Helvetica Neue" w:hAnsi="Helvetica Neue"/>
        </w:rPr>
        <w:t>The wording itself was cautious. Singh said “if I remember” and “I think” before describing Starlink as serving both civilian communications and military command and control. The answer put dual use into the public record without offering a breakdown of which functions, users or locations were military.</w:t>
      </w:r>
      <w:r w:rsidRPr="00E15C80">
        <w:rPr>
          <w:rFonts w:ascii="Helvetica Neue" w:hAnsi="Helvetica Neue"/>
          <w:sz w:val="16"/>
          <w:szCs w:val="16"/>
        </w:rPr>
        <w:footnoteReference w:id="34"/>
      </w:r>
      <w:r w:rsidRPr="00E15C80">
        <w:rPr>
          <w:rFonts w:ascii="Helvetica Neue" w:hAnsi="Helvetica Neue"/>
        </w:rPr>
        <w:t xml:space="preserve"> </w:t>
      </w:r>
    </w:p>
    <w:p w:rsidR="00C8735E" w:rsidRPr="00E15C80" w:rsidRDefault="00907E99">
      <w:pPr>
        <w:rPr>
          <w:rFonts w:ascii="Helvetica Neue" w:hAnsi="Helvetica Neue"/>
        </w:rPr>
      </w:pPr>
      <w:r w:rsidRPr="00E15C80">
        <w:rPr>
          <w:rFonts w:ascii="Helvetica Neue" w:hAnsi="Helvetica Neue"/>
        </w:rPr>
        <w:t>Twelve days later Konstantin Vorontsov told the UN First Committee that US and allied military use of civilian and commercial space infrastructure amounted to “indirect participation in military conflicts.” He then warned that “Quasi-civilian infrastructure may become a legitimate target for retaliation.” Vorontsov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E15C80">
        <w:rPr>
          <w:rFonts w:ascii="Helvetica Neue" w:hAnsi="Helvetica Neue"/>
          <w:sz w:val="16"/>
          <w:szCs w:val="16"/>
        </w:rPr>
        <w:footnoteReference w:id="35"/>
      </w:r>
      <w:r w:rsidR="006751A4" w:rsidRPr="00E15C80">
        <w:rPr>
          <w:rFonts w:ascii="Helvetica Neue" w:hAnsi="Helvetica Neue"/>
        </w:rPr>
        <w:t xml:space="preserve"> </w:t>
      </w:r>
    </w:p>
    <w:p w:rsidR="00C8735E" w:rsidRPr="00E15C80" w:rsidRDefault="001D36EC">
      <w:pPr>
        <w:rPr>
          <w:rFonts w:ascii="Helvetica Neue" w:hAnsi="Helvetica Neue"/>
        </w:rPr>
      </w:pPr>
      <w:r w:rsidRPr="00E15C80">
        <w:rPr>
          <w:rFonts w:ascii="Helvetica Neue" w:hAnsi="Helvetica Neue"/>
        </w:rPr>
        <w:t xml:space="preserve">Karine Jean-Pierre was asked about that warning the next day. </w:t>
      </w:r>
      <w:r w:rsidR="007D0AAD" w:rsidRPr="007D0AAD">
        <w:rPr>
          <w:rFonts w:ascii="Helvetica Neue" w:hAnsi="Helvetica Neue"/>
        </w:rPr>
        <w:t>She answered in deterrent terms, saying an attack on US infrastructure would meet a response “in a time and manner of our choosing” and that the United States would pursue means to deter and hold Russia accountable for such attacks.</w:t>
      </w:r>
      <w:r w:rsidRPr="00E15C80">
        <w:rPr>
          <w:rFonts w:ascii="Helvetica Neue" w:hAnsi="Helvetica Neue"/>
        </w:rPr>
        <w:t xml:space="preserve"> </w:t>
      </w:r>
      <w:r w:rsidRPr="00E15C80">
        <w:rPr>
          <w:rFonts w:ascii="Helvetica Neue" w:hAnsi="Helvetica Neue"/>
          <w:sz w:val="16"/>
          <w:szCs w:val="16"/>
        </w:rPr>
        <w:footnoteReference w:id="36"/>
      </w:r>
      <w:r w:rsidRPr="00E15C80">
        <w:rPr>
          <w:rFonts w:ascii="Helvetica Neue" w:hAnsi="Helvetica Neue"/>
        </w:rPr>
        <w:t xml:space="preserve"> She did not answer Vorontsov on the law or accept his characterisation of commercial military support. The warning had been received; the response concerned what the United States might do if its infrastructure were attacked. </w:t>
      </w:r>
    </w:p>
    <w:p w:rsidR="00C8735E" w:rsidRPr="00E15C80" w:rsidRDefault="00000000">
      <w:pPr>
        <w:rPr>
          <w:rFonts w:ascii="Helvetica Neue" w:hAnsi="Helvetica Neue"/>
        </w:rPr>
      </w:pPr>
      <w:r w:rsidRPr="00E15C80">
        <w:rPr>
          <w:rFonts w:ascii="Helvetica Neue" w:hAnsi="Helvetica Neue"/>
        </w:rPr>
        <w:t xml:space="preserve">SpaceX’s public position emerged more slowly. Starshield appeared in December 2022 as a national-security business for government customers, extending </w:t>
      </w:r>
      <w:r w:rsidRPr="00E15C80">
        <w:rPr>
          <w:rFonts w:ascii="Helvetica Neue" w:hAnsi="Helvetica Neue"/>
        </w:rPr>
        <w:lastRenderedPageBreak/>
        <w:t>SpaceX capabilities into higher-security communications and Earth observation.</w:t>
      </w:r>
      <w:r w:rsidRPr="00E15C80">
        <w:rPr>
          <w:rFonts w:ascii="Helvetica Neue" w:hAnsi="Helvetica Neue"/>
          <w:sz w:val="16"/>
          <w:szCs w:val="16"/>
        </w:rPr>
        <w:footnoteReference w:id="37"/>
      </w:r>
      <w:r w:rsidRPr="00E15C80">
        <w:rPr>
          <w:rFonts w:ascii="Helvetica Neue" w:hAnsi="Helvetica Neue"/>
        </w:rPr>
        <w:t xml:space="preserve"> In February 2023, Shotwell said Starlink had never been intended to be “weaponized” and described offensive uses by Ukraine as outside the agreement. Her distinction 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E15C80">
        <w:rPr>
          <w:rFonts w:ascii="Helvetica Neue" w:hAnsi="Helvetica Neue"/>
        </w:rPr>
        <w:t xml:space="preserve"> Shotwell did not identify those measures or explain how SpaceX distinguished an acceptable military communication from an offensive use in practice.</w:t>
      </w:r>
      <w:r w:rsidRPr="00E15C80">
        <w:rPr>
          <w:rFonts w:ascii="Helvetica Neue" w:hAnsi="Helvetica Neue"/>
          <w:sz w:val="16"/>
          <w:szCs w:val="16"/>
        </w:rPr>
        <w:footnoteReference w:id="38"/>
      </w:r>
      <w:r w:rsidRPr="00E15C80">
        <w:rPr>
          <w:rFonts w:ascii="Helvetica Neue" w:hAnsi="Helvetica Neue"/>
        </w:rPr>
        <w:t xml:space="preserve"> By June, a US defence official confirmed a Pentagon contract for Starlink satellite-communications capabilities in Ukraine.</w:t>
      </w:r>
      <w:r w:rsidRPr="00E15C80">
        <w:rPr>
          <w:rFonts w:ascii="Helvetica Neue" w:hAnsi="Helvetica Neue"/>
          <w:sz w:val="16"/>
          <w:szCs w:val="16"/>
        </w:rPr>
        <w:footnoteReference w:id="39"/>
      </w:r>
      <w:r w:rsidRPr="00E15C80">
        <w:rPr>
          <w:rFonts w:ascii="Helvetica Neue" w:hAnsi="Helvetica Neue"/>
        </w:rPr>
        <w:t xml:space="preserve"> The relationship was changing in public view, although the sequence does not tell us what caused each change.</w:t>
      </w:r>
    </w:p>
    <w:p w:rsidR="00C8735E" w:rsidRPr="00E15C80" w:rsidRDefault="001D36EC">
      <w:pPr>
        <w:rPr>
          <w:rFonts w:ascii="Helvetica Neue" w:hAnsi="Helvetica Neue"/>
        </w:rPr>
      </w:pPr>
      <w:r w:rsidRPr="00E15C80">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E15C80">
        <w:rPr>
          <w:rFonts w:ascii="Helvetica Neue" w:hAnsi="Helvetica Neue"/>
          <w:sz w:val="16"/>
          <w:szCs w:val="16"/>
        </w:rPr>
        <w:footnoteReference w:id="40"/>
      </w:r>
      <w:r w:rsidRPr="00E15C80">
        <w:rPr>
          <w:rFonts w:ascii="Helvetica Neue" w:hAnsi="Helvetica Neue"/>
        </w:rPr>
        <w:t xml:space="preserve"> </w:t>
      </w:r>
      <w:r w:rsidR="00A63CDA" w:rsidRPr="00E15C80">
        <w:rPr>
          <w:rFonts w:ascii="Helvetica Neue" w:hAnsi="Helvetica Neue"/>
        </w:rPr>
        <w:t>Musk’s posts described the request as one to activate Starlink “all the way to Sevastopol.” He also said the relevant regions “were not activated.”</w:t>
      </w:r>
      <w:r w:rsidRPr="00E15C80">
        <w:rPr>
          <w:rFonts w:ascii="Helvetica Neue" w:hAnsi="Helvetica Neue"/>
          <w:sz w:val="16"/>
          <w:szCs w:val="16"/>
        </w:rPr>
        <w:footnoteReference w:id="41"/>
      </w:r>
      <w:r w:rsidRPr="00E15C80">
        <w:rPr>
          <w:rFonts w:ascii="Helvetica Neue" w:hAnsi="Helvetica Neue"/>
        </w:rPr>
        <w:t xml:space="preserve"> </w:t>
      </w:r>
      <w:r w:rsidR="00A63CDA" w:rsidRPr="00E15C80">
        <w:rPr>
          <w:rFonts w:ascii="Helvetica Neue" w:hAnsi="Helvetica Neue"/>
        </w:rPr>
        <w:t>Those posts appeared in September 2023 after Isaacson’s account became public. They were not part of the public record in 2022.</w:t>
      </w:r>
    </w:p>
    <w:p w:rsidR="00C8735E" w:rsidRPr="00E15C80" w:rsidRDefault="00000000">
      <w:pPr>
        <w:pStyle w:val="Heading1"/>
        <w:rPr>
          <w:rFonts w:ascii="Helvetica Neue" w:hAnsi="Helvetica Neue"/>
        </w:rPr>
      </w:pPr>
      <w:r w:rsidRPr="00E15C80">
        <w:rPr>
          <w:rFonts w:ascii="Helvetica Neue" w:hAnsi="Helvetica Neue"/>
        </w:rPr>
        <w:t>Testing the Information Contest</w:t>
      </w:r>
    </w:p>
    <w:p w:rsidR="00494C04" w:rsidRPr="002A29DB" w:rsidRDefault="00A63CDA" w:rsidP="002A29DB">
      <w:pPr>
        <w:pStyle w:val="NormalWeb"/>
        <w:spacing w:line="360" w:lineRule="auto"/>
        <w:rPr>
          <w:rFonts w:ascii="Helvetica Neue" w:hAnsi="Helvetica Neue"/>
        </w:rPr>
      </w:pPr>
      <w:r w:rsidRPr="00E15C80">
        <w:rPr>
          <w:rFonts w:ascii="Helvetica Neue" w:hAnsi="Helvetica Neue"/>
        </w:rPr>
        <w:t>Rid and Buchanan treat public communication as part of attribution itself, not as a separate step after assessment.</w:t>
      </w:r>
      <w:r w:rsidR="00637D67" w:rsidRPr="00E15C80">
        <w:rPr>
          <w:rFonts w:ascii="Helvetica Neue" w:hAnsi="Helvetica Neue"/>
          <w:sz w:val="16"/>
          <w:szCs w:val="16"/>
        </w:rPr>
        <w:footnoteReference w:id="42"/>
      </w:r>
      <w:r w:rsidR="00637D67" w:rsidRPr="00E15C80">
        <w:rPr>
          <w:rFonts w:ascii="Helvetica Neue" w:hAnsi="Helvetica Neue"/>
        </w:rPr>
        <w:t xml:space="preserve"> </w:t>
      </w:r>
      <w:r w:rsidRPr="00E15C80">
        <w:rPr>
          <w:rFonts w:ascii="Helvetica Neue" w:hAnsi="Helvetica Neue"/>
        </w:rPr>
        <w:t xml:space="preserve">The EU declaration named Russia and connected the KA-SAT disruption to the opening of the invasion. It described “indiscriminate </w:t>
      </w:r>
      <w:r w:rsidRPr="00E15C80">
        <w:rPr>
          <w:rFonts w:ascii="Helvetica Neue" w:hAnsi="Helvetica Neue"/>
        </w:rPr>
        <w:lastRenderedPageBreak/>
        <w:t>communication outages” affecting public authorities, businesses and users. The declaration also said the operation facilitated Russia’s military aggression and referred to expectations of responsible state behaviour.</w:t>
      </w:r>
      <w:r w:rsidR="00637D67" w:rsidRPr="00E15C80">
        <w:rPr>
          <w:rFonts w:ascii="Helvetica Neue" w:hAnsi="Helvetica Neue"/>
          <w:sz w:val="16"/>
          <w:szCs w:val="16"/>
        </w:rPr>
        <w:footnoteReference w:id="43"/>
      </w:r>
      <w:r w:rsidR="00637D67" w:rsidRPr="00E15C80">
        <w:rPr>
          <w:rFonts w:ascii="Helvetica Neue" w:hAnsi="Helvetica Neue"/>
        </w:rPr>
        <w:t xml:space="preserve"> </w:t>
      </w:r>
      <w:r w:rsidRPr="00E15C80">
        <w:rPr>
          <w:rFonts w:ascii="Helvetica Neue" w:hAnsi="Helvetica Neue"/>
        </w:rPr>
        <w:t>The outage was already more than two months old when the declaration appeared.</w:t>
      </w:r>
      <w:r w:rsidRPr="002A29DB">
        <w:rPr>
          <w:rFonts w:ascii="Helvetica Neue" w:hAnsi="Helvetica Neue"/>
        </w:rPr>
        <w:t xml:space="preserve"> </w:t>
      </w:r>
      <w:r w:rsidR="002A29DB" w:rsidRPr="002A29DB">
        <w:rPr>
          <w:rFonts w:ascii="Helvetica Neue" w:hAnsi="Helvetica Neue"/>
        </w:rPr>
        <w:t>By May there were therefore two public accounts of KA-SAT: the technical account of what had happened to the service and the political account of who was responsible and why.</w:t>
      </w:r>
      <w:r w:rsidR="00637D67" w:rsidRPr="002A29DB">
        <w:rPr>
          <w:rFonts w:ascii="Helvetica Neue" w:hAnsi="Helvetica Neue"/>
        </w:rPr>
        <w:t xml:space="preserve"> </w:t>
      </w:r>
    </w:p>
    <w:p w:rsidR="002A29DB" w:rsidRPr="002A29DB" w:rsidRDefault="002A29DB" w:rsidP="002A29DB">
      <w:pPr>
        <w:pStyle w:val="NormalWeb"/>
        <w:spacing w:line="360" w:lineRule="auto"/>
        <w:ind w:firstLine="720"/>
        <w:rPr>
          <w:rFonts w:ascii="Helvetica Neue" w:hAnsi="Helvetica Neue"/>
        </w:rPr>
      </w:pPr>
      <w:r w:rsidRPr="002A29DB">
        <w:rPr>
          <w:rFonts w:ascii="Helvetica Neue" w:hAnsi="Helvetica Neue"/>
        </w:rPr>
        <w:t>Shotwell was talking about permission. SpaceX would allow military communications and reject “offensive purposes”, and she said the company had measures available to enforce that distinction.</w:t>
      </w:r>
      <w:r w:rsidR="00637D67" w:rsidRPr="002A29DB">
        <w:rPr>
          <w:rFonts w:ascii="Helvetica Neue" w:hAnsi="Helvetica Neue"/>
          <w:sz w:val="16"/>
          <w:szCs w:val="16"/>
        </w:rPr>
        <w:footnoteReference w:id="44"/>
      </w:r>
      <w:r w:rsidR="00637D67" w:rsidRPr="002A29DB">
        <w:rPr>
          <w:rFonts w:ascii="Helvetica Neue" w:hAnsi="Helvetica Neue"/>
        </w:rPr>
        <w:t xml:space="preserve"> </w:t>
      </w:r>
      <w:r w:rsidRPr="002A29DB">
        <w:rPr>
          <w:rFonts w:ascii="Helvetica Neue" w:hAnsi="Helvetica Neue"/>
        </w:rPr>
        <w:t>Vorontsov was making a different kind of claim. He treated military use of commercial infrastructure as “indirect participation” and linked that characterisation to the possibility of retaliation.</w:t>
      </w:r>
      <w:r w:rsidR="00637D67" w:rsidRPr="002A29DB">
        <w:rPr>
          <w:rFonts w:ascii="Helvetica Neue" w:hAnsi="Helvetica Neue"/>
          <w:sz w:val="16"/>
          <w:szCs w:val="16"/>
        </w:rPr>
        <w:footnoteReference w:id="45"/>
      </w:r>
      <w:r w:rsidR="00637D67" w:rsidRPr="002A29DB">
        <w:rPr>
          <w:rFonts w:ascii="Helvetica Neue" w:hAnsi="Helvetica Neue"/>
        </w:rPr>
        <w:t xml:space="preserve"> </w:t>
      </w:r>
      <w:r w:rsidRPr="002A29DB">
        <w:rPr>
          <w:rFonts w:ascii="Helvetica Neue" w:hAnsi="Helvetica Neue"/>
        </w:rPr>
        <w:t>The two positions did not meet at a common threshold.</w:t>
      </w:r>
    </w:p>
    <w:p w:rsidR="00C8735E" w:rsidRPr="002A29DB" w:rsidRDefault="002A29DB" w:rsidP="002A29DB">
      <w:pPr>
        <w:pStyle w:val="NormalWeb"/>
        <w:spacing w:line="360" w:lineRule="auto"/>
        <w:ind w:firstLine="720"/>
      </w:pPr>
      <w:r w:rsidRPr="002A29DB">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2A29DB">
        <w:rPr>
          <w:rFonts w:ascii="Helvetica Neue" w:hAnsi="Helvetica Neue"/>
          <w:sz w:val="16"/>
          <w:szCs w:val="16"/>
        </w:rPr>
        <w:footnoteReference w:id="46"/>
      </w:r>
      <w:r w:rsidR="00637D67" w:rsidRPr="002A29DB">
        <w:rPr>
          <w:rFonts w:ascii="Helvetica Neue" w:hAnsi="Helvetica Neue"/>
        </w:rPr>
        <w:t xml:space="preserve"> </w:t>
      </w:r>
      <w:r w:rsidR="00E1429E" w:rsidRPr="00E1429E">
        <w:rPr>
          <w:rFonts w:ascii="Helvetica Neue" w:hAnsi="Helvetica Neue"/>
        </w:rPr>
        <w:t>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rules governing attack continue to apply.</w:t>
      </w:r>
      <w:r w:rsidR="00637D67" w:rsidRPr="00E1429E">
        <w:rPr>
          <w:rFonts w:ascii="Helvetica Neue" w:hAnsi="Helvetica Neue"/>
          <w:sz w:val="16"/>
          <w:szCs w:val="16"/>
        </w:rPr>
        <w:footnoteReference w:id="47"/>
      </w:r>
      <w:r w:rsidR="00637D67" w:rsidRPr="002A29DB">
        <w:rPr>
          <w:rFonts w:ascii="Helvetica Neue" w:hAnsi="Helvetica Neue"/>
        </w:rPr>
        <w:t xml:space="preserve"> </w:t>
      </w:r>
      <w:r w:rsidR="003531A4" w:rsidRPr="003531A4">
        <w:rPr>
          <w:rFonts w:ascii="Helvetica Neue" w:hAnsi="Helvetica Neue"/>
        </w:rPr>
        <w:t xml:space="preserve">SpaceX could police its own service. That did not make its private boundary the legal one. </w:t>
      </w:r>
      <w:r w:rsidR="00637D67" w:rsidRPr="00E15C80">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E15C80">
        <w:rPr>
          <w:rFonts w:ascii="Helvetica Neue" w:hAnsi="Helvetica Neue"/>
          <w:sz w:val="16"/>
          <w:szCs w:val="16"/>
        </w:rPr>
        <w:footnoteReference w:id="48"/>
      </w:r>
    </w:p>
    <w:p w:rsidR="00E1429E" w:rsidRDefault="00637D67" w:rsidP="00E1429E">
      <w:pPr>
        <w:rPr>
          <w:rFonts w:ascii="Helvetica Neue" w:hAnsi="Helvetica Neue"/>
        </w:rPr>
      </w:pPr>
      <w:r w:rsidRPr="000A547C">
        <w:rPr>
          <w:rFonts w:ascii="Helvetica Neue" w:hAnsi="Helvetica Neue"/>
        </w:rPr>
        <w:t xml:space="preserve">Published guidance gives other actors more to work with than inference alone. Kuplic and Sawmiller connect guidance, state practice and dialogue with the </w:t>
      </w:r>
      <w:r w:rsidRPr="000A547C">
        <w:rPr>
          <w:rFonts w:ascii="Helvetica Neue" w:hAnsi="Helvetica Neue"/>
        </w:rPr>
        <w:lastRenderedPageBreak/>
        <w:t>development of common understandings and fewer misunderstandings or miscalculations</w:t>
      </w:r>
      <w:r w:rsidR="006C67BE" w:rsidRPr="000A547C">
        <w:rPr>
          <w:rFonts w:ascii="Helvetica Neue" w:hAnsi="Helvetica Neue"/>
        </w:rPr>
        <w:t>.</w:t>
      </w:r>
      <w:r w:rsidRPr="000A547C">
        <w:rPr>
          <w:rFonts w:ascii="Helvetica Neue" w:hAnsi="Helvetica Neue"/>
          <w:sz w:val="16"/>
          <w:szCs w:val="16"/>
        </w:rPr>
        <w:footnoteReference w:id="49"/>
      </w:r>
      <w:r w:rsidRPr="000A547C">
        <w:rPr>
          <w:rFonts w:ascii="Helvetica Neue" w:hAnsi="Helvetica Neue"/>
        </w:rPr>
        <w:t xml:space="preserve"> </w:t>
      </w:r>
      <w:r w:rsidR="000A547C" w:rsidRPr="000A547C">
        <w:rPr>
          <w:rFonts w:ascii="Helvetica Neue" w:hAnsi="Helvetica Neue"/>
        </w:rPr>
        <w:t>The OEWG considered dual-use systems, commercial participation, megaconstellations used during military operations, humanitarian consequences from disabling space assets and cyber counterspace threats. No consensus substantive report followed. UNIDIR nevertheless identified several areas where states had moved closer together. It also found cross-regional support for using political commitments alongside legally binding measures.</w:t>
      </w:r>
      <w:r w:rsidRPr="000A547C">
        <w:rPr>
          <w:rFonts w:ascii="Helvetica Neue" w:hAnsi="Helvetica Neue"/>
          <w:sz w:val="16"/>
          <w:szCs w:val="16"/>
        </w:rPr>
        <w:footnoteReference w:id="50"/>
      </w:r>
      <w:r w:rsidRPr="000A547C">
        <w:rPr>
          <w:rFonts w:ascii="Helvetica Neue" w:hAnsi="Helvetica Neue"/>
        </w:rPr>
        <w:t xml:space="preserve"> </w:t>
      </w:r>
      <w:r w:rsidR="000A547C" w:rsidRPr="000A547C">
        <w:rPr>
          <w:rFonts w:ascii="Helvetica Neue" w:hAnsi="Helvetica Neue"/>
        </w:rPr>
        <w:t xml:space="preserve">The 2024 PAROS Group of Governmental Experts later adopted its report by consensus. </w:t>
      </w:r>
      <w:r w:rsidRPr="000A547C">
        <w:rPr>
          <w:rFonts w:ascii="Helvetica Neue" w:hAnsi="Helvetica Neue"/>
          <w:sz w:val="16"/>
          <w:szCs w:val="16"/>
        </w:rPr>
        <w:footnoteReference w:id="51"/>
      </w:r>
      <w:r w:rsidRPr="000A547C">
        <w:rPr>
          <w:rFonts w:ascii="Helvetica Neue" w:hAnsi="Helvetica Neue"/>
        </w:rPr>
        <w:t xml:space="preserve"> </w:t>
      </w:r>
      <w:r w:rsidR="002A29DB" w:rsidRPr="002A29DB">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2A29DB">
        <w:rPr>
          <w:rFonts w:ascii="Helvetica Neue" w:hAnsi="Helvetica Neue"/>
          <w:sz w:val="16"/>
          <w:szCs w:val="16"/>
        </w:rPr>
        <w:footnoteReference w:id="52"/>
      </w:r>
      <w:r w:rsidRPr="000A547C">
        <w:rPr>
          <w:rFonts w:ascii="Helvetica Neue" w:hAnsi="Helvetica Neue"/>
        </w:rPr>
        <w:t xml:space="preserve"> </w:t>
      </w:r>
    </w:p>
    <w:p w:rsidR="00E1429E" w:rsidRDefault="00E1429E" w:rsidP="00E1429E">
      <w:pPr>
        <w:rPr>
          <w:rFonts w:ascii="Helvetica Neue" w:hAnsi="Helvetica Neue"/>
        </w:rPr>
      </w:pPr>
      <w:r w:rsidRPr="00E1429E">
        <w:rPr>
          <w:rFonts w:ascii="Helvetica Neue" w:hAnsi="Helvetica Neue"/>
        </w:rPr>
        <w:t>Vorontsov spoke on 26 October 2022. The White House responded the following day, although its answer concerned the threatened attack on US infrastructure rather than Russia’s definition of participation.</w:t>
      </w:r>
      <w:r w:rsidR="00637D67" w:rsidRPr="00E1429E">
        <w:rPr>
          <w:rFonts w:ascii="Helvetica Neue" w:hAnsi="Helvetica Neue"/>
          <w:sz w:val="16"/>
          <w:szCs w:val="16"/>
        </w:rPr>
        <w:footnoteReference w:id="53"/>
      </w:r>
      <w:r w:rsidR="00637D67" w:rsidRPr="00E1429E">
        <w:rPr>
          <w:rFonts w:ascii="Helvetica Neue" w:hAnsi="Helvetica Neue"/>
        </w:rPr>
        <w:t xml:space="preserve"> </w:t>
      </w:r>
      <w:r w:rsidRPr="00E1429E">
        <w:rPr>
          <w:rFonts w:ascii="Helvetica Neue" w:hAnsi="Helvetica Neue"/>
        </w:rPr>
        <w:t xml:space="preserve">Starshield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w:t>
      </w:r>
      <w:r w:rsidRPr="0068535C">
        <w:rPr>
          <w:rFonts w:ascii="Helvetica Neue" w:hAnsi="Helvetica Neue"/>
        </w:rPr>
        <w:t xml:space="preserve">contracts were being negotiated and concerns about escalation were also present. </w:t>
      </w:r>
      <w:r w:rsidR="005778DC" w:rsidRPr="005778DC">
        <w:rPr>
          <w:rFonts w:ascii="Helvetica Neue" w:hAnsi="Helvetica Neue"/>
        </w:rPr>
        <w:t>The dates provide the sequence. They do not show which event, if any, caused another.</w:t>
      </w:r>
    </w:p>
    <w:p w:rsidR="00C8735E" w:rsidRPr="00E15C80" w:rsidRDefault="00E1429E" w:rsidP="00E1429E">
      <w:pPr>
        <w:rPr>
          <w:rFonts w:ascii="Helvetica Neue" w:hAnsi="Helvetica Neue"/>
        </w:rPr>
      </w:pPr>
      <w:r w:rsidRPr="00E1429E">
        <w:rPr>
          <w:rFonts w:ascii="Helvetica Neue" w:hAnsi="Helvetica Neue"/>
        </w:rPr>
        <w:t>Paul’s warning about measures of effectiveness matters for that reason. An observed response is weak evidence that an earlier message caused it when other explanations remain available.</w:t>
      </w:r>
      <w:r w:rsidR="00637D67" w:rsidRPr="00E1429E">
        <w:rPr>
          <w:rFonts w:ascii="Helvetica Neue" w:hAnsi="Helvetica Neue"/>
          <w:sz w:val="16"/>
          <w:szCs w:val="16"/>
        </w:rPr>
        <w:footnoteReference w:id="54"/>
      </w:r>
      <w:r w:rsidR="00637D67" w:rsidRPr="00E1429E">
        <w:rPr>
          <w:rFonts w:ascii="Helvetica Neue" w:hAnsi="Helvetica Neue"/>
        </w:rPr>
        <w:t xml:space="preserve"> </w:t>
      </w:r>
      <w:r w:rsidRPr="00E1429E">
        <w:rPr>
          <w:rFonts w:ascii="Helvetica Neue" w:hAnsi="Helvetica Neue"/>
        </w:rPr>
        <w:t xml:space="preserve">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w:t>
      </w:r>
      <w:r w:rsidRPr="00E1429E">
        <w:rPr>
          <w:rFonts w:ascii="Helvetica Neue" w:hAnsi="Helvetica Neue"/>
        </w:rPr>
        <w:lastRenderedPageBreak/>
        <w:t>does not move the disclosure itself backwards in time.</w:t>
      </w:r>
      <w:r w:rsidR="00637D67" w:rsidRPr="00E15C80">
        <w:rPr>
          <w:rFonts w:ascii="Helvetica Neue" w:hAnsi="Helvetica Neue"/>
        </w:rPr>
        <w:t xml:space="preserve"> Nor can it be used to assume that every satellite, gateway or terminal satisfied Article 52 at the earlier point in time.</w:t>
      </w:r>
      <w:r w:rsidR="00637D67" w:rsidRPr="00E15C80">
        <w:rPr>
          <w:rFonts w:ascii="Helvetica Neue" w:hAnsi="Helvetica Neue"/>
          <w:sz w:val="16"/>
          <w:szCs w:val="16"/>
        </w:rPr>
        <w:footnoteReference w:id="55"/>
      </w:r>
    </w:p>
    <w:p w:rsidR="00C8735E" w:rsidRPr="00E15C80" w:rsidRDefault="00000000" w:rsidP="00E1429E">
      <w:pPr>
        <w:pStyle w:val="Heading1"/>
        <w:ind w:firstLine="0"/>
        <w:rPr>
          <w:rFonts w:ascii="Helvetica Neue" w:hAnsi="Helvetica Neue"/>
        </w:rPr>
      </w:pPr>
      <w:r w:rsidRPr="00E15C80">
        <w:rPr>
          <w:rFonts w:ascii="Helvetica Neue" w:hAnsi="Helvetica Neue"/>
        </w:rPr>
        <w:t>Implications and Responses</w:t>
      </w:r>
    </w:p>
    <w:p w:rsidR="00CC0F65" w:rsidRDefault="00E15C80" w:rsidP="005F41FA">
      <w:pPr>
        <w:pStyle w:val="NormalWeb"/>
        <w:spacing w:line="360" w:lineRule="auto"/>
        <w:rPr>
          <w:rFonts w:ascii="Helvetica Neue" w:hAnsi="Helvetica Neue"/>
        </w:rPr>
      </w:pPr>
      <w:r w:rsidRPr="005F41FA">
        <w:rPr>
          <w:rFonts w:ascii="Helvetica Neue" w:hAnsi="Helvetica Neue"/>
        </w:rPr>
        <w:t>SpaceX could still alter coverage and use conditions after Starlink had become operationally important in Ukraine.</w:t>
      </w:r>
      <w:r w:rsidR="00530F08" w:rsidRPr="005F41FA">
        <w:rPr>
          <w:rFonts w:ascii="Helvetica Neue" w:hAnsi="Helvetica Neue"/>
          <w:sz w:val="16"/>
          <w:szCs w:val="16"/>
        </w:rPr>
        <w:footnoteReference w:id="56"/>
      </w:r>
      <w:r w:rsidR="00203A4E" w:rsidRPr="005F41FA">
        <w:rPr>
          <w:rFonts w:ascii="Helvetica Neue" w:hAnsi="Helvetica Neue"/>
        </w:rPr>
        <w:t xml:space="preserve"> </w:t>
      </w:r>
      <w:r w:rsidRPr="005F41FA">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specified there. </w:t>
      </w:r>
      <w:r w:rsidR="007D0AAD" w:rsidRPr="005F41FA">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5F41FA">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5F41FA">
        <w:rPr>
          <w:rFonts w:ascii="Helvetica Neue" w:hAnsi="Helvetica Neue"/>
          <w:b/>
          <w:bCs/>
        </w:rPr>
        <w:t xml:space="preserve"> </w:t>
      </w:r>
      <w:r w:rsidR="007D0AAD" w:rsidRPr="005F41FA">
        <w:rPr>
          <w:rFonts w:ascii="Helvetica Neue" w:hAnsi="Helvetica Neue"/>
        </w:rPr>
        <w:t xml:space="preserve">More state authority leaves another issue. A provider tied closely to military requirements may also become more closely embedded in military activity. </w:t>
      </w:r>
    </w:p>
    <w:p w:rsidR="00C8735E" w:rsidRPr="005F41FA" w:rsidRDefault="00E15C80" w:rsidP="00CC0F65">
      <w:pPr>
        <w:pStyle w:val="NormalWeb"/>
        <w:spacing w:line="360" w:lineRule="auto"/>
        <w:ind w:firstLine="720"/>
        <w:rPr>
          <w:rFonts w:ascii="Helvetica Neue" w:hAnsi="Helvetica Neue"/>
        </w:rPr>
      </w:pPr>
      <w:r w:rsidRPr="005F41FA">
        <w:rPr>
          <w:rFonts w:ascii="Helvetica Neue" w:hAnsi="Helvetica Neue"/>
        </w:rPr>
        <w:t>KA-SAT points to a different kind of failure. The vulnerable point sat in the path into the service rather than in destruction of the spacecraft itself</w:t>
      </w:r>
      <w:r w:rsidR="00530F08" w:rsidRPr="005F41FA">
        <w:rPr>
          <w:rFonts w:ascii="Helvetica Neue" w:hAnsi="Helvetica Neue"/>
        </w:rPr>
        <w:t>. Defence users need alternative communications paths, and some separation between military functions and heavily civilian-dependent services may be sensible where feasible. The ICRC treats segregation of military and civilian use as one possible precaution rather than an absolute rule.</w:t>
      </w:r>
      <w:r w:rsidR="00530F08" w:rsidRPr="005F41FA">
        <w:rPr>
          <w:rFonts w:ascii="Helvetica Neue" w:hAnsi="Helvetica Neue"/>
          <w:sz w:val="16"/>
          <w:szCs w:val="16"/>
        </w:rPr>
        <w:footnoteReference w:id="57"/>
      </w:r>
      <w:r w:rsidR="00530F08" w:rsidRPr="005F41FA">
        <w:rPr>
          <w:rFonts w:ascii="Helvetica Neue" w:hAnsi="Helvetica Neue"/>
        </w:rPr>
        <w:t xml:space="preserve"> Viasat’s account places the vulnerable point in a management function and service partition rather than the satellite as a whole.</w:t>
      </w:r>
      <w:r w:rsidR="00530F08" w:rsidRPr="005F41FA">
        <w:rPr>
          <w:rFonts w:ascii="Helvetica Neue" w:hAnsi="Helvetica Neue"/>
          <w:sz w:val="16"/>
          <w:szCs w:val="16"/>
        </w:rPr>
        <w:footnoteReference w:id="58"/>
      </w:r>
      <w:r w:rsidR="00530F08" w:rsidRPr="005F41FA">
        <w:rPr>
          <w:rFonts w:ascii="Helvetica Neue" w:hAnsi="Helvetica Neue"/>
        </w:rPr>
        <w:t xml:space="preserve"> </w:t>
      </w:r>
      <w:r w:rsidR="005F41FA" w:rsidRPr="005F41FA">
        <w:rPr>
          <w:rFonts w:ascii="Helvetica Neue" w:hAnsi="Helvetica Neue"/>
        </w:rPr>
        <w:t xml:space="preserve">Bi and Zhu’s smallest-feasible-function approach keeps attention on dependencies and cascading effects at the functional level. </w:t>
      </w:r>
      <w:r w:rsidR="00530F08" w:rsidRPr="005F41FA">
        <w:rPr>
          <w:rFonts w:ascii="Helvetica Neue" w:hAnsi="Helvetica Neue"/>
          <w:sz w:val="16"/>
          <w:szCs w:val="16"/>
        </w:rPr>
        <w:footnoteReference w:id="59"/>
      </w:r>
      <w:r w:rsidR="005F41FA" w:rsidRPr="005F41FA">
        <w:rPr>
          <w:rFonts w:ascii="Helvetica Neue" w:hAnsi="Helvetica Neue"/>
        </w:rPr>
        <w:t xml:space="preserve"> Complete separation </w:t>
      </w:r>
      <w:r w:rsidR="005F41FA" w:rsidRPr="005F41FA">
        <w:rPr>
          <w:rFonts w:ascii="Helvetica Neue" w:hAnsi="Helvetica Neue"/>
        </w:rPr>
        <w:lastRenderedPageBreak/>
        <w:t>is not always technically or economically sensible. Too much segmentation can also sacrifice the scale and redundancy that make commercial services useful.</w:t>
      </w:r>
    </w:p>
    <w:p w:rsidR="00C8735E" w:rsidRPr="00E15C80" w:rsidRDefault="00530F08" w:rsidP="00530F08">
      <w:pPr>
        <w:rPr>
          <w:rFonts w:ascii="Helvetica Neue" w:hAnsi="Helvetica Neue"/>
        </w:rPr>
      </w:pPr>
      <w:r w:rsidRPr="00E15C80">
        <w:rPr>
          <w:rFonts w:ascii="Helvetica Neue" w:hAnsi="Helvetica Neue"/>
        </w:rPr>
        <w:t>Commercial operators also hold much of the technical knowledge needed to judge whether proposed rules are workable. UNIDIR notes that commercial entities make up around 80 per cent of the space economy, and the OEWG was open to industry and civil-society participation.</w:t>
      </w:r>
      <w:r w:rsidRPr="00E15C80">
        <w:rPr>
          <w:rFonts w:ascii="Helvetica Neue" w:hAnsi="Helvetica Neue"/>
          <w:sz w:val="16"/>
          <w:szCs w:val="16"/>
        </w:rPr>
        <w:footnoteReference w:id="60"/>
      </w:r>
      <w:r w:rsidRPr="00E15C80">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E15C80">
        <w:rPr>
          <w:rFonts w:ascii="Helvetica Neue" w:hAnsi="Helvetica Neue"/>
        </w:rPr>
        <w:t>West and Azcárate Ortega identify acceptance, implementation and trust as conditions on how norms operate in practice.</w:t>
      </w:r>
      <w:r w:rsidRPr="00E15C80">
        <w:rPr>
          <w:rFonts w:ascii="Helvetica Neue" w:hAnsi="Helvetica Neue"/>
          <w:sz w:val="16"/>
          <w:szCs w:val="16"/>
        </w:rPr>
        <w:footnoteReference w:id="61"/>
      </w:r>
      <w:r w:rsidRPr="00E15C80">
        <w:rPr>
          <w:rFonts w:ascii="Helvetica Neue" w:hAnsi="Helvetica Neue"/>
        </w:rPr>
        <w:t xml:space="preserve"> </w:t>
      </w:r>
    </w:p>
    <w:p w:rsidR="00C8735E" w:rsidRPr="00E15C80" w:rsidRDefault="00000000">
      <w:pPr>
        <w:pStyle w:val="Heading1"/>
        <w:rPr>
          <w:rFonts w:ascii="Helvetica Neue" w:hAnsi="Helvetica Neue"/>
        </w:rPr>
      </w:pPr>
      <w:r w:rsidRPr="00E15C80">
        <w:rPr>
          <w:rFonts w:ascii="Helvetica Neue" w:hAnsi="Helvetica Neue"/>
        </w:rPr>
        <w:t>Conclusion</w:t>
      </w:r>
    </w:p>
    <w:p w:rsidR="00F5776A" w:rsidRPr="00CC346E" w:rsidRDefault="00CC346E" w:rsidP="00F5776A">
      <w:pPr>
        <w:pStyle w:val="NormalWeb"/>
        <w:spacing w:line="360" w:lineRule="auto"/>
        <w:rPr>
          <w:rFonts w:ascii="Helvetica Neue" w:hAnsi="Helvetica Neue"/>
        </w:rPr>
      </w:pPr>
      <w:r w:rsidRPr="00CC346E">
        <w:rPr>
          <w:rFonts w:ascii="Helvetica Neue" w:hAnsi="Helvetica Neue"/>
        </w:rPr>
        <w:t xml:space="preserve">KA-SAT makes “commercial SATCOM” look like too large a category. The satellite was not the point through which the destructive activity entered the service. Viasat instead traced it through a management function serving a consumer-oriented partition. Civilian disruption was clear. The extent of military disruption was not. </w:t>
      </w:r>
      <w:r w:rsidR="00F5776A" w:rsidRPr="00CC346E">
        <w:rPr>
          <w:rFonts w:ascii="Helvetica Neue" w:hAnsi="Helvetica Neue"/>
        </w:rPr>
        <w:t>That difference matters because Article 52 is concerned with the object in the circumstances at the time, not with whether a network can generally be described as dual-use or commercially owned.</w:t>
      </w:r>
    </w:p>
    <w:p w:rsidR="00F5776A" w:rsidRPr="001F377C" w:rsidRDefault="00A7419C" w:rsidP="00F5776A">
      <w:pPr>
        <w:pStyle w:val="NormalWeb"/>
        <w:spacing w:line="360" w:lineRule="auto"/>
        <w:rPr>
          <w:rFonts w:ascii="Helvetica Neue" w:hAnsi="Helvetica Neue"/>
        </w:rPr>
      </w:pPr>
      <w:r w:rsidRPr="00A7419C">
        <w:rPr>
          <w:rFonts w:ascii="Helvetica Neue" w:hAnsi="Helvetica Neue"/>
        </w:rPr>
        <w:t xml:space="preserve">Starlink exposed another kind of division. Ukraine could depend on the service without controlling it. </w:t>
      </w:r>
      <w:r w:rsidR="00244E64" w:rsidRPr="00244E64">
        <w:rPr>
          <w:rFonts w:ascii="Helvetica Neue" w:hAnsi="Helvetica Neue"/>
        </w:rPr>
        <w:t>SpaceX still controlled coverage and uses it considered outside the agreement. That control mattered strategically because Ukrainian forces were already relying on the network.</w:t>
      </w:r>
      <w:r w:rsidRPr="00A7419C">
        <w:rPr>
          <w:rFonts w:ascii="Helvetica Neue" w:hAnsi="Helvetica Neue"/>
        </w:rPr>
        <w:t xml:space="preserve"> Russia then described Western military reliance on commercial infrastructure in much broader terms, as “indirect participation”, and raised retaliation. The White House answered the threat to US infrastructure rather than accepting or rejecting that category.</w:t>
      </w:r>
      <w:r w:rsidRPr="00244E64">
        <w:rPr>
          <w:rFonts w:ascii="Helvetica Neue" w:hAnsi="Helvetica Neue"/>
        </w:rPr>
        <w:t xml:space="preserve"> </w:t>
      </w:r>
      <w:r w:rsidR="00244E64" w:rsidRPr="00244E64">
        <w:rPr>
          <w:rFonts w:ascii="Helvetica Neue" w:hAnsi="Helvetica Neue"/>
        </w:rPr>
        <w:t>Shotwell later explained a provider distinction between communications and offensive use. The positions sat alongside one another without producing a single definition.</w:t>
      </w:r>
    </w:p>
    <w:p w:rsidR="00F927F1" w:rsidRPr="00173549" w:rsidRDefault="00244E64" w:rsidP="00CC346E">
      <w:pPr>
        <w:pStyle w:val="NormalWeb"/>
        <w:spacing w:line="360" w:lineRule="auto"/>
        <w:rPr>
          <w:rFonts w:ascii="Helvetica Neue" w:hAnsi="Helvetica Neue"/>
        </w:rPr>
      </w:pPr>
      <w:r w:rsidRPr="00173549">
        <w:rPr>
          <w:rFonts w:ascii="Helvetica Neue" w:hAnsi="Helvetica Neue"/>
        </w:rPr>
        <w:lastRenderedPageBreak/>
        <w:t>This is where Wiener and Fearon become useful. Wiener shows how the meaning of participation can develop through practice even while the wording remains contested. Fearon draws attention to what the public record does not reveal. A state or company may disclose a position while keeping capability, resolve, thresholds or internal reasoning private.</w:t>
      </w:r>
      <w:r w:rsidR="00176FBA" w:rsidRPr="00173549">
        <w:rPr>
          <w:rStyle w:val="FootnoteReference"/>
          <w:rFonts w:ascii="Helvetica Neue" w:hAnsi="Helvetica Neue"/>
        </w:rPr>
        <w:footnoteReference w:id="62"/>
      </w:r>
      <w:r w:rsidR="00176FBA" w:rsidRPr="00173549">
        <w:rPr>
          <w:rFonts w:ascii="Helvetica Neue" w:hAnsi="Helvetica Neue"/>
        </w:rPr>
        <w:t xml:space="preserve"> </w:t>
      </w:r>
      <w:r w:rsidR="00173549" w:rsidRPr="00173549">
        <w:rPr>
          <w:rFonts w:ascii="Helvetica Neue" w:hAnsi="Helvetica Neue"/>
        </w:rPr>
        <w:t>Public articulation therefore gave outsiders more to see, but not necessarily more that the actors shared.</w:t>
      </w:r>
    </w:p>
    <w:p w:rsidR="001F377C" w:rsidRPr="00173549" w:rsidRDefault="00173549" w:rsidP="00CC346E">
      <w:pPr>
        <w:pStyle w:val="NormalWeb"/>
        <w:spacing w:line="360" w:lineRule="auto"/>
        <w:rPr>
          <w:rFonts w:ascii="Helvetica Neue" w:hAnsi="Helvetica Neue"/>
        </w:rPr>
      </w:pPr>
      <w:r w:rsidRPr="00173549">
        <w:rPr>
          <w:rFonts w:ascii="Helvetica Neue" w:hAnsi="Helvetica Neue"/>
        </w:rPr>
        <w:t>The practical problem is less abstract. Governments that rely on commercial communications need alternatives and clearer arrangements over coverage, functionality and permitted use before those questions become urgent. Providers also possess technical knowledge that cannot simply be inferred from ownership of the satellite or from public descriptions of the service.</w:t>
      </w:r>
    </w:p>
    <w:p w:rsidR="0058256A" w:rsidRPr="00173549" w:rsidRDefault="00173549" w:rsidP="001F377C">
      <w:pPr>
        <w:ind w:firstLine="0"/>
        <w:rPr>
          <w:rFonts w:ascii="Helvetica Neue" w:hAnsi="Helvetica Neue"/>
        </w:rPr>
      </w:pPr>
      <w:r w:rsidRPr="00173549">
        <w:rPr>
          <w:rFonts w:ascii="Helvetica Neue" w:hAnsi="Helvetica Neue"/>
        </w:rPr>
        <w:t>Transparency still proved useful in this case. It showed that Russia, the United States and SpaceX did not share the same boundary. But making those positions public did not reconcile them. The uncertainty was no longer just about what each actor thought. It was also about which understanding, if any, would become authoritative.</w:t>
      </w:r>
    </w:p>
    <w:p w:rsidR="00861563" w:rsidRDefault="00861563">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946072" w:rsidRDefault="00946072">
      <w:pPr>
        <w:rPr>
          <w:rFonts w:ascii="Helvetica Neue" w:hAnsi="Helvetica Neue"/>
        </w:rPr>
      </w:pPr>
    </w:p>
    <w:p w:rsidR="00946072" w:rsidRDefault="00946072">
      <w:pPr>
        <w:rPr>
          <w:rFonts w:ascii="Helvetica Neue" w:hAnsi="Helvetica Neue"/>
        </w:rPr>
      </w:pPr>
    </w:p>
    <w:p w:rsidR="00946072" w:rsidRDefault="00946072">
      <w:pPr>
        <w:rPr>
          <w:rFonts w:ascii="Helvetica Neue" w:hAnsi="Helvetica Neue"/>
        </w:rPr>
      </w:pPr>
    </w:p>
    <w:p w:rsidR="00946072" w:rsidRDefault="00946072">
      <w:pPr>
        <w:rPr>
          <w:rFonts w:ascii="Helvetica Neue" w:hAnsi="Helvetica Neue"/>
        </w:rPr>
      </w:pPr>
    </w:p>
    <w:p w:rsidR="00946072" w:rsidRDefault="00946072">
      <w:pPr>
        <w:rPr>
          <w:rFonts w:ascii="Helvetica Neue" w:hAnsi="Helvetica Neue"/>
        </w:rPr>
      </w:pPr>
    </w:p>
    <w:p w:rsidR="00946072" w:rsidRDefault="00946072">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861563" w:rsidRPr="00E15C80" w:rsidRDefault="00861563" w:rsidP="00965EB2">
      <w:pPr>
        <w:ind w:firstLine="0"/>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lastRenderedPageBreak/>
        <w:t>Bibliography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Aday, Sean, Māris Andžāns, Una Aleksandra Bērziņa-Čerenkova, Francesca Granelli, John-Paul Gravelines, Mils Hills, Miranda Holmstrom, et al. </w:t>
      </w:r>
      <w:r w:rsidRPr="005F41FA">
        <w:rPr>
          <w:rFonts w:ascii="Helvetica Neue" w:hAnsi="Helvetica Neue"/>
          <w:i/>
          <w:iCs/>
        </w:rPr>
        <w:t>Hybrid Threats: A Strategic Communications Perspective</w:t>
      </w:r>
      <w:r w:rsidRPr="00E15C80">
        <w:rPr>
          <w:rFonts w:ascii="Helvetica Neue" w:hAnsi="Helvetica Neue"/>
        </w:rPr>
        <w:t>. Riga: NATO Strategic Communications Centre of Excellence, 2019.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Albon, Courtney. “SpaceX Forms ‘Starshield’ Business Unit to Focus on National Security.” </w:t>
      </w:r>
      <w:r w:rsidRPr="00E15C80">
        <w:rPr>
          <w:rFonts w:ascii="Helvetica Neue" w:hAnsi="Helvetica Neue"/>
          <w:i/>
          <w:sz w:val="22"/>
        </w:rPr>
        <w:t>Defense News</w:t>
      </w:r>
      <w:r w:rsidRPr="00E15C80">
        <w:rPr>
          <w:rFonts w:ascii="Helvetica Neue" w:hAnsi="Helvetica Neue"/>
          <w:sz w:val="22"/>
        </w:rPr>
        <w:t>, 5 December 2022. https://www.defensenews.com/battlefield-tech/space/2022/12/05/spacex-forms-starshield-business-unit-to-focus-on-national-security/.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Azcárate Ortega, Almudena, and Sarah Erickson. </w:t>
      </w:r>
      <w:r w:rsidRPr="00E15C80">
        <w:rPr>
          <w:rFonts w:ascii="Helvetica Neue" w:hAnsi="Helvetica Neue"/>
          <w:i/>
          <w:sz w:val="22"/>
        </w:rPr>
        <w:t>OEWG on Reducing Space Threats: Recap Report</w:t>
      </w:r>
      <w:r w:rsidRPr="00E15C80">
        <w:rPr>
          <w:rFonts w:ascii="Helvetica Neue" w:hAnsi="Helvetica Neue"/>
          <w:sz w:val="22"/>
        </w:rPr>
        <w:t>. Geneva: United Nations Institute for Disarmament Research, 2024. https://doi.org/10.37559/WMD/24/Space/01.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Beard, Jack, and Dale Stephens, eds., with David Koplow. </w:t>
      </w:r>
      <w:r w:rsidRPr="00E15C80">
        <w:rPr>
          <w:rFonts w:ascii="Helvetica Neue" w:hAnsi="Helvetica Neue"/>
          <w:i/>
          <w:sz w:val="22"/>
        </w:rPr>
        <w:t>The Woomera Manual on the International Law of Military Space Activities and Operations</w:t>
      </w:r>
      <w:r w:rsidRPr="00E15C80">
        <w:rPr>
          <w:rFonts w:ascii="Helvetica Neue" w:hAnsi="Helvetica Neue"/>
          <w:sz w:val="22"/>
        </w:rPr>
        <w:t>. Oxford: Oxford University Press, 2024. https://doi.org/10.1093/law/9780192870667.001.0001.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Berrang, Svenja. “Does the Dual-Use of Space Objects Necessitate a New Geneva Convention?” </w:t>
      </w:r>
      <w:r w:rsidRPr="00E15C80">
        <w:rPr>
          <w:rFonts w:ascii="Helvetica Neue" w:hAnsi="Helvetica Neue"/>
          <w:i/>
          <w:sz w:val="22"/>
        </w:rPr>
        <w:t>Case Western Reserve Journal of International Law</w:t>
      </w:r>
      <w:r w:rsidRPr="00E15C80">
        <w:rPr>
          <w:rFonts w:ascii="Helvetica Neue" w:hAnsi="Helvetica Neue"/>
          <w:sz w:val="22"/>
        </w:rPr>
        <w:t xml:space="preserve"> 57 (2025): 315–342. https://scholarlycommons.law.case.edu/jil/vol57/iss1/22/.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E15C80">
        <w:rPr>
          <w:rFonts w:ascii="Helvetica Neue" w:hAnsi="Helvetica Neue"/>
          <w:i/>
          <w:sz w:val="22"/>
        </w:rPr>
        <w:t>Cogent Social Sciences</w:t>
      </w:r>
      <w:r w:rsidRPr="00E15C80">
        <w:rPr>
          <w:rFonts w:ascii="Helvetica Neue" w:hAnsi="Helvetica Neue"/>
          <w:sz w:val="22"/>
        </w:rPr>
        <w:t xml:space="preserve"> 12, no. 1 (2026): 2719286. https://doi.org/10.1080/23311886.2026.2719286.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CBS News/AFP. “Elon Musk Says He Denied Ukraine Satellite Request to Avoid Complicity in ‘Major Act of War’ vs. Russia.” </w:t>
      </w:r>
      <w:r w:rsidRPr="00E15C80">
        <w:rPr>
          <w:rFonts w:ascii="Helvetica Neue" w:hAnsi="Helvetica Neue"/>
          <w:i/>
          <w:sz w:val="22"/>
        </w:rPr>
        <w:t>CBS News</w:t>
      </w:r>
      <w:r w:rsidRPr="00E15C80">
        <w:rPr>
          <w:rFonts w:ascii="Helvetica Neue" w:hAnsi="Helvetica Neue"/>
          <w:sz w:val="22"/>
        </w:rPr>
        <w:t>, 8 September 2023. https://www.cbsnews.com/news/elon-musk-ukraine-russia-war-starlink-satellite-denied-major-act-of-war/.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Congressional Research Service. </w:t>
      </w:r>
      <w:r w:rsidRPr="00E15C80">
        <w:rPr>
          <w:rFonts w:ascii="Helvetica Neue" w:hAnsi="Helvetica Neue"/>
          <w:i/>
          <w:sz w:val="22"/>
        </w:rPr>
        <w:t>Defense Primer: Operations in the Information Environment</w:t>
      </w:r>
      <w:r w:rsidRPr="00E15C80">
        <w:rPr>
          <w:rFonts w:ascii="Helvetica Neue" w:hAnsi="Helvetica Neue"/>
          <w:sz w:val="22"/>
        </w:rPr>
        <w:t>. IF10771. Updated 29 November 2024. https://www.everycrsreport.com/reports/IF10771.html.</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Deppe, Christoph, and Gary S. Schaal. “Cognitive Warfare: A Conceptual Analysis of the NATO ACT Cognitive Warfare Exploratory Concept.” </w:t>
      </w:r>
      <w:r w:rsidRPr="00E15C80">
        <w:rPr>
          <w:rFonts w:ascii="Helvetica Neue" w:hAnsi="Helvetica Neue"/>
          <w:i/>
          <w:sz w:val="22"/>
        </w:rPr>
        <w:t>Frontiers in Big Data</w:t>
      </w:r>
      <w:r w:rsidRPr="00E15C80">
        <w:rPr>
          <w:rFonts w:ascii="Helvetica Neue" w:hAnsi="Helvetica Neue"/>
          <w:sz w:val="22"/>
        </w:rPr>
        <w:t xml:space="preserve"> 7 (2024): 1452129. https://doi.org/10.3389/fdata.2024.1452129.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Fearon, James D. “Rationalist Explanations for War.” </w:t>
      </w:r>
      <w:r w:rsidRPr="00E15C80">
        <w:rPr>
          <w:rFonts w:ascii="Helvetica Neue" w:hAnsi="Helvetica Neue"/>
          <w:i/>
          <w:sz w:val="22"/>
        </w:rPr>
        <w:t>International Organization</w:t>
      </w:r>
      <w:r w:rsidRPr="00E15C80">
        <w:rPr>
          <w:rFonts w:ascii="Helvetica Neue" w:hAnsi="Helvetica Neue"/>
          <w:sz w:val="22"/>
        </w:rPr>
        <w:t xml:space="preserve"> 49, no. 3 (1995): 379–414. https://doi.org/10.1017/S0020818300033324.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Foust, Jeff. “Shotwell: Ukraine ‘Weaponized’ Starlink in War against Russia.” </w:t>
      </w:r>
      <w:r w:rsidRPr="00E15C80">
        <w:rPr>
          <w:rFonts w:ascii="Helvetica Neue" w:hAnsi="Helvetica Neue"/>
          <w:i/>
          <w:sz w:val="22"/>
        </w:rPr>
        <w:t>SpaceNews</w:t>
      </w:r>
      <w:r w:rsidRPr="00E15C80">
        <w:rPr>
          <w:rFonts w:ascii="Helvetica Neue" w:hAnsi="Helvetica Neue"/>
          <w:sz w:val="22"/>
        </w:rPr>
        <w:t>, 8 February 2023. https://spacenews.com/shotwell-ukraine-weaponized-starlink-in-war-against-russia/.</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 xml:space="preserve">Harper, Jon. “Pentagon Contracting with SpaceX’s Starlink to Provide Satellite Communication Capabilities for Ukraine.” </w:t>
      </w:r>
      <w:r w:rsidRPr="00E15C80">
        <w:rPr>
          <w:rFonts w:ascii="Helvetica Neue" w:hAnsi="Helvetica Neue"/>
          <w:i/>
          <w:sz w:val="22"/>
        </w:rPr>
        <w:t>DefenseScoop</w:t>
      </w:r>
      <w:r w:rsidRPr="00E15C80">
        <w:rPr>
          <w:rFonts w:ascii="Helvetica Neue" w:hAnsi="Helvetica Neue"/>
          <w:sz w:val="22"/>
        </w:rPr>
        <w:t>, 1 June 2023. https://defensescoop.com/2023/06/01/pentagon-contracting-with-spacexs-starlink-to-provide-satellite-communication-capabilities-for-ukraine/.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Hathaway, Oona A., Azmat Khan, and Mara R. Revkin. “The Dangerous Rise of ‘Dual-Use’ Objects in War.” </w:t>
      </w:r>
      <w:r w:rsidRPr="00E15C80">
        <w:rPr>
          <w:rFonts w:ascii="Helvetica Neue" w:hAnsi="Helvetica Neue"/>
          <w:i/>
          <w:sz w:val="22"/>
        </w:rPr>
        <w:t>Yale Law Journal</w:t>
      </w:r>
      <w:r w:rsidRPr="00E15C80">
        <w:rPr>
          <w:rFonts w:ascii="Helvetica Neue" w:hAnsi="Helvetica Neue"/>
          <w:sz w:val="22"/>
        </w:rPr>
        <w:t xml:space="preserve"> 134, no. 8 (2025): 2645–2750. https://yalelawjournal.org/article/the-dangerous-rise-of-dual-use-objects-in-war.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International Committee of the Red Cross. </w:t>
      </w:r>
      <w:r w:rsidRPr="00E15C80">
        <w:rPr>
          <w:rFonts w:ascii="Helvetica Neue" w:hAnsi="Helvetica Neue"/>
          <w:i/>
          <w:sz w:val="22"/>
        </w:rPr>
        <w:t>Constraints under International Law on Military Operations in, or in Relation to, Outer Space during Armed Conflicts</w:t>
      </w:r>
      <w:r w:rsidRPr="00E15C80">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Joint Chiefs of Staff. </w:t>
      </w:r>
      <w:r w:rsidRPr="00E15C80">
        <w:rPr>
          <w:rFonts w:ascii="Helvetica Neue" w:hAnsi="Helvetica Neue"/>
          <w:i/>
          <w:sz w:val="22"/>
        </w:rPr>
        <w:t>Joint Concept for Operating in the Information Environment (JCOIE)</w:t>
      </w:r>
      <w:r w:rsidRPr="00E15C80">
        <w:rPr>
          <w:rFonts w:ascii="Helvetica Neue" w:hAnsi="Helvetica Neue"/>
          <w:sz w:val="22"/>
        </w:rPr>
        <w:t>. Washington, DC: Joint Chiefs of Staff, 25 July 2018.</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 </w:t>
      </w:r>
      <w:r w:rsidRPr="005F41FA">
        <w:rPr>
          <w:rFonts w:ascii="Helvetica Neue" w:hAnsi="Helvetica Neue"/>
          <w:i/>
          <w:iCs/>
        </w:rPr>
        <w:t>Joint Publication 3-13: Information Operations</w:t>
      </w:r>
      <w:r w:rsidRPr="00E15C80">
        <w:rPr>
          <w:rFonts w:ascii="Helvetica Neue" w:hAnsi="Helvetica Neue"/>
        </w:rPr>
        <w:t>. Washington, DC: Joint Chiefs of Staff, 27 November 2012. Incorporating Change 1, 20 November 2014.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Kuplic, G. Blair, and Jonathan Sawmiller. “Humanity on the Final Frontier: Challenges in Applying International Humanitarian Law to Modern Military Space Operations.” </w:t>
      </w:r>
      <w:r w:rsidRPr="00E15C80">
        <w:rPr>
          <w:rFonts w:ascii="Helvetica Neue" w:hAnsi="Helvetica Neue"/>
          <w:i/>
          <w:sz w:val="22"/>
        </w:rPr>
        <w:t>International Review of the Red Cross</w:t>
      </w:r>
      <w:r w:rsidRPr="00E15C80">
        <w:rPr>
          <w:rFonts w:ascii="Helvetica Neue" w:hAnsi="Helvetica Neue"/>
          <w:sz w:val="22"/>
        </w:rPr>
        <w:t xml:space="preserve"> 107, no. 928 (2025): 200–237. https://doi.org/10.1017/S1816383124000559.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MITRE ATT&amp;CK. “AcidRain.” Software S1125, version 1.1. Last modified 15 April 2025. https://attack.mitre.org/software/S1125/.</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Paul, Christopher. </w:t>
      </w:r>
      <w:r w:rsidRPr="00E15C80">
        <w:rPr>
          <w:rFonts w:ascii="Helvetica Neue" w:hAnsi="Helvetica Neue"/>
          <w:i/>
          <w:sz w:val="22"/>
        </w:rPr>
        <w:t>Strategic Communication: Origins, Concepts, and Current Debates</w:t>
      </w:r>
      <w:r w:rsidRPr="00E15C80">
        <w:rPr>
          <w:rFonts w:ascii="Helvetica Neue" w:hAnsi="Helvetica Neue"/>
          <w:sz w:val="22"/>
        </w:rPr>
        <w:t>. Santa Barbara, CA: Praeger, 2011.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Rid, Thomas, and Ben Buchanan. “Attributing Cyber Attacks.” </w:t>
      </w:r>
      <w:r w:rsidRPr="00E15C80">
        <w:rPr>
          <w:rFonts w:ascii="Helvetica Neue" w:hAnsi="Helvetica Neue"/>
          <w:i/>
          <w:sz w:val="22"/>
        </w:rPr>
        <w:t>Journal of Strategic Studies</w:t>
      </w:r>
      <w:r w:rsidRPr="00E15C80">
        <w:rPr>
          <w:rFonts w:ascii="Helvetica Neue" w:hAnsi="Helvetica Neue"/>
          <w:sz w:val="22"/>
        </w:rPr>
        <w:t xml:space="preserve"> 38, nos. 1–2 (2015): 4–37. https://doi.org/10.1080/01402390.2014.977382.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United Nations General Assembly. </w:t>
      </w:r>
      <w:r w:rsidRPr="00E15C80">
        <w:rPr>
          <w:rFonts w:ascii="Helvetica Neue" w:hAnsi="Helvetica Neue"/>
          <w:i/>
          <w:sz w:val="22"/>
        </w:rPr>
        <w:t>Report of the Group of Governmental Experts on Further Practical Measures for the Prevention of an Arms Race in Outer Space</w:t>
      </w:r>
      <w:r w:rsidRPr="00E15C80">
        <w:rPr>
          <w:rFonts w:ascii="Helvetica Neue" w:hAnsi="Helvetica Neue"/>
          <w:sz w:val="22"/>
        </w:rPr>
        <w:t>. A/79/364. 20 September 2024.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U.S. Department of Defense. “Sabrina Singh, Deputy Pentagon Press Secretary, Holds a Press Briefing.” Transcript, 14 October 2022. https://www.defense.gov/News/Transcripts/Transcript/Article/3189495/sabrina-singh-deputy-pentagon-press-secretary-holds-a-press-briefing/.</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 </w:t>
      </w:r>
      <w:r w:rsidRPr="00E15C80">
        <w:rPr>
          <w:rFonts w:ascii="Helvetica Neue" w:hAnsi="Helvetica Neue"/>
          <w:i/>
          <w:sz w:val="22"/>
        </w:rPr>
        <w:t>Strategy for Operations in the Information Environment</w:t>
      </w:r>
      <w:r w:rsidRPr="00E15C80">
        <w:rPr>
          <w:rFonts w:ascii="Helvetica Neue" w:hAnsi="Helvetica Neue"/>
          <w:sz w:val="22"/>
        </w:rPr>
        <w:t>. Washington, DC: Department of Defense, 2023.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Viasat, Inc. “KA-SAT Network Cyber Attack Overview.” 30 March 2022. https://www.viasat.com/perspectives/corporate/2022/ka-sat-network-cyber-attack-overview/.</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West, Jessica, and Almudena Azcárate Ortega. </w:t>
      </w:r>
      <w:r w:rsidRPr="00E15C80">
        <w:rPr>
          <w:rFonts w:ascii="Helvetica Neue" w:hAnsi="Helvetica Neue"/>
          <w:i/>
          <w:sz w:val="22"/>
        </w:rPr>
        <w:t>Norms for Outer Space: A Small Step or a Giant Leap for Policymaking?</w:t>
      </w:r>
      <w:r w:rsidRPr="00E15C80">
        <w:rPr>
          <w:rFonts w:ascii="Helvetica Neue" w:hAnsi="Helvetica Neue"/>
          <w:sz w:val="22"/>
        </w:rPr>
        <w:t xml:space="preserve"> Space Dossier 7. Geneva: United Nations Institute for Disarmament Research, 2022. https://doi.org/10.37559/WMD/22/Space/01.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Wiener, Antje. “Contested Compliance: Interventions on the Normative Structure of World Politics.” </w:t>
      </w:r>
      <w:r w:rsidRPr="00E15C80">
        <w:rPr>
          <w:rFonts w:ascii="Helvetica Neue" w:hAnsi="Helvetica Neue"/>
          <w:i/>
          <w:sz w:val="22"/>
        </w:rPr>
        <w:t>European Journal of International Relations</w:t>
      </w:r>
      <w:r w:rsidRPr="00E15C80">
        <w:rPr>
          <w:rFonts w:ascii="Helvetica Neue" w:hAnsi="Helvetica Neue"/>
          <w:sz w:val="22"/>
        </w:rPr>
        <w:t xml:space="preserve"> 10, no. 2 (2004): 189–234. https://doi.org/10.1177/1354066104042934.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Wither, James K. “Making Sense of Hybrid Warfare.” </w:t>
      </w:r>
      <w:r w:rsidRPr="00E15C80">
        <w:rPr>
          <w:rFonts w:ascii="Helvetica Neue" w:hAnsi="Helvetica Neue"/>
          <w:i/>
          <w:sz w:val="22"/>
        </w:rPr>
        <w:t>Connections: The Quarterly Journal</w:t>
      </w:r>
      <w:r w:rsidRPr="00E15C80">
        <w:rPr>
          <w:rFonts w:ascii="Helvetica Neue" w:hAnsi="Helvetica Neue"/>
          <w:sz w:val="22"/>
        </w:rPr>
        <w:t xml:space="preserve"> 15, no. 2 (2016): 73–87. https://doi.org/10.11610/Connections.15.2.06.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Zetter, Kim. “Viasat Hack ‘Did Not’ Have Huge Impact on Ukrainian Military Communications, Official Says.” </w:t>
      </w:r>
      <w:r w:rsidRPr="00E15C80">
        <w:rPr>
          <w:rFonts w:ascii="Helvetica Neue" w:hAnsi="Helvetica Neue"/>
          <w:i/>
          <w:sz w:val="22"/>
        </w:rPr>
        <w:t>Zero Day</w:t>
      </w:r>
      <w:r w:rsidRPr="00E15C80">
        <w:rPr>
          <w:rFonts w:ascii="Helvetica Neue" w:hAnsi="Helvetica Neue"/>
          <w:sz w:val="22"/>
        </w:rPr>
        <w:t>, 26 September 2022. https://www.zetter-zeroday.com/viasat-hack-did-not-have-huge-impact/.</w:t>
      </w:r>
    </w:p>
    <w:sectPr w:rsidR="00C8735E" w:rsidRPr="00E15C80">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7454" w:rsidRDefault="00107454" w:rsidP="004326E1">
      <w:r>
        <w:separator/>
      </w:r>
    </w:p>
  </w:endnote>
  <w:endnote w:type="continuationSeparator" w:id="0">
    <w:p w:rsidR="00107454" w:rsidRDefault="00107454"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7454" w:rsidRDefault="00107454" w:rsidP="004326E1">
      <w:r>
        <w:separator/>
      </w:r>
    </w:p>
  </w:footnote>
  <w:footnote w:type="continuationSeparator" w:id="0">
    <w:p w:rsidR="00107454" w:rsidRDefault="00107454" w:rsidP="004326E1">
      <w:r>
        <w:continuationSeparator/>
      </w:r>
    </w:p>
  </w:footnote>
  <w:footnote w:id="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Konstantin Vorontsov,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Jeff Foust, “Shotwell: Ukraine ‘Weaponized’ Starlink in War against Russia,” </w:t>
      </w:r>
      <w:r w:rsidRPr="00176FBA">
        <w:rPr>
          <w:rFonts w:ascii="Helvetica Neue" w:hAnsi="Helvetica Neue"/>
          <w:i/>
          <w:szCs w:val="18"/>
        </w:rPr>
        <w:t>SpaceNews</w:t>
      </w:r>
      <w:r w:rsidRPr="00176FBA">
        <w:rPr>
          <w:rFonts w:ascii="Helvetica Neue" w:hAnsi="Helvetica Neue"/>
          <w:szCs w:val="18"/>
        </w:rPr>
        <w:t>, 8 February 2023, https://spacenews.com/shotwell-ukraine-weaponized-starlink-in-war-against-russia/.</w:t>
      </w:r>
    </w:p>
  </w:footnote>
  <w:footnote w:id="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G. Blair Kuplic and Jonathan Sawmiller, “Humanity on the Final Frontier: Challenges in Applying International Humanitarian Law to Modern Military Space Operations,” </w:t>
      </w:r>
      <w:r w:rsidRPr="00176FBA">
        <w:rPr>
          <w:rFonts w:ascii="Helvetica Neue" w:hAnsi="Helvetica Neue"/>
          <w:i/>
          <w:szCs w:val="18"/>
        </w:rPr>
        <w:t>International Review of the Red Cross</w:t>
      </w:r>
      <w:r w:rsidRPr="00176FBA">
        <w:rPr>
          <w:rFonts w:ascii="Helvetica Neue" w:hAnsi="Helvetica Neue"/>
          <w:szCs w:val="18"/>
        </w:rPr>
        <w:t xml:space="preserve"> 107, no. 928 (2025): 219, 235–37, https://doi.org/10.1017/S1816383124000559.</w:t>
      </w:r>
    </w:p>
  </w:footnote>
  <w:footnote w:id="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Jessica West and Almudena Azcárate Ortega, </w:t>
      </w:r>
      <w:r w:rsidRPr="00176FBA">
        <w:rPr>
          <w:rFonts w:ascii="Helvetica Neue" w:hAnsi="Helvetica Neue"/>
          <w:i/>
          <w:szCs w:val="18"/>
        </w:rPr>
        <w:t>Norms for Outer Space: A Small Step or a Giant Leap for Policymaking?</w:t>
      </w:r>
      <w:r w:rsidRPr="00176FBA">
        <w:rPr>
          <w:rFonts w:ascii="Helvetica Neue" w:hAnsi="Helvetica Neue"/>
          <w:szCs w:val="18"/>
        </w:rPr>
        <w:t>, Space Dossier 7 (Geneva: United Nations Institute for Disarmament Research, 2022), 26–27, https://doi.org/10.37559/WMD/22/Space/01.</w:t>
      </w:r>
    </w:p>
  </w:footnote>
  <w:footnote w:id="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Congressional Research Service, </w:t>
      </w:r>
      <w:r w:rsidRPr="00176FBA">
        <w:rPr>
          <w:rFonts w:ascii="Helvetica Neue" w:hAnsi="Helvetica Neue"/>
          <w:i/>
          <w:szCs w:val="18"/>
        </w:rPr>
        <w:t>Defense Primer: Operations in the Information Environment</w:t>
      </w:r>
      <w:r w:rsidRPr="00176FBA">
        <w:rPr>
          <w:rFonts w:ascii="Helvetica Neue" w:hAnsi="Helvetica Neue"/>
          <w:szCs w:val="18"/>
        </w:rPr>
        <w:t>, IF10771, updated 29 November 2024, https://www.everycrsreport.com/reports/IF10771.html.</w:t>
      </w:r>
    </w:p>
  </w:footnote>
  <w:footnote w:id="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Defense, </w:t>
      </w:r>
      <w:r w:rsidRPr="00176FBA">
        <w:rPr>
          <w:rFonts w:ascii="Helvetica Neue" w:hAnsi="Helvetica Neue"/>
          <w:i/>
          <w:szCs w:val="18"/>
        </w:rPr>
        <w:t>Strategy for Operations in the Information Environment</w:t>
      </w:r>
      <w:r w:rsidRPr="00176FBA">
        <w:rPr>
          <w:rFonts w:ascii="Helvetica Neue" w:hAnsi="Helvetica Neue"/>
          <w:szCs w:val="18"/>
        </w:rPr>
        <w:t xml:space="preserve"> (Washington, DC: Department of Defense, 2023), 1.</w:t>
      </w:r>
    </w:p>
  </w:footnote>
  <w:footnote w:id="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Joint Chiefs of Staff, </w:t>
      </w:r>
      <w:r w:rsidRPr="005F41FA">
        <w:rPr>
          <w:rFonts w:ascii="Helvetica Neue" w:hAnsi="Helvetica Neue"/>
          <w:i/>
          <w:iCs/>
        </w:rPr>
        <w:t>Joint Publication 3-13: Information Operations</w:t>
      </w:r>
      <w:r w:rsidRPr="00176FBA">
        <w:rPr>
          <w:rFonts w:ascii="Helvetica Neue" w:hAnsi="Helvetica Neue"/>
        </w:rPr>
        <w:t xml:space="preserve"> (Washington, DC: Joint Chiefs of Staff, 27 November 2012, incorporating Change 1, 20 November 2014), I-2–I-3.</w:t>
      </w:r>
    </w:p>
  </w:footnote>
  <w:footnote w:id="1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Joint Concept for Operating in the Information Environment (JCOIE) (Washington, DC: Joint Chiefs of Staff, 25 July 2018), 3–4.</w:t>
      </w:r>
    </w:p>
  </w:footnote>
  <w:footnote w:id="1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K. Wither, “Making Sense of Hybrid Warfare,” </w:t>
      </w:r>
      <w:r w:rsidRPr="00176FBA">
        <w:rPr>
          <w:rFonts w:ascii="Helvetica Neue" w:hAnsi="Helvetica Neue"/>
          <w:i/>
          <w:szCs w:val="18"/>
        </w:rPr>
        <w:t>Connections: The Quarterly Journal</w:t>
      </w:r>
      <w:r w:rsidRPr="00176FBA">
        <w:rPr>
          <w:rFonts w:ascii="Helvetica Neue" w:hAnsi="Helvetica Neue"/>
          <w:szCs w:val="18"/>
        </w:rPr>
        <w:t xml:space="preserve"> 15, no. 2 (2016): 82, https://doi.org/10.11610/Connections.15.2.06.</w:t>
      </w:r>
    </w:p>
  </w:footnote>
  <w:footnote w:id="1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Thomas Rid and Ben Buchanan, “Attributing Cyber Attacks,” </w:t>
      </w:r>
      <w:r w:rsidRPr="00176FBA">
        <w:rPr>
          <w:rFonts w:ascii="Helvetica Neue" w:hAnsi="Helvetica Neue"/>
          <w:i/>
          <w:szCs w:val="18"/>
        </w:rPr>
        <w:t>Journal of Strategic Studies</w:t>
      </w:r>
      <w:r w:rsidRPr="00176FBA">
        <w:rPr>
          <w:rFonts w:ascii="Helvetica Neue" w:hAnsi="Helvetica Neue"/>
          <w:szCs w:val="18"/>
        </w:rPr>
        <w:t xml:space="preserve"> 38, nos. 1–2 (2015): 7, https://doi.org/10.1080/01402390.2014.977382.</w:t>
      </w:r>
    </w:p>
  </w:footnote>
  <w:footnote w:id="1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Christopher Paul, </w:t>
      </w:r>
      <w:r w:rsidRPr="00176FBA">
        <w:rPr>
          <w:rFonts w:ascii="Helvetica Neue" w:hAnsi="Helvetica Neue"/>
          <w:i/>
          <w:szCs w:val="18"/>
        </w:rPr>
        <w:t>Strategic Communication: Origins, Concepts, and Current Debates</w:t>
      </w:r>
      <w:r w:rsidRPr="00176FBA">
        <w:rPr>
          <w:rFonts w:ascii="Helvetica Neue" w:hAnsi="Helvetica Neue"/>
          <w:szCs w:val="18"/>
        </w:rPr>
        <w:t xml:space="preserve"> (Santa Barbara, CA: Praeger, 2011), 119.</w:t>
      </w:r>
    </w:p>
  </w:footnote>
  <w:footnote w:id="1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 Deppe and Gary S. Schaal, “Cognitive Warfare: A Conceptual Analysis of the NATO ACT Cognitive Warfare Exploratory Concept,” </w:t>
      </w:r>
      <w:r w:rsidRPr="00176FBA">
        <w:rPr>
          <w:rFonts w:ascii="Helvetica Neue" w:hAnsi="Helvetica Neue"/>
          <w:i/>
          <w:szCs w:val="18"/>
        </w:rPr>
        <w:t>Frontiers in Big Data</w:t>
      </w:r>
      <w:r w:rsidRPr="00176FBA">
        <w:rPr>
          <w:rFonts w:ascii="Helvetica Neue" w:hAnsi="Helvetica Neue"/>
          <w:szCs w:val="18"/>
        </w:rPr>
        <w:t xml:space="preserve"> 7 (2024): 2, 10, https://doi.org/10.3389/fdata.2024.1452129.</w:t>
      </w:r>
    </w:p>
  </w:footnote>
  <w:footnote w:id="1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Protocol Additional to the Geneva Conventions of 12 August 1949, and Relating to the Protection of Victims of International Armed Conflicts (Protocol I), 8 June 1977, 1125 U.N.T.S. 3, art. 52(2)–(3).</w:t>
      </w:r>
    </w:p>
  </w:footnote>
  <w:footnote w:id="1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Additional Protocol I, arts. 52(3), 57.</w:t>
      </w:r>
    </w:p>
  </w:footnote>
  <w:footnote w:id="1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Svenja Berrang, “Does the Dual-Use of Space Objects Necessitate a New Geneva Convention?,” </w:t>
      </w:r>
      <w:r w:rsidRPr="00176FBA">
        <w:rPr>
          <w:rFonts w:ascii="Helvetica Neue" w:hAnsi="Helvetica Neue"/>
          <w:i/>
          <w:szCs w:val="18"/>
        </w:rPr>
        <w:t>Case Western Reserve Journal of International Law</w:t>
      </w:r>
      <w:r w:rsidRPr="00176FBA">
        <w:rPr>
          <w:rFonts w:ascii="Helvetica Neue" w:hAnsi="Helvetica Neue"/>
          <w:szCs w:val="18"/>
        </w:rPr>
        <w:t xml:space="preserve"> 57 (2025): 315, 341, https://scholarlycommons.law.case.edu/jil/vol57/iss1/22/.</w:t>
      </w:r>
    </w:p>
  </w:footnote>
  <w:footnote w:id="1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Oona A. Hathaway, Azmat Khan, and Mara R. Revkin, “The Dangerous Rise of ‘Dual-Use’ Objects in War,” </w:t>
      </w:r>
      <w:r w:rsidRPr="00176FBA">
        <w:rPr>
          <w:rFonts w:ascii="Helvetica Neue" w:hAnsi="Helvetica Neue"/>
          <w:i/>
          <w:szCs w:val="18"/>
        </w:rPr>
        <w:t>Yale Law Journal</w:t>
      </w:r>
      <w:r w:rsidRPr="00176FBA">
        <w:rPr>
          <w:rFonts w:ascii="Helvetica Neue" w:hAnsi="Helvetica Neue"/>
          <w:szCs w:val="18"/>
        </w:rPr>
        <w:t xml:space="preserve"> 134, no. 8 (2025): 2652–53, https://yalelawjournal.org/article/the-dangerous-rise-of-dual-use-objects-in-war.</w:t>
      </w:r>
    </w:p>
  </w:footnote>
  <w:footnote w:id="1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219.</w:t>
      </w:r>
    </w:p>
  </w:footnote>
  <w:footnote w:id="2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Jack Beard and Dale Stephens, eds., with David Koplow, </w:t>
      </w:r>
      <w:r w:rsidRPr="00176FBA">
        <w:rPr>
          <w:rFonts w:ascii="Helvetica Neue" w:hAnsi="Helvetica Neue"/>
          <w:i/>
          <w:szCs w:val="18"/>
        </w:rPr>
        <w:t>The Woomera Manual on the International Law of Military Space Activities and Operations</w:t>
      </w:r>
      <w:r w:rsidRPr="00176FBA">
        <w:rPr>
          <w:rFonts w:ascii="Helvetica Neue" w:hAnsi="Helvetica Neue"/>
          <w:szCs w:val="18"/>
        </w:rPr>
        <w:t xml:space="preserve"> (Oxford: Oxford University Press, 2024), 320–21, 331–32, https://doi.org/10.1093/law/9780192870667.001.0001.</w:t>
      </w:r>
    </w:p>
  </w:footnote>
  <w:footnote w:id="2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Chen Bi and Yiyang Zhu, “From Objects to Interdependence: How the Law of Armed Conflict Regulates Attacks on Dual-Use Information Infrastructure in Cyber and Information Warfare,” </w:t>
      </w:r>
      <w:r w:rsidRPr="00176FBA">
        <w:rPr>
          <w:rFonts w:ascii="Helvetica Neue" w:hAnsi="Helvetica Neue"/>
          <w:i/>
          <w:szCs w:val="18"/>
        </w:rPr>
        <w:t>Cogent Social Sciences</w:t>
      </w:r>
      <w:r w:rsidRPr="00176FBA">
        <w:rPr>
          <w:rFonts w:ascii="Helvetica Neue" w:hAnsi="Helvetica Neue"/>
          <w:szCs w:val="18"/>
        </w:rPr>
        <w:t xml:space="preserve"> 12, no. 1 (2026): 2719286, 12–13, https://doi.org/10.1080/23311886.2026.2719286.</w:t>
      </w:r>
    </w:p>
  </w:footnote>
  <w:footnote w:id="2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235–37.</w:t>
      </w:r>
    </w:p>
  </w:footnote>
  <w:footnote w:id="2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2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Antje Wiener, “Contested Compliance: Interventions on the Normative Structure of World Politics,” </w:t>
      </w:r>
      <w:r w:rsidRPr="00176FBA">
        <w:rPr>
          <w:rFonts w:ascii="Helvetica Neue" w:hAnsi="Helvetica Neue"/>
          <w:i/>
          <w:szCs w:val="18"/>
        </w:rPr>
        <w:t>European Journal of International Relations</w:t>
      </w:r>
      <w:r w:rsidRPr="00176FBA">
        <w:rPr>
          <w:rFonts w:ascii="Helvetica Neue" w:hAnsi="Helvetica Neue"/>
          <w:szCs w:val="18"/>
        </w:rPr>
        <w:t xml:space="preserve"> 10, no. 2 (2004): 189–92, https://doi.org/10.1177/1354066104042934.</w:t>
      </w:r>
    </w:p>
  </w:footnote>
  <w:footnote w:id="2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D. Fearon, “Rationalist Explanations for War,” </w:t>
      </w:r>
      <w:r w:rsidRPr="00176FBA">
        <w:rPr>
          <w:rFonts w:ascii="Helvetica Neue" w:hAnsi="Helvetica Neue"/>
          <w:i/>
          <w:szCs w:val="18"/>
        </w:rPr>
        <w:t>International Organization</w:t>
      </w:r>
      <w:r w:rsidRPr="00176FBA">
        <w:rPr>
          <w:rFonts w:ascii="Helvetica Neue" w:hAnsi="Helvetica Neue"/>
          <w:szCs w:val="18"/>
        </w:rPr>
        <w:t xml:space="preserve"> 49, no. 3 (1995): 395–97, https://doi.org/10.1017/S0020818300033324.</w:t>
      </w:r>
    </w:p>
  </w:footnote>
  <w:footnote w:id="2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Sean Aday et al., </w:t>
      </w:r>
      <w:r w:rsidRPr="00176FBA">
        <w:rPr>
          <w:rFonts w:ascii="Helvetica Neue" w:hAnsi="Helvetica Neue"/>
          <w:i/>
          <w:szCs w:val="18"/>
        </w:rPr>
        <w:t>Hybrid Threats: A Strategic Communications Perspective</w:t>
      </w:r>
      <w:r w:rsidRPr="00176FBA">
        <w:rPr>
          <w:rFonts w:ascii="Helvetica Neue" w:hAnsi="Helvetica Neue"/>
          <w:szCs w:val="18"/>
        </w:rPr>
        <w:t xml:space="preserve"> (Riga: NATO Strategic Communications Centre of Excellence, 2019), 38, 42.</w:t>
      </w:r>
    </w:p>
  </w:footnote>
  <w:footnote w:id="2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JCOIE, 4.</w:t>
      </w:r>
    </w:p>
  </w:footnote>
  <w:footnote w:id="2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Inc., “KA-SAT Network Cyber Attack Overview,” 30 March 2022, 1–2, https://www.viasat.com/perspectives/corporate/2022/ka-sat-network-cyber-attack-overview/.</w:t>
      </w:r>
    </w:p>
  </w:footnote>
  <w:footnote w:id="2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MITRE ATT&amp;CK, “AcidRain,” Software S1125, version 1.1, last modified 15 April 2025, https://attack.mitre.org/software/S1125/.</w:t>
      </w:r>
    </w:p>
  </w:footnote>
  <w:footnote w:id="3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w:t>
      </w:r>
    </w:p>
  </w:footnote>
  <w:footnote w:id="3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Blinken, “Attribution of Russia’s Malicious Cyber Activity.”</w:t>
      </w:r>
    </w:p>
  </w:footnote>
  <w:footnote w:id="3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Kim Zetter, “Viasat Hack ‘Did Not’ Have Huge Impact on Ukrainian Military Communications, Official Says,” </w:t>
      </w:r>
      <w:r w:rsidRPr="00176FBA">
        <w:rPr>
          <w:rFonts w:ascii="Helvetica Neue" w:hAnsi="Helvetica Neue"/>
          <w:i/>
          <w:szCs w:val="18"/>
        </w:rPr>
        <w:t>Zero Day</w:t>
      </w:r>
      <w:r w:rsidRPr="00176FBA">
        <w:rPr>
          <w:rFonts w:ascii="Helvetica Neue" w:hAnsi="Helvetica Neue"/>
          <w:szCs w:val="18"/>
        </w:rPr>
        <w:t>, 26 September 2022, including update at 3:30 p.m. PST, https://www.zetter-zeroday.com/viasat-hack-did-not-have-huge-impact/.</w:t>
      </w:r>
    </w:p>
  </w:footnote>
  <w:footnote w:id="3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3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Courtney Albon, “SpaceX Forms ‘Starshield’ Business Unit to Focus on National Security,” </w:t>
      </w:r>
      <w:r w:rsidRPr="00176FBA">
        <w:rPr>
          <w:rFonts w:ascii="Helvetica Neue" w:hAnsi="Helvetica Neue"/>
          <w:i/>
          <w:szCs w:val="18"/>
        </w:rPr>
        <w:t>Defense News</w:t>
      </w:r>
      <w:r w:rsidRPr="00176FBA">
        <w:rPr>
          <w:rFonts w:ascii="Helvetica Neue" w:hAnsi="Helvetica Neue"/>
          <w:szCs w:val="18"/>
        </w:rPr>
        <w:t>, 5 December 2022, https://www.defensenews.com/battlefield-tech/space/2022/12/05/spacex-forms-starshield-business-unit-to-focus-on-national-security/.</w:t>
      </w:r>
    </w:p>
  </w:footnote>
  <w:footnote w:id="3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3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Jon Harper, “Pentagon Contracting with SpaceX’s Starlink to Provide Satellite Communication Capabilities for Ukraine,” </w:t>
      </w:r>
      <w:r w:rsidRPr="00176FBA">
        <w:rPr>
          <w:rFonts w:ascii="Helvetica Neue" w:hAnsi="Helvetica Neue"/>
          <w:i/>
          <w:szCs w:val="18"/>
        </w:rPr>
        <w:t>DefenseScoop</w:t>
      </w:r>
      <w:r w:rsidRPr="00176FBA">
        <w:rPr>
          <w:rFonts w:ascii="Helvetica Neue" w:hAnsi="Helvetica Neue"/>
          <w:szCs w:val="18"/>
        </w:rPr>
        <w:t>, 1 June 2023, https://defensescoop.com/2023/06/01/pentagon-contracting-with-spacexs-starlink-to-provide-satellite-communication-capabilities-for-ukraine/.</w:t>
      </w:r>
    </w:p>
  </w:footnote>
  <w:footnote w:id="4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CBS News/AFP, “Elon Musk Says He Denied Ukraine Satellite Request to Avoid Complicity in ‘Major Act of War’ vs. Russia,” </w:t>
      </w:r>
      <w:r w:rsidRPr="00176FBA">
        <w:rPr>
          <w:rFonts w:ascii="Helvetica Neue" w:hAnsi="Helvetica Neue"/>
          <w:i/>
          <w:szCs w:val="18"/>
        </w:rPr>
        <w:t>CBS News</w:t>
      </w:r>
      <w:r w:rsidRPr="00176FBA">
        <w:rPr>
          <w:rFonts w:ascii="Helvetica Neue" w:hAnsi="Helvetica Neue"/>
          <w:szCs w:val="18"/>
        </w:rPr>
        <w:t>, 8 September 2023, https://www.cbsnews.com/news/elon-musk-ukraine-russia-war-starlink-satellite-denied-major-act-of-war/.</w:t>
      </w:r>
    </w:p>
  </w:footnote>
  <w:footnote w:id="4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Rid and Buchanan, “Attributing Cyber Attacks,” 7.</w:t>
      </w:r>
    </w:p>
  </w:footnote>
  <w:footnote w:id="4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w:t>
      </w:r>
    </w:p>
  </w:footnote>
  <w:footnote w:id="4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4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4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4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Beard and Stephens, </w:t>
      </w:r>
      <w:r w:rsidRPr="00176FBA">
        <w:rPr>
          <w:rFonts w:ascii="Helvetica Neue" w:hAnsi="Helvetica Neue"/>
          <w:i/>
          <w:szCs w:val="18"/>
        </w:rPr>
        <w:t>Woomera Manual</w:t>
      </w:r>
      <w:r w:rsidRPr="00176FBA">
        <w:rPr>
          <w:rFonts w:ascii="Helvetica Neue" w:hAnsi="Helvetica Neue"/>
          <w:szCs w:val="18"/>
        </w:rPr>
        <w:t>, 320–21.</w:t>
      </w:r>
    </w:p>
  </w:footnote>
  <w:footnote w:id="4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Wiener, “Contested Compliance,” 189–92.</w:t>
      </w:r>
    </w:p>
  </w:footnote>
  <w:footnote w:id="4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235–37.</w:t>
      </w:r>
    </w:p>
  </w:footnote>
  <w:footnote w:id="5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Almudena Azcárate Ortega and Sarah Erickson, </w:t>
      </w:r>
      <w:r w:rsidRPr="00176FBA">
        <w:rPr>
          <w:rFonts w:ascii="Helvetica Neue" w:hAnsi="Helvetica Neue"/>
          <w:i/>
          <w:szCs w:val="18"/>
        </w:rPr>
        <w:t>OEWG on Reducing Space Threats: Recap Report</w:t>
      </w:r>
      <w:r w:rsidRPr="00176FBA">
        <w:rPr>
          <w:rFonts w:ascii="Helvetica Neue" w:hAnsi="Helvetica Neue"/>
          <w:szCs w:val="18"/>
        </w:rPr>
        <w:t xml:space="preserve"> (Geneva: United Nations Institute for Disarmament Research, 2024), 22, 30–33, 36, https://doi.org/10.37559/WMD/24/Space/01.</w:t>
      </w:r>
    </w:p>
  </w:footnote>
  <w:footnote w:id="5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United Nations General Assembly, </w:t>
      </w:r>
      <w:r w:rsidRPr="00176FBA">
        <w:rPr>
          <w:rFonts w:ascii="Helvetica Neue" w:hAnsi="Helvetica Neue"/>
          <w:i/>
          <w:szCs w:val="18"/>
        </w:rPr>
        <w:t>Report of the Group of Governmental Experts on Further Practical Measures for the Prevention of an Arms Race in Outer Space</w:t>
      </w:r>
      <w:r w:rsidRPr="00176FBA">
        <w:rPr>
          <w:rFonts w:ascii="Helvetica Neue" w:hAnsi="Helvetica Neue"/>
          <w:szCs w:val="18"/>
        </w:rPr>
        <w:t>, A/79/364, 20 September 2024, 2.</w:t>
      </w:r>
    </w:p>
  </w:footnote>
  <w:footnote w:id="5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Fearon, “Rationalist Explanations for War,” 395–97.</w:t>
      </w:r>
    </w:p>
  </w:footnote>
  <w:footnote w:id="5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White House, “Press Gaggle by Press Secretary Karine Jean-Pierre,” 27 October 2022.</w:t>
      </w:r>
    </w:p>
  </w:footnote>
  <w:footnote w:id="5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Paul, </w:t>
      </w:r>
      <w:r w:rsidRPr="00176FBA">
        <w:rPr>
          <w:rFonts w:ascii="Helvetica Neue" w:hAnsi="Helvetica Neue"/>
          <w:i/>
          <w:szCs w:val="18"/>
        </w:rPr>
        <w:t>Strategic Communication</w:t>
      </w:r>
      <w:r w:rsidRPr="00176FBA">
        <w:rPr>
          <w:rFonts w:ascii="Helvetica Neue" w:hAnsi="Helvetica Neue"/>
          <w:szCs w:val="18"/>
        </w:rPr>
        <w:t>, 119.</w:t>
      </w:r>
    </w:p>
  </w:footnote>
  <w:footnote w:id="5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5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5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International Committee of the Red Cross, </w:t>
      </w:r>
      <w:r w:rsidRPr="00176FBA">
        <w:rPr>
          <w:rFonts w:ascii="Helvetica Neue" w:hAnsi="Helvetica Neue"/>
          <w:i/>
          <w:szCs w:val="18"/>
        </w:rPr>
        <w:t>Constraints under International Law on Military Operations in, or in Relation to, Outer Space during Armed Conflicts</w:t>
      </w:r>
      <w:r w:rsidRPr="00176FBA">
        <w:rPr>
          <w:rFonts w:ascii="Helvetica Neue" w:hAnsi="Helvetica Neue"/>
          <w:szCs w:val="18"/>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“KA-SAT Network Cyber Attack Overview,” 1–2.</w:t>
      </w:r>
    </w:p>
  </w:footnote>
  <w:footnote w:id="5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Bi and Zhu, “From Objects to Interdependence,” 12–13.</w:t>
      </w:r>
    </w:p>
  </w:footnote>
  <w:footnote w:id="6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Azcárate Ortega and Erickson, </w:t>
      </w:r>
      <w:r w:rsidRPr="00176FBA">
        <w:rPr>
          <w:rFonts w:ascii="Helvetica Neue" w:hAnsi="Helvetica Neue"/>
          <w:i/>
          <w:szCs w:val="18"/>
        </w:rPr>
        <w:t>OEWG on Reducing Space Threats</w:t>
      </w:r>
      <w:r w:rsidRPr="00176FBA">
        <w:rPr>
          <w:rFonts w:ascii="Helvetica Neue" w:hAnsi="Helvetica Neue"/>
          <w:szCs w:val="18"/>
        </w:rPr>
        <w:t>, 11.</w:t>
      </w:r>
    </w:p>
  </w:footnote>
  <w:footnote w:id="6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62">
    <w:p w:rsidR="00176FBA" w:rsidRPr="00176FBA" w:rsidRDefault="00176FBA" w:rsidP="00176FBA">
      <w:pPr>
        <w:pStyle w:val="FootnoteText"/>
        <w:ind w:firstLine="0"/>
        <w:rPr>
          <w:rFonts w:ascii="Helvetica Neue" w:hAnsi="Helvetica Neue"/>
        </w:rPr>
      </w:pPr>
      <w:r w:rsidRPr="00176FBA">
        <w:rPr>
          <w:rStyle w:val="FootnoteReference"/>
          <w:rFonts w:ascii="Helvetica Neue" w:hAnsi="Helvetica Neue"/>
          <w:sz w:val="28"/>
          <w:szCs w:val="28"/>
        </w:rPr>
        <w:footnoteRef/>
      </w:r>
      <w:r w:rsidRPr="00176FBA">
        <w:rPr>
          <w:rFonts w:ascii="Helvetica Neue" w:hAnsi="Helvetica Neue"/>
        </w:rPr>
        <w:t xml:space="preserve"> Wiener, “Contested Compliance,” 189–92; Fearon, “Rationalist Explanations for War,” 395–97.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8385A"/>
    <w:rsid w:val="000A547C"/>
    <w:rsid w:val="000B6549"/>
    <w:rsid w:val="000E0EA0"/>
    <w:rsid w:val="000F02CB"/>
    <w:rsid w:val="00107454"/>
    <w:rsid w:val="00131271"/>
    <w:rsid w:val="00142FB7"/>
    <w:rsid w:val="001722CA"/>
    <w:rsid w:val="00173549"/>
    <w:rsid w:val="00176FBA"/>
    <w:rsid w:val="001A1716"/>
    <w:rsid w:val="001A7D57"/>
    <w:rsid w:val="001B13D1"/>
    <w:rsid w:val="001C6A45"/>
    <w:rsid w:val="001D2F88"/>
    <w:rsid w:val="001D36EC"/>
    <w:rsid w:val="001D6F25"/>
    <w:rsid w:val="001F377C"/>
    <w:rsid w:val="00203A4E"/>
    <w:rsid w:val="00244E64"/>
    <w:rsid w:val="002A29DB"/>
    <w:rsid w:val="002B616E"/>
    <w:rsid w:val="003266AD"/>
    <w:rsid w:val="003531A4"/>
    <w:rsid w:val="003B18A3"/>
    <w:rsid w:val="003B7C8F"/>
    <w:rsid w:val="004326E1"/>
    <w:rsid w:val="0044741C"/>
    <w:rsid w:val="00493B4B"/>
    <w:rsid w:val="00494C04"/>
    <w:rsid w:val="004F29F0"/>
    <w:rsid w:val="00525416"/>
    <w:rsid w:val="00530F08"/>
    <w:rsid w:val="00551825"/>
    <w:rsid w:val="005778DC"/>
    <w:rsid w:val="0058256A"/>
    <w:rsid w:val="00593F9B"/>
    <w:rsid w:val="005B20B1"/>
    <w:rsid w:val="005D36AC"/>
    <w:rsid w:val="005D6BFC"/>
    <w:rsid w:val="005F41FA"/>
    <w:rsid w:val="00637D67"/>
    <w:rsid w:val="00664BE6"/>
    <w:rsid w:val="006751A4"/>
    <w:rsid w:val="0068535C"/>
    <w:rsid w:val="006C67BE"/>
    <w:rsid w:val="006E194F"/>
    <w:rsid w:val="0072458F"/>
    <w:rsid w:val="0073286F"/>
    <w:rsid w:val="00773251"/>
    <w:rsid w:val="007B03AD"/>
    <w:rsid w:val="007B74A6"/>
    <w:rsid w:val="007D0AAD"/>
    <w:rsid w:val="007F112A"/>
    <w:rsid w:val="008010F3"/>
    <w:rsid w:val="00825C61"/>
    <w:rsid w:val="00861563"/>
    <w:rsid w:val="008C3B2F"/>
    <w:rsid w:val="00905DD0"/>
    <w:rsid w:val="00907E99"/>
    <w:rsid w:val="00915AFC"/>
    <w:rsid w:val="0092093D"/>
    <w:rsid w:val="00946072"/>
    <w:rsid w:val="00946A51"/>
    <w:rsid w:val="00965EB2"/>
    <w:rsid w:val="00980C8D"/>
    <w:rsid w:val="009C637D"/>
    <w:rsid w:val="00A453FE"/>
    <w:rsid w:val="00A61CFE"/>
    <w:rsid w:val="00A63CDA"/>
    <w:rsid w:val="00A7419C"/>
    <w:rsid w:val="00AA4221"/>
    <w:rsid w:val="00AF7CF7"/>
    <w:rsid w:val="00B1238A"/>
    <w:rsid w:val="00B62869"/>
    <w:rsid w:val="00B76AE8"/>
    <w:rsid w:val="00C0086C"/>
    <w:rsid w:val="00C85398"/>
    <w:rsid w:val="00C8735E"/>
    <w:rsid w:val="00C92A50"/>
    <w:rsid w:val="00C94FFF"/>
    <w:rsid w:val="00CA6086"/>
    <w:rsid w:val="00CC0F65"/>
    <w:rsid w:val="00CC346E"/>
    <w:rsid w:val="00CF0620"/>
    <w:rsid w:val="00CF6C22"/>
    <w:rsid w:val="00E1429E"/>
    <w:rsid w:val="00E15C80"/>
    <w:rsid w:val="00E5626E"/>
    <w:rsid w:val="00EA74B1"/>
    <w:rsid w:val="00EB0237"/>
    <w:rsid w:val="00EB2FD6"/>
    <w:rsid w:val="00EC5D6B"/>
    <w:rsid w:val="00F256DD"/>
    <w:rsid w:val="00F5776A"/>
    <w:rsid w:val="00F927F1"/>
    <w:rsid w:val="00FA6D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68F97D"/>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78017652">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367805069">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866911682">
      <w:bodyDiv w:val="1"/>
      <w:marLeft w:val="0"/>
      <w:marRight w:val="0"/>
      <w:marTop w:val="0"/>
      <w:marBottom w:val="0"/>
      <w:divBdr>
        <w:top w:val="none" w:sz="0" w:space="0" w:color="auto"/>
        <w:left w:val="none" w:sz="0" w:space="0" w:color="auto"/>
        <w:bottom w:val="none" w:sz="0" w:space="0" w:color="auto"/>
        <w:right w:val="none" w:sz="0" w:space="0" w:color="auto"/>
      </w:divBdr>
      <w:divsChild>
        <w:div w:id="2021812960">
          <w:marLeft w:val="0"/>
          <w:marRight w:val="0"/>
          <w:marTop w:val="0"/>
          <w:marBottom w:val="0"/>
          <w:divBdr>
            <w:top w:val="none" w:sz="0" w:space="0" w:color="auto"/>
            <w:left w:val="none" w:sz="0" w:space="0" w:color="auto"/>
            <w:bottom w:val="none" w:sz="0" w:space="0" w:color="auto"/>
            <w:right w:val="none" w:sz="0" w:space="0" w:color="auto"/>
          </w:divBdr>
          <w:divsChild>
            <w:div w:id="1693724919">
              <w:marLeft w:val="0"/>
              <w:marRight w:val="0"/>
              <w:marTop w:val="0"/>
              <w:marBottom w:val="0"/>
              <w:divBdr>
                <w:top w:val="none" w:sz="0" w:space="0" w:color="auto"/>
                <w:left w:val="none" w:sz="0" w:space="0" w:color="auto"/>
                <w:bottom w:val="none" w:sz="0" w:space="0" w:color="auto"/>
                <w:right w:val="none" w:sz="0" w:space="0" w:color="auto"/>
              </w:divBdr>
              <w:divsChild>
                <w:div w:id="18847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5266</Words>
  <Characters>30022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17</cp:revision>
  <cp:lastPrinted>2026-10-16T00:44:00Z</cp:lastPrinted>
  <dcterms:created xsi:type="dcterms:W3CDTF">2026-10-16T01:51:00Z</dcterms:created>
  <dcterms:modified xsi:type="dcterms:W3CDTF">2026-10-16T02:06:00Z</dcterms:modified>
  <cp:category/>
</cp:coreProperties>
</file>