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8735E" w:rsidRPr="00D70EA9" w:rsidRDefault="00000000">
      <w:pPr>
        <w:spacing w:after="280"/>
        <w:jc w:val="center"/>
        <w:rPr>
          <w:rFonts w:ascii="Helvetica Neue" w:hAnsi="Helvetica Neue"/>
        </w:rPr>
      </w:pPr>
      <w:r w:rsidRPr="00D70EA9">
        <w:rPr>
          <w:rFonts w:ascii="Helvetica Neue" w:hAnsi="Helvetica Neue"/>
          <w:b/>
          <w:sz w:val="28"/>
        </w:rPr>
        <w:t>Clarity Without Convergence: Commercial SATCOM and the Information Contest over Participation in the Russia–Ukraine War</w:t>
      </w:r>
    </w:p>
    <w:p w:rsidR="00AA4221" w:rsidRPr="00D70EA9" w:rsidRDefault="00773251" w:rsidP="00AA4221">
      <w:pPr>
        <w:spacing w:after="60"/>
        <w:jc w:val="center"/>
        <w:rPr>
          <w:rFonts w:ascii="Helvetica Neue" w:hAnsi="Helvetica Neue"/>
        </w:rPr>
      </w:pPr>
      <w:r w:rsidRPr="00D70EA9">
        <w:rPr>
          <w:rFonts w:ascii="Helvetica Neue" w:hAnsi="Helvetica Neue"/>
        </w:rPr>
        <w:t>Santiago Verace - z5223432</w:t>
      </w:r>
    </w:p>
    <w:p w:rsidR="00AA4221" w:rsidRPr="00D70EA9" w:rsidRDefault="00773251" w:rsidP="00AA4221">
      <w:pPr>
        <w:spacing w:after="60"/>
        <w:jc w:val="center"/>
        <w:rPr>
          <w:rFonts w:ascii="Helvetica Neue" w:hAnsi="Helvetica Neue"/>
        </w:rPr>
      </w:pPr>
      <w:r w:rsidRPr="00D70EA9">
        <w:rPr>
          <w:rFonts w:ascii="Helvetica Neue" w:hAnsi="Helvetica Neue"/>
        </w:rPr>
        <w:t>s.verace@student.unsw.edu.au</w:t>
      </w:r>
    </w:p>
    <w:p w:rsidR="00AA4221" w:rsidRPr="00D70EA9" w:rsidRDefault="00773251" w:rsidP="00AA4221">
      <w:pPr>
        <w:spacing w:after="60"/>
        <w:jc w:val="center"/>
        <w:rPr>
          <w:rFonts w:ascii="Helvetica Neue" w:hAnsi="Helvetica Neue"/>
        </w:rPr>
      </w:pPr>
      <w:r w:rsidRPr="00D70EA9">
        <w:rPr>
          <w:rFonts w:ascii="Helvetica Neue" w:hAnsi="Helvetica Neue"/>
        </w:rPr>
        <w:t>ADFA / University of New South Wales – ZEIT8115 S2_2026</w:t>
      </w:r>
    </w:p>
    <w:p w:rsidR="00C8735E" w:rsidRPr="00D70EA9" w:rsidRDefault="001A1716">
      <w:pPr>
        <w:spacing w:after="60"/>
        <w:jc w:val="center"/>
        <w:rPr>
          <w:rFonts w:ascii="Helvetica Neue" w:hAnsi="Helvetica Neue"/>
        </w:rPr>
      </w:pPr>
      <w:r w:rsidRPr="00D70EA9">
        <w:rPr>
          <w:rFonts w:ascii="Helvetica Neue" w:hAnsi="Helvetica Neue"/>
          <w:sz w:val="22"/>
        </w:rPr>
        <w:t>1</w:t>
      </w:r>
      <w:r w:rsidR="002C7EFD" w:rsidRPr="00D70EA9">
        <w:rPr>
          <w:rFonts w:ascii="Helvetica Neue" w:hAnsi="Helvetica Neue"/>
          <w:sz w:val="22"/>
        </w:rPr>
        <w:t>6</w:t>
      </w:r>
      <w:r w:rsidRPr="00D70EA9">
        <w:rPr>
          <w:rFonts w:ascii="Helvetica Neue" w:hAnsi="Helvetica Neue"/>
          <w:sz w:val="22"/>
        </w:rPr>
        <w:t xml:space="preserve"> October 2026</w:t>
      </w:r>
    </w:p>
    <w:p w:rsidR="00C8735E" w:rsidRPr="00D70EA9" w:rsidRDefault="00000000">
      <w:pPr>
        <w:spacing w:after="60"/>
        <w:jc w:val="center"/>
        <w:rPr>
          <w:rFonts w:ascii="Helvetica Neue" w:hAnsi="Helvetica Neue"/>
        </w:rPr>
      </w:pPr>
      <w:r w:rsidRPr="00D70EA9">
        <w:rPr>
          <w:rFonts w:ascii="Helvetica Neue" w:hAnsi="Helvetica Neue"/>
        </w:rPr>
        <w:t>Word count (body, excluding abstract, footnotes and bibliography): 3852</w:t>
      </w:r>
    </w:p>
    <w:p w:rsidR="00C8735E" w:rsidRPr="00D70EA9" w:rsidRDefault="00C8735E">
      <w:pPr>
        <w:rPr>
          <w:rFonts w:ascii="Helvetica Neue" w:hAnsi="Helvetica Neue"/>
        </w:rPr>
      </w:pPr>
    </w:p>
    <w:p w:rsidR="00C8735E" w:rsidRPr="00D70EA9" w:rsidRDefault="00000000">
      <w:pPr>
        <w:pStyle w:val="Heading1"/>
        <w:rPr>
          <w:rFonts w:ascii="Helvetica Neue" w:hAnsi="Helvetica Neue"/>
        </w:rPr>
      </w:pPr>
      <w:r w:rsidRPr="00D70EA9">
        <w:rPr>
          <w:rFonts w:ascii="Helvetica Neue" w:hAnsi="Helvetica Neue"/>
        </w:rPr>
        <w:t>Abstract</w:t>
      </w:r>
    </w:p>
    <w:p w:rsidR="00CC346E" w:rsidRPr="00D70EA9" w:rsidRDefault="00CC346E" w:rsidP="00CC346E">
      <w:pPr>
        <w:pStyle w:val="NormalWeb"/>
        <w:spacing w:line="360" w:lineRule="auto"/>
        <w:rPr>
          <w:rFonts w:ascii="Helvetica Neue" w:hAnsi="Helvetica Neue"/>
        </w:rPr>
      </w:pPr>
      <w:r w:rsidRPr="00D70EA9">
        <w:rPr>
          <w:rFonts w:ascii="Helvetica Neue" w:hAnsi="Helvetica Neue"/>
        </w:rPr>
        <w:t xml:space="preserve">Commercial SATCOM created two different problems in Ukraine, and they were often discussed as though they were one. KA-SAT raised a technical and legal problem about what part of a commercial system was actually being used, affected or potentially targetable. </w:t>
      </w:r>
      <w:proofErr w:type="spellStart"/>
      <w:r w:rsidRPr="00D70EA9">
        <w:rPr>
          <w:rFonts w:ascii="Helvetica Neue" w:hAnsi="Helvetica Neue"/>
        </w:rPr>
        <w:t>Starlink</w:t>
      </w:r>
      <w:proofErr w:type="spellEnd"/>
      <w:r w:rsidRPr="00D70EA9">
        <w:rPr>
          <w:rFonts w:ascii="Helvetica Neue" w:hAnsi="Helvetica Neue"/>
        </w:rPr>
        <w:t xml:space="preserve"> raised another problem because Ukrainian forces could depend on a service whose coverage and permitted uses remained under private control. Public statements did not settle either issue. Russia called Western military use of commercial space infrastructure “indirect participation in military conflicts”, while SpaceX later described a boundary of its own between military communications and offensive use. Those were not competing answers to the same question.</w:t>
      </w:r>
    </w:p>
    <w:p w:rsidR="00CC346E" w:rsidRPr="00D70EA9" w:rsidRDefault="00CC346E" w:rsidP="00CC346E">
      <w:pPr>
        <w:pStyle w:val="NormalWeb"/>
        <w:spacing w:line="360" w:lineRule="auto"/>
        <w:rPr>
          <w:rFonts w:ascii="Helvetica Neue" w:hAnsi="Helvetica Neue"/>
        </w:rPr>
      </w:pPr>
      <w:r w:rsidRPr="00D70EA9">
        <w:rPr>
          <w:rFonts w:ascii="Helvetica Neue" w:hAnsi="Helvetica Neue"/>
        </w:rPr>
        <w:t>What changed over time was how much of the disagreement could be seen. Article 52 still required an object-specific assessment, regardless of the broader labels being used around commercial participation. Wiener helps with one part of the problem because participation could acquire meaning through practice without acquiring one settled meaning. Fearon points to another limit: some information and incentives remain private even when actors state their positions publicly. The case therefore does not show transparency producing convergence. It shows a disagreement becoming easier to identify.</w:t>
      </w:r>
    </w:p>
    <w:p w:rsidR="00C8735E" w:rsidRPr="00D70EA9" w:rsidRDefault="00C8735E" w:rsidP="005B20B1">
      <w:pPr>
        <w:rPr>
          <w:rFonts w:ascii="Helvetica Neue" w:hAnsi="Helvetica Neue"/>
        </w:rPr>
      </w:pPr>
    </w:p>
    <w:p w:rsidR="00C8735E" w:rsidRPr="00D70EA9" w:rsidRDefault="00000000">
      <w:pPr>
        <w:pStyle w:val="Heading1"/>
        <w:rPr>
          <w:rFonts w:ascii="Helvetica Neue" w:hAnsi="Helvetica Neue"/>
        </w:rPr>
      </w:pPr>
      <w:r w:rsidRPr="00D70EA9">
        <w:rPr>
          <w:rFonts w:ascii="Helvetica Neue" w:hAnsi="Helvetica Neue"/>
        </w:rPr>
        <w:lastRenderedPageBreak/>
        <w:t>Introduction</w:t>
      </w:r>
    </w:p>
    <w:p w:rsidR="00C8735E" w:rsidRPr="00D70EA9" w:rsidRDefault="00AF7CF7">
      <w:pPr>
        <w:rPr>
          <w:rFonts w:ascii="Helvetica Neue" w:hAnsi="Helvetica Neue"/>
        </w:rPr>
      </w:pPr>
      <w:r w:rsidRPr="00D70EA9">
        <w:rPr>
          <w:rFonts w:ascii="Helvetica Neue" w:hAnsi="Helvetica Neue"/>
        </w:rPr>
        <w:t xml:space="preserve">Commercial SATCOM was already part of the war in its first weeks. On 24 February 2022, a cyber operation disrupted </w:t>
      </w:r>
      <w:proofErr w:type="spellStart"/>
      <w:r w:rsidRPr="00D70EA9">
        <w:rPr>
          <w:rFonts w:ascii="Helvetica Neue" w:hAnsi="Helvetica Neue"/>
        </w:rPr>
        <w:t>Viasat’s</w:t>
      </w:r>
      <w:proofErr w:type="spellEnd"/>
      <w:r w:rsidRPr="00D70EA9">
        <w:rPr>
          <w:rFonts w:ascii="Helvetica Neue" w:hAnsi="Helvetica Neue"/>
        </w:rPr>
        <w:t xml:space="preserve"> KA-SAT network. The United Kingdom later attributed the operation to Russia and assessed that the Ukrainian military was believed to have been the primary target.</w:t>
      </w:r>
      <w:r w:rsidRPr="00D70EA9">
        <w:rPr>
          <w:rFonts w:ascii="Helvetica Neue" w:hAnsi="Helvetica Neue"/>
          <w:sz w:val="16"/>
          <w:szCs w:val="16"/>
        </w:rPr>
        <w:footnoteReference w:id="1"/>
      </w:r>
      <w:r w:rsidRPr="00D70EA9">
        <w:rPr>
          <w:rFonts w:ascii="Helvetica Neue" w:hAnsi="Helvetica Neue"/>
        </w:rPr>
        <w:t xml:space="preserve"> The United States described the same event in more operational terms, saying the attack was intended to disrupt Ukrainian command and control.</w:t>
      </w:r>
      <w:r w:rsidRPr="00D70EA9">
        <w:rPr>
          <w:rFonts w:ascii="Helvetica Neue" w:hAnsi="Helvetica Neue"/>
          <w:sz w:val="16"/>
          <w:szCs w:val="16"/>
        </w:rPr>
        <w:footnoteReference w:id="2"/>
      </w:r>
      <w:r w:rsidRPr="00D70EA9">
        <w:rPr>
          <w:rFonts w:ascii="Helvetica Neue" w:hAnsi="Helvetica Neue"/>
        </w:rPr>
        <w:t xml:space="preserve"> By October, however, the argument had moved beyond who carried out the attack. </w:t>
      </w:r>
      <w:proofErr w:type="spellStart"/>
      <w:r w:rsidRPr="00D70EA9">
        <w:rPr>
          <w:rFonts w:ascii="Helvetica Neue" w:hAnsi="Helvetica Neue"/>
        </w:rPr>
        <w:t>Vorontsov</w:t>
      </w:r>
      <w:proofErr w:type="spellEnd"/>
      <w:r w:rsidRPr="00D70EA9">
        <w:rPr>
          <w:rFonts w:ascii="Helvetica Neue" w:hAnsi="Helvetica Neue"/>
        </w:rPr>
        <w:t xml:space="preserve"> used the UN First Committee to describe Western military use of civilian and commercial space infrastructure as “indirect participation in military conflicts” and warned that “Quasi-civilian infrastructure may become a legitimate target for retaliation.”</w:t>
      </w:r>
      <w:r w:rsidRPr="00D70EA9">
        <w:rPr>
          <w:rFonts w:ascii="Helvetica Neue" w:hAnsi="Helvetica Neue"/>
          <w:sz w:val="16"/>
          <w:szCs w:val="16"/>
        </w:rPr>
        <w:footnoteReference w:id="3"/>
      </w:r>
      <w:r w:rsidRPr="00D70EA9">
        <w:rPr>
          <w:rFonts w:ascii="Helvetica Neue" w:hAnsi="Helvetica Neue"/>
        </w:rPr>
        <w:t xml:space="preserve"> SpaceX put a different boundary into the public record in February 2023.</w:t>
      </w:r>
      <w:r w:rsidRPr="00B13B3E">
        <w:rPr>
          <w:rFonts w:ascii="Helvetica Neue" w:hAnsi="Helvetica Neue"/>
        </w:rPr>
        <w:t xml:space="preserve"> </w:t>
      </w:r>
      <w:r w:rsidR="00B13B3E" w:rsidRPr="00B13B3E">
        <w:rPr>
          <w:rFonts w:ascii="Helvetica Neue" w:hAnsi="Helvetica Neue"/>
        </w:rPr>
        <w:t xml:space="preserve">Military communications over </w:t>
      </w:r>
      <w:proofErr w:type="spellStart"/>
      <w:r w:rsidR="00B13B3E" w:rsidRPr="00B13B3E">
        <w:rPr>
          <w:rFonts w:ascii="Helvetica Neue" w:hAnsi="Helvetica Neue"/>
        </w:rPr>
        <w:t>Starlink</w:t>
      </w:r>
      <w:proofErr w:type="spellEnd"/>
      <w:r w:rsidR="00B13B3E" w:rsidRPr="00B13B3E">
        <w:rPr>
          <w:rFonts w:ascii="Helvetica Neue" w:hAnsi="Helvetica Neue"/>
        </w:rPr>
        <w:t xml:space="preserve"> were acceptable, but offensive use was not, Shotwell said; SpaceX had taken steps to limit that use.</w:t>
      </w:r>
      <w:r w:rsidRPr="00B13B3E">
        <w:rPr>
          <w:rFonts w:ascii="Helvetica Neue" w:hAnsi="Helvetica Neue"/>
          <w:sz w:val="16"/>
          <w:szCs w:val="16"/>
        </w:rPr>
        <w:footnoteReference w:id="4"/>
      </w:r>
    </w:p>
    <w:p w:rsidR="00E1429E" w:rsidRPr="00D70EA9" w:rsidRDefault="00000000" w:rsidP="00E1429E">
      <w:pPr>
        <w:rPr>
          <w:rFonts w:ascii="Helvetica Neue" w:hAnsi="Helvetica Neue"/>
        </w:rPr>
      </w:pPr>
      <w:r w:rsidRPr="00D70EA9">
        <w:rPr>
          <w:rFonts w:ascii="Helvetica Neue" w:hAnsi="Helvetica Neue"/>
        </w:rPr>
        <w:t>Authority over the service never sat neatly with the actor using it. A military could depend on the network without owning it, and SpaceX could still decide where coverage existed or which uses fell outside its agreement. States, meanwhile, could attach consequences to the same relationship that neither provider nor user accepted. The question examined here is: How did competing public articulations by states and commercial providers shape the information contest over commercial SATCOM in the Russia–Ukraine war, and what does this reveal about the capacity of transparency to reduce interpretive ambiguity?</w:t>
      </w:r>
    </w:p>
    <w:p w:rsidR="00E1429E" w:rsidRPr="00D70EA9" w:rsidRDefault="00AF7CF7" w:rsidP="00E1429E">
      <w:pPr>
        <w:rPr>
          <w:rFonts w:ascii="Helvetica Neue" w:hAnsi="Helvetica Neue"/>
        </w:rPr>
      </w:pPr>
      <w:proofErr w:type="spellStart"/>
      <w:r w:rsidRPr="00D70EA9">
        <w:rPr>
          <w:rFonts w:ascii="Helvetica Neue" w:hAnsi="Helvetica Neue"/>
        </w:rPr>
        <w:t>Starlink</w:t>
      </w:r>
      <w:proofErr w:type="spellEnd"/>
      <w:r w:rsidRPr="00D70EA9">
        <w:rPr>
          <w:rFonts w:ascii="Helvetica Neue" w:hAnsi="Helvetica Neue"/>
        </w:rPr>
        <w:t xml:space="preserve"> makes the disagreement visible before the literature is brought in. SpaceX could decide that some military uses of the service were acceptable and others were not. Russia could look at the same military reliance on commercial </w:t>
      </w:r>
      <w:r w:rsidRPr="00D70EA9">
        <w:rPr>
          <w:rFonts w:ascii="Helvetica Neue" w:hAnsi="Helvetica Neue"/>
        </w:rPr>
        <w:lastRenderedPageBreak/>
        <w:t>infrastructure and describe it as participation. Both positions could be made public without answering the question in the same way.</w:t>
      </w:r>
    </w:p>
    <w:p w:rsidR="00C8735E" w:rsidRPr="00D70EA9" w:rsidRDefault="00AF7CF7" w:rsidP="00E1429E">
      <w:pPr>
        <w:rPr>
          <w:rFonts w:ascii="Helvetica Neue" w:hAnsi="Helvetica Neue"/>
        </w:rPr>
      </w:pPr>
      <w:proofErr w:type="spellStart"/>
      <w:r w:rsidRPr="00D70EA9">
        <w:rPr>
          <w:rFonts w:ascii="Helvetica Neue" w:hAnsi="Helvetica Neue"/>
        </w:rPr>
        <w:t>Kuplic</w:t>
      </w:r>
      <w:proofErr w:type="spellEnd"/>
      <w:r w:rsidRPr="00D70EA9">
        <w:rPr>
          <w:rFonts w:ascii="Helvetica Neue" w:hAnsi="Helvetica Neue"/>
        </w:rPr>
        <w:t xml:space="preserve"> and Sawmiller approach one part of this problem through targeting law and </w:t>
      </w:r>
      <w:proofErr w:type="spellStart"/>
      <w:r w:rsidRPr="00D70EA9">
        <w:rPr>
          <w:rFonts w:ascii="Helvetica Neue" w:hAnsi="Helvetica Neue"/>
        </w:rPr>
        <w:t>Viasat</w:t>
      </w:r>
      <w:proofErr w:type="spellEnd"/>
      <w:r w:rsidRPr="00D70EA9">
        <w:rPr>
          <w:rFonts w:ascii="Helvetica Neue" w:hAnsi="Helvetica Neue"/>
        </w:rPr>
        <w:t xml:space="preserve">. </w:t>
      </w:r>
      <w:r w:rsidR="00B13B3E" w:rsidRPr="00B13B3E">
        <w:rPr>
          <w:rFonts w:ascii="Helvetica Neue" w:hAnsi="Helvetica Neue"/>
        </w:rPr>
        <w:t>They use present military “use” to show how a commercial object can become part of military-objective analysis, but the argument is not limited to the object itself.</w:t>
      </w:r>
      <w:r w:rsidRPr="00D70EA9">
        <w:rPr>
          <w:rFonts w:ascii="Helvetica Neue" w:hAnsi="Helvetica Neue"/>
        </w:rPr>
        <w:t xml:space="preserve"> Published policy, state practice and dialogue can also give other states evidence of how existing legal obligations are being interpreted</w:t>
      </w:r>
      <w:r w:rsidR="000A547C" w:rsidRPr="00D70EA9">
        <w:rPr>
          <w:rFonts w:ascii="Helvetica Neue" w:hAnsi="Helvetica Neue"/>
        </w:rPr>
        <w:t>.</w:t>
      </w:r>
      <w:r w:rsidRPr="00D70EA9">
        <w:rPr>
          <w:rFonts w:ascii="Helvetica Neue" w:hAnsi="Helvetica Neue"/>
          <w:sz w:val="16"/>
          <w:szCs w:val="16"/>
        </w:rPr>
        <w:footnoteReference w:id="5"/>
      </w:r>
      <w:r w:rsidRPr="00D70EA9">
        <w:rPr>
          <w:rFonts w:ascii="Helvetica Neue" w:hAnsi="Helvetica Neue"/>
        </w:rPr>
        <w:t xml:space="preserve"> That does not require every operational threshold to be disclosed. Enough practice has to be visible for other actors to see how the law is being understood and applied. West and </w:t>
      </w:r>
      <w:proofErr w:type="spellStart"/>
      <w:r w:rsidRPr="00D70EA9">
        <w:rPr>
          <w:rFonts w:ascii="Helvetica Neue" w:hAnsi="Helvetica Neue"/>
        </w:rPr>
        <w:t>Azcárate</w:t>
      </w:r>
      <w:proofErr w:type="spellEnd"/>
      <w:r w:rsidRPr="00D70EA9">
        <w:rPr>
          <w:rFonts w:ascii="Helvetica Neue" w:hAnsi="Helvetica Neue"/>
        </w:rPr>
        <w:t xml:space="preserve"> Ortega place a limit on what publication can achieve. Norms still depend on acceptance and implementation, and on there being enough trust for common understandings to develop. Where those conditions are weak, making a position public can expose the disagreement without resolving it.</w:t>
      </w:r>
      <w:r w:rsidRPr="00D70EA9">
        <w:rPr>
          <w:rFonts w:ascii="Helvetica Neue" w:hAnsi="Helvetica Neue"/>
          <w:sz w:val="16"/>
          <w:szCs w:val="16"/>
        </w:rPr>
        <w:footnoteReference w:id="6"/>
      </w:r>
    </w:p>
    <w:p w:rsidR="00C8735E" w:rsidRPr="00D70EA9" w:rsidRDefault="00AF7CF7" w:rsidP="00AF7CF7">
      <w:pPr>
        <w:rPr>
          <w:rFonts w:ascii="Helvetica Neue" w:hAnsi="Helvetica Neue"/>
        </w:rPr>
      </w:pPr>
      <w:proofErr w:type="spellStart"/>
      <w:r w:rsidRPr="00D70EA9">
        <w:rPr>
          <w:rFonts w:ascii="Helvetica Neue" w:hAnsi="Helvetica Neue"/>
        </w:rPr>
        <w:t>Starlink</w:t>
      </w:r>
      <w:proofErr w:type="spellEnd"/>
      <w:r w:rsidRPr="00D70EA9">
        <w:rPr>
          <w:rFonts w:ascii="Helvetica Neue" w:hAnsi="Helvetica Neue"/>
        </w:rPr>
        <w:t xml:space="preserve"> sat in exactly that problem: the competing boundaries became visible, but there was still no agreed point at which commercial support became participation</w:t>
      </w:r>
      <w:r w:rsidR="007D0AAD" w:rsidRPr="00D70EA9">
        <w:rPr>
          <w:rFonts w:ascii="Helvetica Neue" w:hAnsi="Helvetica Neue"/>
        </w:rPr>
        <w:t>.</w:t>
      </w:r>
    </w:p>
    <w:p w:rsidR="00C8735E" w:rsidRPr="00D70EA9" w:rsidRDefault="00000000">
      <w:pPr>
        <w:pStyle w:val="Heading1"/>
        <w:rPr>
          <w:rFonts w:ascii="Helvetica Neue" w:hAnsi="Helvetica Neue"/>
        </w:rPr>
      </w:pPr>
      <w:r w:rsidRPr="00D70EA9">
        <w:rPr>
          <w:rFonts w:ascii="Helvetica Neue" w:hAnsi="Helvetica Neue"/>
        </w:rPr>
        <w:t>Commercial SATCOM in the Information Environment</w:t>
      </w:r>
    </w:p>
    <w:p w:rsidR="00D35557" w:rsidRPr="00D70EA9" w:rsidRDefault="00000000">
      <w:pPr>
        <w:rPr>
          <w:rFonts w:ascii="Helvetica Neue" w:hAnsi="Helvetica Neue"/>
        </w:rPr>
      </w:pPr>
      <w:r w:rsidRPr="00D70EA9">
        <w:rPr>
          <w:rFonts w:ascii="Helvetica Neue" w:hAnsi="Helvetica Neue"/>
        </w:rPr>
        <w:t>The doctrinal terminology changed as well. JP 3-04 replaced JP 3-13, and with the older publication went the language of Information Operations and information-related capabilities.</w:t>
      </w:r>
      <w:r w:rsidRPr="00D70EA9">
        <w:rPr>
          <w:rStyle w:val="FootnoteReference"/>
          <w:rFonts w:ascii="Helvetica Neue" w:hAnsi="Helvetica Neue"/>
        </w:rPr>
        <w:footnoteReference w:id="7"/>
      </w:r>
      <w:r w:rsidRPr="00D70EA9">
        <w:rPr>
          <w:rFonts w:ascii="Helvetica Neue" w:hAnsi="Helvetica Neue"/>
        </w:rPr>
        <w:t xml:space="preserve"> The change matters here because current US doctrine does not treat a commercial communications network simply as technical background. It sits inside a wider information environment in which systems, organisations and people all affect how information is collected, interpreted and acted upon. The 2023 Department of Defense Strategy for Operations in the Information Environment defines the information environment as “the aggregate of social, cultural, linguistic, psychological, technical, and physical factors that affect how humans and automated systems derive meaning from, act upon, and are impacted by information, including the individuals, organizations, and systems that collect, process, disseminate, or use </w:t>
      </w:r>
      <w:r w:rsidRPr="00D70EA9">
        <w:rPr>
          <w:rFonts w:ascii="Helvetica Neue" w:hAnsi="Helvetica Neue"/>
        </w:rPr>
        <w:lastRenderedPageBreak/>
        <w:t>information.”</w:t>
      </w:r>
      <w:r w:rsidRPr="00D70EA9">
        <w:rPr>
          <w:rStyle w:val="FootnoteReference"/>
          <w:rFonts w:ascii="Helvetica Neue" w:hAnsi="Helvetica Neue"/>
        </w:rPr>
        <w:footnoteReference w:id="8"/>
      </w:r>
      <w:r w:rsidRPr="00D70EA9">
        <w:rPr>
          <w:rFonts w:ascii="Helvetica Neue" w:hAnsi="Helvetica Neue"/>
        </w:rPr>
        <w:t xml:space="preserve"> Commercial SATCOM fits comfortably inside it: satellites and terminals matter, but so do gateways, management networks, operators and access rules. The same Strategy describes consistent integration of informational and physical power as the norm rather than treating information as a separate messaging function.</w:t>
      </w:r>
    </w:p>
    <w:p w:rsidR="00D35557" w:rsidRPr="00D70EA9" w:rsidRDefault="00000000">
      <w:pPr>
        <w:rPr>
          <w:rFonts w:ascii="Helvetica Neue" w:hAnsi="Helvetica Neue"/>
        </w:rPr>
      </w:pPr>
      <w:r w:rsidRPr="00D70EA9">
        <w:rPr>
          <w:rFonts w:ascii="Helvetica Neue" w:hAnsi="Helvetica Neue"/>
        </w:rPr>
        <w:t>JP 3-13 had offered a cleaner division of the environment. Communications networks, platforms and key decision-makers occupied the physical dimension; collection, processing, storage and dissemination the informational; perception, judgement and decision-making the cognitive.</w:t>
      </w:r>
      <w:r w:rsidRPr="00D70EA9">
        <w:rPr>
          <w:rStyle w:val="FootnoteReference"/>
          <w:rFonts w:ascii="Helvetica Neue" w:hAnsi="Helvetica Neue"/>
        </w:rPr>
        <w:footnoteReference w:id="9"/>
      </w:r>
      <w:r w:rsidRPr="00D70EA9">
        <w:rPr>
          <w:rFonts w:ascii="Helvetica Neue" w:hAnsi="Helvetica Neue"/>
        </w:rPr>
        <w:t xml:space="preserve"> JCOIE criticised the older model for putting too much weight on transmission. Audiences do not simply receive information; they interpret it through different worldviews and contexts, which brought the human, physical and informational aspects back into the problem.</w:t>
      </w:r>
      <w:r w:rsidRPr="00D70EA9">
        <w:rPr>
          <w:rStyle w:val="FootnoteReference"/>
          <w:rFonts w:ascii="Helvetica Neue" w:hAnsi="Helvetica Neue"/>
        </w:rPr>
        <w:footnoteReference w:id="10"/>
      </w:r>
      <w:r w:rsidRPr="00D70EA9">
        <w:rPr>
          <w:rFonts w:ascii="Helvetica Neue" w:hAnsi="Helvetica Neue"/>
        </w:rPr>
        <w:t xml:space="preserve"> Starlink shows why that matters. The network could work and Ukrainian forces could use it, but Ukraine did not control the service. SpaceX still decided where it operated and what uses it would accept. Civilians were using the same infrastructure. Successful transmission therefore says little about where authority sat or what different actors might make of the relationship.</w:t>
      </w:r>
    </w:p>
    <w:p w:rsidR="00C8735E" w:rsidRPr="00D70EA9" w:rsidRDefault="00E1429E" w:rsidP="00E1429E">
      <w:pPr>
        <w:rPr>
          <w:rFonts w:ascii="Helvetica Neue" w:hAnsi="Helvetica Neue"/>
        </w:rPr>
      </w:pPr>
      <w:r w:rsidRPr="00D70EA9">
        <w:rPr>
          <w:rFonts w:ascii="Helvetica Neue" w:hAnsi="Helvetica Neue"/>
        </w:rPr>
        <w:t>By October 2022, military use itself was not especially secret. The harder question was what followed from it. Russia’s statement made one answer public by attaching its own consequences to Western military reliance on commercial infrastructure. Wither matters here because ambiguity can affect the decision made in response even when the underlying activity is visible. Disinformation and destabilisation can leave leaders unsure about what they are looking at or what they should do next.</w:t>
      </w:r>
      <w:r w:rsidR="006C67BE" w:rsidRPr="00D70EA9">
        <w:rPr>
          <w:rFonts w:ascii="Helvetica Neue" w:hAnsi="Helvetica Neue"/>
          <w:sz w:val="16"/>
          <w:szCs w:val="16"/>
        </w:rPr>
        <w:footnoteReference w:id="11"/>
      </w:r>
      <w:r w:rsidR="006C67BE" w:rsidRPr="00D70EA9">
        <w:rPr>
          <w:rFonts w:ascii="Helvetica Neue" w:hAnsi="Helvetica Neue"/>
        </w:rPr>
        <w:t xml:space="preserve"> </w:t>
      </w:r>
    </w:p>
    <w:p w:rsidR="00C8735E" w:rsidRPr="00D70EA9" w:rsidRDefault="00A63CDA" w:rsidP="00A63CDA">
      <w:pPr>
        <w:rPr>
          <w:rFonts w:ascii="Helvetica Neue" w:hAnsi="Helvetica Neue"/>
        </w:rPr>
      </w:pPr>
      <w:r w:rsidRPr="00D70EA9">
        <w:rPr>
          <w:rFonts w:ascii="Helvetica Neue" w:hAnsi="Helvetica Neue"/>
        </w:rPr>
        <w:t xml:space="preserve">Later evidence is kept separate from what actors could know at the time. A disclosure made months afterwards can change what can be reconstructed about an event. It does not change when the information became public. Rid and Buchanan treat attribution as assessment and communication together, including </w:t>
      </w:r>
      <w:r w:rsidRPr="00D70EA9">
        <w:rPr>
          <w:rFonts w:ascii="Helvetica Neue" w:hAnsi="Helvetica Neue"/>
        </w:rPr>
        <w:lastRenderedPageBreak/>
        <w:t>communication to third parties and the public.</w:t>
      </w:r>
      <w:r w:rsidRPr="00D70EA9">
        <w:rPr>
          <w:rFonts w:ascii="Helvetica Neue" w:hAnsi="Helvetica Neue"/>
          <w:sz w:val="16"/>
          <w:szCs w:val="16"/>
        </w:rPr>
        <w:footnoteReference w:id="12"/>
      </w:r>
      <w:r w:rsidRPr="00D70EA9">
        <w:rPr>
          <w:rFonts w:ascii="Helvetica Neue" w:hAnsi="Helvetica Neue"/>
        </w:rPr>
        <w:t xml:space="preserve"> Paul cautions against treating later behaviour as evidence that an earlier message worked when other causes remain plausible.</w:t>
      </w:r>
      <w:r w:rsidRPr="00D70EA9">
        <w:rPr>
          <w:rFonts w:ascii="Helvetica Neue" w:hAnsi="Helvetica Neue"/>
          <w:sz w:val="16"/>
          <w:szCs w:val="16"/>
        </w:rPr>
        <w:footnoteReference w:id="13"/>
      </w:r>
    </w:p>
    <w:p w:rsidR="00C8735E" w:rsidRPr="00D70EA9" w:rsidRDefault="00131271">
      <w:pPr>
        <w:rPr>
          <w:rFonts w:ascii="Helvetica Neue" w:hAnsi="Helvetica Neue"/>
        </w:rPr>
      </w:pPr>
      <w:r w:rsidRPr="00D70EA9">
        <w:rPr>
          <w:rFonts w:ascii="Helvetica Neue" w:hAnsi="Helvetica Neue"/>
        </w:rPr>
        <w:t>“</w:t>
      </w:r>
      <w:r w:rsidR="00A63CDA" w:rsidRPr="00D70EA9">
        <w:rPr>
          <w:rFonts w:ascii="Helvetica Neue" w:hAnsi="Helvetica Neue"/>
        </w:rPr>
        <w:t>Public articulation” and “transparency” are not used as synonyms here</w:t>
      </w:r>
      <w:r w:rsidRPr="00D70EA9">
        <w:rPr>
          <w:rFonts w:ascii="Helvetica Neue" w:hAnsi="Helvetica Neue"/>
        </w:rPr>
        <w:t>. “Public articulation” means an open statement of a position, interpretation or warning; “transparency” is the stronger proposition that making policies and interpretations public can reduce misunderstanding or miscalculation. Deppe and Schaal’s warning about conceptual stretching is useful here because a category broad enough to absorb every informational consequence stops distinguishing very much.</w:t>
      </w:r>
      <w:r w:rsidRPr="00D70EA9">
        <w:rPr>
          <w:rFonts w:ascii="Helvetica Neue" w:hAnsi="Helvetica Neue"/>
          <w:sz w:val="16"/>
          <w:szCs w:val="16"/>
        </w:rPr>
        <w:footnoteReference w:id="14"/>
      </w:r>
      <w:r w:rsidRPr="00D70EA9">
        <w:rPr>
          <w:rFonts w:ascii="Helvetica Neue" w:hAnsi="Helvetica Neue"/>
        </w:rPr>
        <w:t xml:space="preserve"> The evidence is public and mostly English-language, which leaves classified targeting assessments and SpaceX’s internal deliberations outside it. The Russian Mission statement is assessed through its published unofficial English translation.</w:t>
      </w:r>
    </w:p>
    <w:p w:rsidR="00C8735E" w:rsidRPr="00D70EA9" w:rsidRDefault="00000000">
      <w:pPr>
        <w:pStyle w:val="Heading1"/>
        <w:rPr>
          <w:rFonts w:ascii="Helvetica Neue" w:hAnsi="Helvetica Neue"/>
        </w:rPr>
      </w:pPr>
      <w:r w:rsidRPr="00D70EA9">
        <w:rPr>
          <w:rFonts w:ascii="Helvetica Neue" w:hAnsi="Helvetica Neue"/>
        </w:rPr>
        <w:t>Law, Interpretation and the Norms Proposition</w:t>
      </w:r>
    </w:p>
    <w:p w:rsidR="00C8735E" w:rsidRPr="00D70EA9" w:rsidRDefault="00000000">
      <w:pPr>
        <w:rPr>
          <w:rFonts w:ascii="Helvetica Neue" w:hAnsi="Helvetica Neue"/>
        </w:rPr>
      </w:pPr>
      <w:r w:rsidRPr="00D70EA9">
        <w:rPr>
          <w:rFonts w:ascii="Helvetica Neue" w:hAnsi="Helvetica Neue"/>
        </w:rPr>
        <w:t xml:space="preserve">Russia’s language of participation and retaliation was politically broad, whereas targeting law asks a narrower set of questions. Article 52(2) of Additional Protocol I </w:t>
      </w:r>
      <w:proofErr w:type="gramStart"/>
      <w:r w:rsidRPr="00D70EA9">
        <w:rPr>
          <w:rFonts w:ascii="Helvetica Neue" w:hAnsi="Helvetica Neue"/>
        </w:rPr>
        <w:t>requires</w:t>
      </w:r>
      <w:proofErr w:type="gramEnd"/>
      <w:r w:rsidRPr="00D70EA9">
        <w:rPr>
          <w:rFonts w:ascii="Helvetica Neue" w:hAnsi="Helvetica Neue"/>
        </w:rPr>
        <w:t xml:space="preserve"> both an effective contribution to military action by nature, location, purpose or use and a definite military advantage from destruction, capture or neutralisation in the circumstances ruling at the time.</w:t>
      </w:r>
      <w:r w:rsidRPr="00D70EA9">
        <w:rPr>
          <w:rFonts w:ascii="Helvetica Neue" w:hAnsi="Helvetica Neue"/>
          <w:sz w:val="16"/>
          <w:szCs w:val="16"/>
        </w:rPr>
        <w:footnoteReference w:id="15"/>
      </w:r>
      <w:r w:rsidRPr="00D70EA9">
        <w:rPr>
          <w:rFonts w:ascii="Helvetica Neue" w:hAnsi="Helvetica Neue"/>
        </w:rPr>
        <w:t xml:space="preserve"> The requirements are cumulative. Article 52(3) adds a presumption where an object normally dedicated to civilian purposes is in doubt, while Article 57 keeps verification, feasible precautions and proportionality in the analysis even after an object is considered a military objective.</w:t>
      </w:r>
      <w:r w:rsidRPr="00D70EA9">
        <w:rPr>
          <w:rFonts w:ascii="Helvetica Neue" w:hAnsi="Helvetica Neue"/>
          <w:sz w:val="16"/>
          <w:szCs w:val="16"/>
        </w:rPr>
        <w:footnoteReference w:id="16"/>
      </w:r>
    </w:p>
    <w:p w:rsidR="00C8735E" w:rsidRPr="00D70EA9" w:rsidRDefault="00EB0237">
      <w:pPr>
        <w:rPr>
          <w:rFonts w:ascii="Helvetica Neue" w:hAnsi="Helvetica Neue"/>
        </w:rPr>
      </w:pPr>
      <w:r w:rsidRPr="00D70EA9">
        <w:rPr>
          <w:rFonts w:ascii="Helvetica Neue" w:hAnsi="Helvetica Neue"/>
        </w:rPr>
        <w:t xml:space="preserve">Article 52 does not create a third category between civilian object and military objective. An object remains protected as civilian unless the military-objective test is satisfied in the circumstances ruling at the time. </w:t>
      </w:r>
      <w:proofErr w:type="spellStart"/>
      <w:r w:rsidR="002A29DB" w:rsidRPr="00D70EA9">
        <w:rPr>
          <w:rFonts w:ascii="Helvetica Neue" w:hAnsi="Helvetica Neue"/>
        </w:rPr>
        <w:t>Berrang</w:t>
      </w:r>
      <w:proofErr w:type="spellEnd"/>
      <w:r w:rsidR="002A29DB" w:rsidRPr="00D70EA9">
        <w:rPr>
          <w:rFonts w:ascii="Helvetica Neue" w:hAnsi="Helvetica Neue"/>
        </w:rPr>
        <w:t xml:space="preserve"> reaches the issue from another direction. The fact that a commercial system serves both civilian and military </w:t>
      </w:r>
      <w:r w:rsidR="002A29DB" w:rsidRPr="00D70EA9">
        <w:rPr>
          <w:rFonts w:ascii="Helvetica Neue" w:hAnsi="Helvetica Neue"/>
        </w:rPr>
        <w:lastRenderedPageBreak/>
        <w:t>users does not, in his view, make a new space-specific Geneva Convention necessary.</w:t>
      </w:r>
      <w:r w:rsidRPr="00D70EA9">
        <w:rPr>
          <w:rFonts w:ascii="Helvetica Neue" w:hAnsi="Helvetica Neue"/>
          <w:sz w:val="16"/>
          <w:szCs w:val="16"/>
        </w:rPr>
        <w:footnoteReference w:id="17"/>
      </w:r>
      <w:r w:rsidRPr="00D70EA9">
        <w:rPr>
          <w:rFonts w:ascii="Helvetica Neue" w:hAnsi="Helvetica Neue"/>
        </w:rPr>
        <w:t xml:space="preserve"> Hathaway, Khan and </w:t>
      </w:r>
      <w:proofErr w:type="spellStart"/>
      <w:r w:rsidRPr="00D70EA9">
        <w:rPr>
          <w:rFonts w:ascii="Helvetica Neue" w:hAnsi="Helvetica Neue"/>
        </w:rPr>
        <w:t>Revkin</w:t>
      </w:r>
      <w:proofErr w:type="spellEnd"/>
      <w:r w:rsidRPr="00D70EA9">
        <w:rPr>
          <w:rFonts w:ascii="Helvetica Neue" w:hAnsi="Helvetica Neue"/>
        </w:rPr>
        <w:t xml:space="preserve"> focus on a different risk. If “dual-use” begins functioning as a legal category of its own, the civilian–military distinction can blur before the object-specific test is actually applied. Their concern is that civilian protection can weaken when the label starts doing work that Article 52 assigns to the legal test.</w:t>
      </w:r>
      <w:r w:rsidRPr="00D70EA9">
        <w:rPr>
          <w:rFonts w:ascii="Helvetica Neue" w:hAnsi="Helvetica Neue"/>
          <w:sz w:val="16"/>
          <w:szCs w:val="16"/>
        </w:rPr>
        <w:footnoteReference w:id="18"/>
      </w:r>
      <w:r w:rsidRPr="00D70EA9">
        <w:rPr>
          <w:rFonts w:ascii="Helvetica Neue" w:hAnsi="Helvetica Neue"/>
        </w:rPr>
        <w:t xml:space="preserve"> </w:t>
      </w:r>
    </w:p>
    <w:p w:rsidR="00C8735E" w:rsidRPr="00D70EA9" w:rsidRDefault="006C67BE">
      <w:pPr>
        <w:rPr>
          <w:rFonts w:ascii="Helvetica Neue" w:hAnsi="Helvetica Neue"/>
        </w:rPr>
      </w:pPr>
      <w:r w:rsidRPr="00D70EA9">
        <w:rPr>
          <w:rFonts w:ascii="Helvetica Neue" w:hAnsi="Helvetica Neue"/>
        </w:rPr>
        <w:t xml:space="preserve">Calling a satellite network one object hides most of the targeting problem. A satellite, a gateway, a terminal and the management segment do not necessarily perform the same function, and civilian and military dependence can sit on different parts of the same service. </w:t>
      </w:r>
      <w:proofErr w:type="spellStart"/>
      <w:r w:rsidRPr="00D70EA9">
        <w:rPr>
          <w:rFonts w:ascii="Helvetica Neue" w:hAnsi="Helvetica Neue"/>
        </w:rPr>
        <w:t>Kuplic</w:t>
      </w:r>
      <w:proofErr w:type="spellEnd"/>
      <w:r w:rsidRPr="00D70EA9">
        <w:rPr>
          <w:rFonts w:ascii="Helvetica Neue" w:hAnsi="Helvetica Neue"/>
        </w:rPr>
        <w:t xml:space="preserve"> and Sawmiller’s distinction between present “use” and future “purpose” matters at that level. Present military use can be identified from what an object is doing, whereas a claim about future military purpose ordinarily requires more specific intelligence; their example is Ukrainian reliance on secure </w:t>
      </w:r>
      <w:proofErr w:type="spellStart"/>
      <w:r w:rsidRPr="00D70EA9">
        <w:rPr>
          <w:rFonts w:ascii="Helvetica Neue" w:hAnsi="Helvetica Neue"/>
        </w:rPr>
        <w:t>Viasat</w:t>
      </w:r>
      <w:proofErr w:type="spellEnd"/>
      <w:r w:rsidRPr="00D70EA9">
        <w:rPr>
          <w:rFonts w:ascii="Helvetica Neue" w:hAnsi="Helvetica Neue"/>
        </w:rPr>
        <w:t xml:space="preserve"> communications.</w:t>
      </w:r>
      <w:r w:rsidRPr="00D70EA9">
        <w:rPr>
          <w:rFonts w:ascii="Helvetica Neue" w:hAnsi="Helvetica Neue"/>
          <w:sz w:val="16"/>
          <w:szCs w:val="16"/>
        </w:rPr>
        <w:footnoteReference w:id="19"/>
      </w:r>
      <w:r w:rsidRPr="00D70EA9">
        <w:rPr>
          <w:rFonts w:ascii="Helvetica Neue" w:hAnsi="Helvetica Neue"/>
        </w:rPr>
        <w:t xml:space="preserve"> </w:t>
      </w:r>
    </w:p>
    <w:p w:rsidR="006C67BE" w:rsidRPr="00D70EA9" w:rsidRDefault="00142FB7">
      <w:pPr>
        <w:rPr>
          <w:rFonts w:ascii="Helvetica Neue" w:hAnsi="Helvetica Neue"/>
        </w:rPr>
      </w:pPr>
      <w:r w:rsidRPr="00D70EA9">
        <w:rPr>
          <w:rFonts w:ascii="Helvetica Neue" w:hAnsi="Helvetica Neue"/>
        </w:rPr>
        <w:t>Military communications may make an effective contribution to military action, but that does not dispense with the separate requirement for definite military advantage.</w:t>
      </w:r>
      <w:r w:rsidR="00203A4E" w:rsidRPr="00D70EA9">
        <w:rPr>
          <w:rFonts w:ascii="Helvetica Neue" w:hAnsi="Helvetica Neue"/>
        </w:rPr>
        <w:t xml:space="preserve"> The Woomera Manual also keeps distinguishable civilian components and continuing verification in view, making the problem harder to collapse into the label “satellite network.” </w:t>
      </w:r>
      <w:r w:rsidRPr="00D70EA9">
        <w:rPr>
          <w:rFonts w:ascii="Helvetica Neue" w:hAnsi="Helvetica Neue"/>
          <w:sz w:val="16"/>
          <w:szCs w:val="16"/>
        </w:rPr>
        <w:footnoteReference w:id="20"/>
      </w:r>
      <w:r w:rsidRPr="00D70EA9">
        <w:rPr>
          <w:rFonts w:ascii="Helvetica Neue" w:hAnsi="Helvetica Neue"/>
        </w:rPr>
        <w:t xml:space="preserve"> </w:t>
      </w:r>
    </w:p>
    <w:p w:rsidR="00C8735E" w:rsidRPr="00D70EA9" w:rsidRDefault="00142FB7">
      <w:pPr>
        <w:rPr>
          <w:rFonts w:ascii="Helvetica Neue" w:hAnsi="Helvetica Neue"/>
        </w:rPr>
      </w:pPr>
      <w:r w:rsidRPr="00D70EA9">
        <w:rPr>
          <w:rFonts w:ascii="Helvetica Neue" w:hAnsi="Helvetica Neue"/>
        </w:rPr>
        <w:t>Bi and Zhu work at a smaller scale. Their analysis begins with the smallest feasible function of military relevance and then asks what civilian dependence and cascading effects sit around it</w:t>
      </w:r>
      <w:r w:rsidR="006C67BE" w:rsidRPr="00D70EA9">
        <w:rPr>
          <w:rFonts w:ascii="Helvetica Neue" w:hAnsi="Helvetica Neue"/>
        </w:rPr>
        <w:t>.</w:t>
      </w:r>
      <w:r w:rsidRPr="00D70EA9">
        <w:rPr>
          <w:rFonts w:ascii="Helvetica Neue" w:hAnsi="Helvetica Neue"/>
          <w:sz w:val="16"/>
          <w:szCs w:val="16"/>
        </w:rPr>
        <w:footnoteReference w:id="21"/>
      </w:r>
      <w:r w:rsidRPr="00D70EA9">
        <w:rPr>
          <w:rFonts w:ascii="Helvetica Neue" w:hAnsi="Helvetica Neue"/>
        </w:rPr>
        <w:t xml:space="preserve"> </w:t>
      </w:r>
      <w:r w:rsidR="00EA74B1" w:rsidRPr="00D70EA9">
        <w:rPr>
          <w:rFonts w:ascii="Helvetica Neue" w:hAnsi="Helvetica Neue"/>
        </w:rPr>
        <w:t>In some systems, that leaves the relevant question at the level of a function or component rather than the network as a whole</w:t>
      </w:r>
      <w:r w:rsidR="006C67BE" w:rsidRPr="00D70EA9">
        <w:rPr>
          <w:rFonts w:ascii="Helvetica Neue" w:hAnsi="Helvetica Neue"/>
        </w:rPr>
        <w:t>.</w:t>
      </w:r>
    </w:p>
    <w:p w:rsidR="00C8735E" w:rsidRPr="00D70EA9" w:rsidRDefault="00000000">
      <w:pPr>
        <w:rPr>
          <w:rFonts w:ascii="Helvetica Neue" w:hAnsi="Helvetica Neue"/>
        </w:rPr>
      </w:pPr>
      <w:r w:rsidRPr="00D70EA9">
        <w:rPr>
          <w:rFonts w:ascii="Helvetica Neue" w:hAnsi="Helvetica Neue"/>
        </w:rPr>
        <w:t xml:space="preserve">Publishing those facts and policies can still matter because other actors then have more to work with than inference alone. Kuplic and Sawmiller link guidance, state practice and dialogue to the possibility of common understandings and fewer </w:t>
      </w:r>
      <w:r w:rsidRPr="00D70EA9">
        <w:rPr>
          <w:rFonts w:ascii="Helvetica Neue" w:hAnsi="Helvetica Neue"/>
        </w:rPr>
        <w:lastRenderedPageBreak/>
        <w:t>misunderstandings or miscalculations.</w:t>
      </w:r>
      <w:r w:rsidRPr="00D70EA9">
        <w:rPr>
          <w:rFonts w:ascii="Helvetica Neue" w:hAnsi="Helvetica Neue"/>
          <w:sz w:val="16"/>
          <w:szCs w:val="16"/>
        </w:rPr>
        <w:footnoteReference w:id="22"/>
      </w:r>
      <w:r w:rsidRPr="00D70EA9">
        <w:rPr>
          <w:rFonts w:ascii="Helvetica Neue" w:hAnsi="Helvetica Neue"/>
        </w:rPr>
        <w:t xml:space="preserve"> West and Azcárate Ortega give a reason not to treat that mechanism as automatic: norms still need acceptance and implementation, and weak trust or shared values can turn the process into competition for normative influence.</w:t>
      </w:r>
      <w:r w:rsidRPr="00D70EA9">
        <w:rPr>
          <w:rFonts w:ascii="Helvetica Neue" w:hAnsi="Helvetica Neue"/>
          <w:sz w:val="16"/>
          <w:szCs w:val="16"/>
        </w:rPr>
        <w:footnoteReference w:id="23"/>
      </w:r>
    </w:p>
    <w:p w:rsidR="00C8735E" w:rsidRPr="00D70EA9" w:rsidRDefault="00EB0237">
      <w:pPr>
        <w:rPr>
          <w:rFonts w:ascii="Helvetica Neue" w:hAnsi="Helvetica Neue"/>
        </w:rPr>
      </w:pPr>
      <w:r w:rsidRPr="00D70EA9">
        <w:rPr>
          <w:rFonts w:ascii="Helvetica Neue" w:hAnsi="Helvetica Neue"/>
        </w:rPr>
        <w:t>Wiener’s “meaning-in-use” is concerned with what happens after actors share the same vocabulary. The meaning does not sit only in the wording of a norm; practice gives it content.</w:t>
      </w:r>
      <w:r w:rsidRPr="00D70EA9">
        <w:rPr>
          <w:rFonts w:ascii="Helvetica Neue" w:hAnsi="Helvetica Neue"/>
          <w:sz w:val="16"/>
          <w:szCs w:val="16"/>
        </w:rPr>
        <w:footnoteReference w:id="24"/>
      </w:r>
      <w:r w:rsidRPr="00D70EA9">
        <w:rPr>
          <w:rFonts w:ascii="Helvetica Neue" w:hAnsi="Helvetica Neue"/>
        </w:rPr>
        <w:t xml:space="preserve"> </w:t>
      </w:r>
      <w:r w:rsidR="00203A4E" w:rsidRPr="00D70EA9">
        <w:rPr>
          <w:rFonts w:ascii="Helvetica Neue" w:hAnsi="Helvetica Neue"/>
        </w:rPr>
        <w:t xml:space="preserve">In this case, “participation” could be spoken publicly without settling what conduct counted as participation. </w:t>
      </w:r>
      <w:r w:rsidRPr="00D70EA9">
        <w:rPr>
          <w:rFonts w:ascii="Helvetica Neue" w:hAnsi="Helvetica Neue"/>
        </w:rPr>
        <w:t>Fearon is dealing with a different problem. Public communication can still leave private information, capability and resolve undisclosed, while actors retain incentives to misrepresent them.</w:t>
      </w:r>
      <w:r w:rsidRPr="00D70EA9">
        <w:rPr>
          <w:rFonts w:ascii="Helvetica Neue" w:hAnsi="Helvetica Neue"/>
          <w:sz w:val="16"/>
          <w:szCs w:val="16"/>
        </w:rPr>
        <w:footnoteReference w:id="25"/>
      </w:r>
      <w:r w:rsidRPr="00D70EA9">
        <w:rPr>
          <w:rFonts w:ascii="Helvetica Neue" w:hAnsi="Helvetica Neue"/>
        </w:rPr>
        <w:t xml:space="preserve"> </w:t>
      </w:r>
    </w:p>
    <w:p w:rsidR="00C8735E" w:rsidRPr="00D70EA9" w:rsidRDefault="00000000" w:rsidP="00A63CDA">
      <w:pPr>
        <w:rPr>
          <w:rFonts w:ascii="Helvetica Neue" w:hAnsi="Helvetica Neue"/>
        </w:rPr>
      </w:pPr>
      <w:r w:rsidRPr="00D70EA9">
        <w:rPr>
          <w:rFonts w:ascii="Helvetica Neue" w:hAnsi="Helvetica Neue"/>
        </w:rPr>
        <w:t>Legal language also travels outside the legal test. NATO StratCom uses “lawfare” for hostile use of legal claims to damage or delegitimise an opponent, occupy its time or secure a public-relations advantage.</w:t>
      </w:r>
      <w:r w:rsidRPr="00D70EA9">
        <w:rPr>
          <w:rFonts w:ascii="Helvetica Neue" w:hAnsi="Helvetica Neue"/>
          <w:sz w:val="16"/>
          <w:szCs w:val="16"/>
        </w:rPr>
        <w:footnoteReference w:id="26"/>
      </w:r>
      <w:r w:rsidRPr="00D70EA9">
        <w:rPr>
          <w:rFonts w:ascii="Helvetica Neue" w:hAnsi="Helvetica Neue"/>
        </w:rPr>
        <w:t xml:space="preserve"> The label is not used here to infer Russian intent. JCOIE nevertheless gives a reason to take the public characterisation seriously, since actions and communications acquire informational aspects through the meaning observers assign to their features in context.</w:t>
      </w:r>
      <w:r w:rsidRPr="00D70EA9">
        <w:rPr>
          <w:rFonts w:ascii="Helvetica Neue" w:hAnsi="Helvetica Neue"/>
          <w:sz w:val="16"/>
          <w:szCs w:val="16"/>
        </w:rPr>
        <w:footnoteReference w:id="27"/>
      </w:r>
      <w:r w:rsidRPr="00D70EA9">
        <w:rPr>
          <w:rFonts w:ascii="Helvetica Neue" w:hAnsi="Helvetica Neue"/>
        </w:rPr>
        <w:t xml:space="preserve"> </w:t>
      </w:r>
      <w:r w:rsidR="00A63CDA" w:rsidRPr="00D70EA9">
        <w:rPr>
          <w:rFonts w:ascii="Helvetica Neue" w:hAnsi="Helvetica Neue"/>
        </w:rPr>
        <w:t>Russia, the United States and SpaceX did not necessarily use the same boundary when they spoke about commercial military support.</w:t>
      </w:r>
    </w:p>
    <w:p w:rsidR="00C8735E" w:rsidRPr="00D70EA9" w:rsidRDefault="00000000">
      <w:pPr>
        <w:pStyle w:val="Heading1"/>
        <w:rPr>
          <w:rFonts w:ascii="Helvetica Neue" w:hAnsi="Helvetica Neue"/>
        </w:rPr>
      </w:pPr>
      <w:r w:rsidRPr="00D70EA9">
        <w:rPr>
          <w:rFonts w:ascii="Helvetica Neue" w:hAnsi="Helvetica Neue"/>
        </w:rPr>
        <w:t>The Russia–Ukraine Case</w:t>
      </w:r>
    </w:p>
    <w:p w:rsidR="00142FB7" w:rsidRPr="00D70EA9" w:rsidRDefault="00A63CDA" w:rsidP="00A63CDA">
      <w:pPr>
        <w:rPr>
          <w:rFonts w:ascii="Helvetica Neue" w:hAnsi="Helvetica Neue"/>
        </w:rPr>
      </w:pPr>
      <w:proofErr w:type="spellStart"/>
      <w:r w:rsidRPr="00D70EA9">
        <w:rPr>
          <w:rFonts w:ascii="Helvetica Neue" w:hAnsi="Helvetica Neue"/>
        </w:rPr>
        <w:t>Viasat</w:t>
      </w:r>
      <w:proofErr w:type="spellEnd"/>
      <w:r w:rsidRPr="00D70EA9">
        <w:rPr>
          <w:rFonts w:ascii="Helvetica Neue" w:hAnsi="Helvetica Neue"/>
        </w:rPr>
        <w:t xml:space="preserve"> found no evidence that the satellite itself or its supporting satellite ground infrastructure had been directly impaired. The destructive phase instead ran through a VPN misconfiguration into a trusted management segment. Legitimate management commands then left modems unable to reach the network. The affected partition was consumer-oriented. Several thousand customers in Ukraine lost service, along with tens of thousands elsewhere in Europe; directly managed government and mobility users did not. Its wording does not mean that no military user was affected. </w:t>
      </w:r>
      <w:r w:rsidRPr="00D70EA9">
        <w:rPr>
          <w:rFonts w:ascii="Helvetica Neue" w:hAnsi="Helvetica Neue"/>
        </w:rPr>
        <w:lastRenderedPageBreak/>
        <w:t>Ukrainian military users could still have been relying on the affected consumer-oriented partition.</w:t>
      </w:r>
      <w:r w:rsidR="001D36EC" w:rsidRPr="00D70EA9">
        <w:rPr>
          <w:rFonts w:ascii="Helvetica Neue" w:hAnsi="Helvetica Neue"/>
          <w:sz w:val="16"/>
          <w:szCs w:val="16"/>
        </w:rPr>
        <w:footnoteReference w:id="28"/>
      </w:r>
      <w:r w:rsidR="001D36EC" w:rsidRPr="00D70EA9">
        <w:rPr>
          <w:rFonts w:ascii="Helvetica Neue" w:hAnsi="Helvetica Neue"/>
        </w:rPr>
        <w:t xml:space="preserve"> </w:t>
      </w:r>
      <w:r w:rsidRPr="00D70EA9">
        <w:rPr>
          <w:rFonts w:ascii="Helvetica Neue" w:hAnsi="Helvetica Neue"/>
        </w:rPr>
        <w:t xml:space="preserve">MITRE later associated </w:t>
      </w:r>
      <w:proofErr w:type="spellStart"/>
      <w:r w:rsidRPr="00D70EA9">
        <w:rPr>
          <w:rFonts w:ascii="Helvetica Neue" w:hAnsi="Helvetica Neue"/>
        </w:rPr>
        <w:t>AcidRain</w:t>
      </w:r>
      <w:proofErr w:type="spellEnd"/>
      <w:r w:rsidRPr="00D70EA9">
        <w:rPr>
          <w:rFonts w:ascii="Helvetica Neue" w:hAnsi="Helvetica Neue"/>
        </w:rPr>
        <w:t xml:space="preserve"> with the outage and records destructive techniques against network devices.</w:t>
      </w:r>
      <w:r w:rsidR="001D36EC" w:rsidRPr="00D70EA9">
        <w:rPr>
          <w:rFonts w:ascii="Helvetica Neue" w:hAnsi="Helvetica Neue"/>
          <w:sz w:val="16"/>
          <w:szCs w:val="16"/>
        </w:rPr>
        <w:footnoteReference w:id="29"/>
      </w:r>
      <w:r w:rsidR="00F256DD" w:rsidRPr="00D70EA9">
        <w:rPr>
          <w:rFonts w:ascii="Helvetica Neue" w:hAnsi="Helvetica Neue"/>
        </w:rPr>
        <w:t xml:space="preserve"> </w:t>
      </w:r>
    </w:p>
    <w:p w:rsidR="00C8735E" w:rsidRPr="00D70EA9" w:rsidRDefault="001D36EC" w:rsidP="001D36EC">
      <w:pPr>
        <w:rPr>
          <w:rFonts w:ascii="Helvetica Neue" w:hAnsi="Helvetica Neue"/>
        </w:rPr>
      </w:pPr>
      <w:proofErr w:type="spellStart"/>
      <w:r w:rsidRPr="00D70EA9">
        <w:rPr>
          <w:rFonts w:ascii="Helvetica Neue" w:hAnsi="Helvetica Neue"/>
        </w:rPr>
        <w:t>Viasat</w:t>
      </w:r>
      <w:proofErr w:type="spellEnd"/>
      <w:r w:rsidRPr="00D70EA9">
        <w:rPr>
          <w:rFonts w:ascii="Helvetica Neue" w:hAnsi="Helvetica Neue"/>
        </w:rPr>
        <w:t xml:space="preserve"> did not say what the operation was supposed to achieve. Governments did. The United Kingdom attributed the operation to Russia and said the Ukrainian military was believed to have been the primary target. </w:t>
      </w:r>
      <w:r w:rsidRPr="00D70EA9">
        <w:rPr>
          <w:rFonts w:ascii="Helvetica Neue" w:hAnsi="Helvetica Neue"/>
          <w:sz w:val="16"/>
          <w:szCs w:val="16"/>
        </w:rPr>
        <w:footnoteReference w:id="30"/>
      </w:r>
      <w:r w:rsidRPr="00D70EA9">
        <w:rPr>
          <w:rFonts w:ascii="Helvetica Neue" w:hAnsi="Helvetica Neue"/>
        </w:rPr>
        <w:t xml:space="preserve"> The United States described a Russian attack on commercial satellite communications networks intended to disrupt Ukrainian command and control. </w:t>
      </w:r>
      <w:r w:rsidRPr="00D70EA9">
        <w:rPr>
          <w:rFonts w:ascii="Helvetica Neue" w:hAnsi="Helvetica Neue"/>
          <w:sz w:val="16"/>
          <w:szCs w:val="16"/>
        </w:rPr>
        <w:footnoteReference w:id="31"/>
      </w:r>
      <w:r w:rsidRPr="00D70EA9">
        <w:rPr>
          <w:rFonts w:ascii="Helvetica Neue" w:hAnsi="Helvetica Neue"/>
        </w:rPr>
        <w:t xml:space="preserve"> </w:t>
      </w:r>
      <w:r w:rsidR="00A63CDA" w:rsidRPr="00D70EA9">
        <w:rPr>
          <w:rFonts w:ascii="Helvetica Neue" w:hAnsi="Helvetica Neue"/>
        </w:rPr>
        <w:t>The European Union tied the operation to the opening of the invasion, said it facilitated the military aggression and referred to “indiscriminate communication outages” across public authorities, businesses and users.</w:t>
      </w:r>
      <w:r w:rsidRPr="00D70EA9">
        <w:rPr>
          <w:rFonts w:ascii="Helvetica Neue" w:hAnsi="Helvetica Neue"/>
          <w:sz w:val="16"/>
          <w:szCs w:val="16"/>
        </w:rPr>
        <w:footnoteReference w:id="32"/>
      </w:r>
      <w:r w:rsidRPr="00D70EA9">
        <w:rPr>
          <w:rFonts w:ascii="Helvetica Neue" w:hAnsi="Helvetica Neue"/>
        </w:rPr>
        <w:t xml:space="preserve"> </w:t>
      </w:r>
      <w:r w:rsidR="00A63CDA" w:rsidRPr="00D70EA9">
        <w:rPr>
          <w:rFonts w:ascii="Helvetica Neue" w:hAnsi="Helvetica Neue"/>
        </w:rPr>
        <w:t>“Indiscriminate” is the language of that declaration. It is not used here as a finding under the law of attack.</w:t>
      </w:r>
    </w:p>
    <w:p w:rsidR="00C8735E" w:rsidRPr="00D70EA9" w:rsidRDefault="00E1429E" w:rsidP="00E1429E">
      <w:pPr>
        <w:rPr>
          <w:rFonts w:ascii="Helvetica Neue" w:hAnsi="Helvetica Neue"/>
        </w:rPr>
      </w:pPr>
      <w:proofErr w:type="spellStart"/>
      <w:r w:rsidRPr="00D70EA9">
        <w:rPr>
          <w:rFonts w:ascii="Helvetica Neue" w:hAnsi="Helvetica Neue"/>
        </w:rPr>
        <w:t>Zhora’s</w:t>
      </w:r>
      <w:proofErr w:type="spellEnd"/>
      <w:r w:rsidRPr="00D70EA9">
        <w:rPr>
          <w:rFonts w:ascii="Helvetica Neue" w:hAnsi="Helvetica Neue"/>
        </w:rPr>
        <w:t xml:space="preserve"> public account became less dramatic over the following months. He initially described a “really huge loss in communications.” By September, he was giving a narrower account: the loss concerned the satellite component, land lines remained the armed forces’ priority, and coordination between forces had not been prevented. The later description did not sit neatly with the earlier one, particularly alongside reports of radio jamming at the front. </w:t>
      </w:r>
      <w:proofErr w:type="spellStart"/>
      <w:r w:rsidRPr="00D70EA9">
        <w:rPr>
          <w:rFonts w:ascii="Helvetica Neue" w:hAnsi="Helvetica Neue"/>
        </w:rPr>
        <w:t>Zetter’s</w:t>
      </w:r>
      <w:proofErr w:type="spellEnd"/>
      <w:r w:rsidRPr="00D70EA9">
        <w:rPr>
          <w:rFonts w:ascii="Helvetica Neue" w:hAnsi="Helvetica Neue"/>
        </w:rPr>
        <w:t xml:space="preserve"> reporting added another account from an unnamed source with recent Ukrainian military experience. That source said </w:t>
      </w:r>
      <w:proofErr w:type="spellStart"/>
      <w:r w:rsidRPr="00D70EA9">
        <w:rPr>
          <w:rFonts w:ascii="Helvetica Neue" w:hAnsi="Helvetica Neue"/>
        </w:rPr>
        <w:t>Viasat</w:t>
      </w:r>
      <w:proofErr w:type="spellEnd"/>
      <w:r w:rsidRPr="00D70EA9">
        <w:rPr>
          <w:rFonts w:ascii="Helvetica Neue" w:hAnsi="Helvetica Neue"/>
        </w:rPr>
        <w:t xml:space="preserve"> had not been distributed widely enough among Ukrainian forces for the disruption to have produced a major military effect.</w:t>
      </w:r>
      <w:r w:rsidR="006C67BE" w:rsidRPr="00D70EA9">
        <w:rPr>
          <w:rFonts w:ascii="Helvetica Neue" w:hAnsi="Helvetica Neue"/>
          <w:sz w:val="16"/>
          <w:szCs w:val="16"/>
        </w:rPr>
        <w:footnoteReference w:id="33"/>
      </w:r>
      <w:r w:rsidR="006C67BE" w:rsidRPr="00D70EA9">
        <w:rPr>
          <w:rFonts w:ascii="Helvetica Neue" w:hAnsi="Helvetica Neue"/>
        </w:rPr>
        <w:t xml:space="preserve"> </w:t>
      </w:r>
      <w:r w:rsidRPr="00D70EA9">
        <w:rPr>
          <w:rFonts w:ascii="Helvetica Neue" w:hAnsi="Helvetica Neue"/>
        </w:rPr>
        <w:t>The public record therefore supported caution about both the scale and the operational significance of the outage.</w:t>
      </w:r>
    </w:p>
    <w:p w:rsidR="00142FB7" w:rsidRPr="00D70EA9" w:rsidRDefault="00000000">
      <w:pPr>
        <w:rPr>
          <w:rFonts w:ascii="Helvetica Neue" w:hAnsi="Helvetica Neue"/>
        </w:rPr>
      </w:pPr>
      <w:r w:rsidRPr="00D70EA9">
        <w:rPr>
          <w:rFonts w:ascii="Helvetica Neue" w:hAnsi="Helvetica Neue"/>
        </w:rPr>
        <w:t xml:space="preserve">By October 2022, the Starlink record was still thin. On 14 October, Pentagon deputy press secretary Sabrina Singh confirmed that the Department was in </w:t>
      </w:r>
      <w:r w:rsidRPr="00D70EA9">
        <w:rPr>
          <w:rFonts w:ascii="Helvetica Neue" w:hAnsi="Helvetica Neue"/>
        </w:rPr>
        <w:lastRenderedPageBreak/>
        <w:t>communication with SpaceX and, when asked whether Starlink had mainly supported civilian communications or military command and control, replied: “Well, if I remember, I think it has been used for both.”</w:t>
      </w:r>
      <w:r w:rsidR="00593F9B" w:rsidRPr="00D70EA9">
        <w:rPr>
          <w:rFonts w:ascii="Helvetica Neue" w:hAnsi="Helvetica Neue"/>
        </w:rPr>
        <w:t xml:space="preserve"> </w:t>
      </w:r>
      <w:r w:rsidR="00907E99" w:rsidRPr="00D70EA9">
        <w:rPr>
          <w:rFonts w:ascii="Helvetica Neue" w:hAnsi="Helvetica Neue"/>
        </w:rPr>
        <w:t xml:space="preserve">The wording itself was cautious. Singh said “if I remember” and “I think” before describing </w:t>
      </w:r>
      <w:proofErr w:type="spellStart"/>
      <w:r w:rsidR="00907E99" w:rsidRPr="00D70EA9">
        <w:rPr>
          <w:rFonts w:ascii="Helvetica Neue" w:hAnsi="Helvetica Neue"/>
        </w:rPr>
        <w:t>Starlink</w:t>
      </w:r>
      <w:proofErr w:type="spellEnd"/>
      <w:r w:rsidR="00907E99" w:rsidRPr="00D70EA9">
        <w:rPr>
          <w:rFonts w:ascii="Helvetica Neue" w:hAnsi="Helvetica Neue"/>
        </w:rPr>
        <w:t xml:space="preserve"> as serving both civilian communications and military command and control. The answer put dual use into the public record without offering a breakdown of which functions, users or locations were military.</w:t>
      </w:r>
      <w:r w:rsidRPr="00D70EA9">
        <w:rPr>
          <w:rFonts w:ascii="Helvetica Neue" w:hAnsi="Helvetica Neue"/>
          <w:sz w:val="16"/>
          <w:szCs w:val="16"/>
        </w:rPr>
        <w:footnoteReference w:id="34"/>
      </w:r>
      <w:r w:rsidRPr="00D70EA9">
        <w:rPr>
          <w:rFonts w:ascii="Helvetica Neue" w:hAnsi="Helvetica Neue"/>
        </w:rPr>
        <w:t xml:space="preserve"> </w:t>
      </w:r>
    </w:p>
    <w:p w:rsidR="00C8735E" w:rsidRPr="00D70EA9" w:rsidRDefault="00907E99">
      <w:pPr>
        <w:rPr>
          <w:rFonts w:ascii="Helvetica Neue" w:hAnsi="Helvetica Neue"/>
        </w:rPr>
      </w:pPr>
      <w:r w:rsidRPr="00D70EA9">
        <w:rPr>
          <w:rFonts w:ascii="Helvetica Neue" w:hAnsi="Helvetica Neue"/>
        </w:rPr>
        <w:t xml:space="preserve">Twelve days later Konstantin </w:t>
      </w:r>
      <w:proofErr w:type="spellStart"/>
      <w:r w:rsidRPr="00D70EA9">
        <w:rPr>
          <w:rFonts w:ascii="Helvetica Neue" w:hAnsi="Helvetica Neue"/>
        </w:rPr>
        <w:t>Vorontsov</w:t>
      </w:r>
      <w:proofErr w:type="spellEnd"/>
      <w:r w:rsidRPr="00D70EA9">
        <w:rPr>
          <w:rFonts w:ascii="Helvetica Neue" w:hAnsi="Helvetica Neue"/>
        </w:rPr>
        <w:t xml:space="preserve"> told the UN First Committee that US and allied military use of civilian and commercial space infrastructure amounted to “indirect participation in military conflicts.” He then warned that “Quasi-civilian infrastructure may become a legitimate target for retaliation.” </w:t>
      </w:r>
      <w:proofErr w:type="spellStart"/>
      <w:r w:rsidRPr="00D70EA9">
        <w:rPr>
          <w:rFonts w:ascii="Helvetica Neue" w:hAnsi="Helvetica Neue"/>
        </w:rPr>
        <w:t>Vorontsov</w:t>
      </w:r>
      <w:proofErr w:type="spellEnd"/>
      <w:r w:rsidRPr="00D70EA9">
        <w:rPr>
          <w:rFonts w:ascii="Helvetica Neue" w:hAnsi="Helvetica Neue"/>
        </w:rPr>
        <w:t xml:space="preserve"> delivered the warning during the First Committee’s thematic discussion on outer space. It was not a private exchange with SpaceX or a bilateral message to Washington. The statement was made before other state delegations and was also published by the Russian Mission.</w:t>
      </w:r>
      <w:r w:rsidRPr="00D70EA9">
        <w:rPr>
          <w:rFonts w:ascii="Helvetica Neue" w:hAnsi="Helvetica Neue"/>
          <w:sz w:val="16"/>
          <w:szCs w:val="16"/>
        </w:rPr>
        <w:footnoteReference w:id="35"/>
      </w:r>
      <w:r w:rsidR="006751A4" w:rsidRPr="00D70EA9">
        <w:rPr>
          <w:rFonts w:ascii="Helvetica Neue" w:hAnsi="Helvetica Neue"/>
        </w:rPr>
        <w:t xml:space="preserve"> </w:t>
      </w:r>
    </w:p>
    <w:p w:rsidR="00C8735E" w:rsidRPr="00D70EA9" w:rsidRDefault="001D36EC">
      <w:pPr>
        <w:rPr>
          <w:rFonts w:ascii="Helvetica Neue" w:hAnsi="Helvetica Neue"/>
        </w:rPr>
      </w:pPr>
      <w:proofErr w:type="spellStart"/>
      <w:r w:rsidRPr="00D70EA9">
        <w:rPr>
          <w:rFonts w:ascii="Helvetica Neue" w:hAnsi="Helvetica Neue"/>
        </w:rPr>
        <w:t>Karine</w:t>
      </w:r>
      <w:proofErr w:type="spellEnd"/>
      <w:r w:rsidRPr="00D70EA9">
        <w:rPr>
          <w:rFonts w:ascii="Helvetica Neue" w:hAnsi="Helvetica Neue"/>
        </w:rPr>
        <w:t xml:space="preserve"> Jean-Pierre was asked about that warning the next day. </w:t>
      </w:r>
      <w:r w:rsidR="007D0AAD" w:rsidRPr="00D70EA9">
        <w:rPr>
          <w:rFonts w:ascii="Helvetica Neue" w:hAnsi="Helvetica Neue"/>
        </w:rPr>
        <w:t>She answered in deterrent terms, saying an attack on US infrastructure would meet a response “in a time and manner of our choosing” and that the United States would pursue means to deter and hold Russia accountable for such attacks.</w:t>
      </w:r>
      <w:r w:rsidRPr="00D70EA9">
        <w:rPr>
          <w:rFonts w:ascii="Helvetica Neue" w:hAnsi="Helvetica Neue"/>
        </w:rPr>
        <w:t xml:space="preserve"> </w:t>
      </w:r>
      <w:r w:rsidRPr="00D70EA9">
        <w:rPr>
          <w:rFonts w:ascii="Helvetica Neue" w:hAnsi="Helvetica Neue"/>
          <w:sz w:val="16"/>
          <w:szCs w:val="16"/>
        </w:rPr>
        <w:footnoteReference w:id="36"/>
      </w:r>
      <w:r w:rsidRPr="00D70EA9">
        <w:rPr>
          <w:rFonts w:ascii="Helvetica Neue" w:hAnsi="Helvetica Neue"/>
        </w:rPr>
        <w:t xml:space="preserve"> She did not answer </w:t>
      </w:r>
      <w:proofErr w:type="spellStart"/>
      <w:r w:rsidRPr="00D70EA9">
        <w:rPr>
          <w:rFonts w:ascii="Helvetica Neue" w:hAnsi="Helvetica Neue"/>
        </w:rPr>
        <w:t>Vorontsov</w:t>
      </w:r>
      <w:proofErr w:type="spellEnd"/>
      <w:r w:rsidRPr="00D70EA9">
        <w:rPr>
          <w:rFonts w:ascii="Helvetica Neue" w:hAnsi="Helvetica Neue"/>
        </w:rPr>
        <w:t xml:space="preserve"> on the law or accept his characterisation of commercial military support. The warning had been received; the response concerned what the United States might do if its infrastructure were attacked. </w:t>
      </w:r>
    </w:p>
    <w:p w:rsidR="00C8735E" w:rsidRPr="00D70EA9" w:rsidRDefault="00000000">
      <w:pPr>
        <w:rPr>
          <w:rFonts w:ascii="Helvetica Neue" w:hAnsi="Helvetica Neue"/>
        </w:rPr>
      </w:pPr>
      <w:r w:rsidRPr="00D70EA9">
        <w:rPr>
          <w:rFonts w:ascii="Helvetica Neue" w:hAnsi="Helvetica Neue"/>
        </w:rPr>
        <w:t>SpaceX’s public position emerged more slowly. Starshield appeared in December 2022 as a national-security business for government customers, extending SpaceX capabilities into higher-security communications and Earth observation.</w:t>
      </w:r>
      <w:r w:rsidRPr="00D70EA9">
        <w:rPr>
          <w:rFonts w:ascii="Helvetica Neue" w:hAnsi="Helvetica Neue"/>
          <w:sz w:val="16"/>
          <w:szCs w:val="16"/>
        </w:rPr>
        <w:footnoteReference w:id="37"/>
      </w:r>
      <w:r w:rsidRPr="00D70EA9">
        <w:rPr>
          <w:rFonts w:ascii="Helvetica Neue" w:hAnsi="Helvetica Neue"/>
        </w:rPr>
        <w:t xml:space="preserve"> In February 2023, Shotwell said Starlink had never been intended to be “weaponized” and described offensive uses by Ukraine as outside the agreement. Her distinction </w:t>
      </w:r>
      <w:r w:rsidRPr="00D70EA9">
        <w:rPr>
          <w:rFonts w:ascii="Helvetica Neue" w:hAnsi="Helvetica Neue"/>
        </w:rPr>
        <w:lastRenderedPageBreak/>
        <w:t>was specific: “We know the military is using them for comms and that’s OK. But our intent was never to have them use it for offensive purposes.” She also said SpaceX had measures it could use, and had used, to limit that employment without identifying them.</w:t>
      </w:r>
      <w:r w:rsidR="00593F9B" w:rsidRPr="00D70EA9">
        <w:rPr>
          <w:rFonts w:ascii="Helvetica Neue" w:hAnsi="Helvetica Neue"/>
        </w:rPr>
        <w:t xml:space="preserve"> Shotwell did not identify those measures or explain how SpaceX distinguished an acceptable military communication from an offensive use in practice.</w:t>
      </w:r>
      <w:r w:rsidRPr="00D70EA9">
        <w:rPr>
          <w:rFonts w:ascii="Helvetica Neue" w:hAnsi="Helvetica Neue"/>
          <w:sz w:val="16"/>
          <w:szCs w:val="16"/>
        </w:rPr>
        <w:footnoteReference w:id="38"/>
      </w:r>
      <w:r w:rsidRPr="00D70EA9">
        <w:rPr>
          <w:rFonts w:ascii="Helvetica Neue" w:hAnsi="Helvetica Neue"/>
        </w:rPr>
        <w:t xml:space="preserve"> By June, a US defence official confirmed a Pentagon contract for </w:t>
      </w:r>
      <w:proofErr w:type="spellStart"/>
      <w:r w:rsidRPr="00D70EA9">
        <w:rPr>
          <w:rFonts w:ascii="Helvetica Neue" w:hAnsi="Helvetica Neue"/>
        </w:rPr>
        <w:t>Starlink</w:t>
      </w:r>
      <w:proofErr w:type="spellEnd"/>
      <w:r w:rsidRPr="00D70EA9">
        <w:rPr>
          <w:rFonts w:ascii="Helvetica Neue" w:hAnsi="Helvetica Neue"/>
        </w:rPr>
        <w:t xml:space="preserve"> satellite-communications capabilities in Ukraine.</w:t>
      </w:r>
      <w:r w:rsidRPr="00D70EA9">
        <w:rPr>
          <w:rFonts w:ascii="Helvetica Neue" w:hAnsi="Helvetica Neue"/>
          <w:sz w:val="16"/>
          <w:szCs w:val="16"/>
        </w:rPr>
        <w:footnoteReference w:id="39"/>
      </w:r>
      <w:r w:rsidRPr="00D70EA9">
        <w:rPr>
          <w:rFonts w:ascii="Helvetica Neue" w:hAnsi="Helvetica Neue"/>
        </w:rPr>
        <w:t xml:space="preserve"> The relationship was changing in public view, although the sequence does not tell us what caused each change.</w:t>
      </w:r>
    </w:p>
    <w:p w:rsidR="00C8735E" w:rsidRPr="00D70EA9" w:rsidRDefault="001D36EC">
      <w:pPr>
        <w:rPr>
          <w:rFonts w:ascii="Helvetica Neue" w:hAnsi="Helvetica Neue"/>
        </w:rPr>
      </w:pPr>
      <w:r w:rsidRPr="00D70EA9">
        <w:rPr>
          <w:rFonts w:ascii="Helvetica Neue" w:hAnsi="Helvetica Neue"/>
        </w:rPr>
        <w:t xml:space="preserve">Sevastopol is useful for a different reason because the disclosure arrived long after the event. Reporting around Walter Isaacson’s biography placed a Ukrainian request involving Sevastopol in 2022, but the episode only became public in September 2023. </w:t>
      </w:r>
      <w:r w:rsidRPr="00D70EA9">
        <w:rPr>
          <w:rFonts w:ascii="Helvetica Neue" w:hAnsi="Helvetica Neue"/>
          <w:sz w:val="16"/>
          <w:szCs w:val="16"/>
        </w:rPr>
        <w:footnoteReference w:id="40"/>
      </w:r>
      <w:r w:rsidRPr="00D70EA9">
        <w:rPr>
          <w:rFonts w:ascii="Helvetica Neue" w:hAnsi="Helvetica Neue"/>
        </w:rPr>
        <w:t xml:space="preserve"> </w:t>
      </w:r>
      <w:r w:rsidR="00A63CDA" w:rsidRPr="00D70EA9">
        <w:rPr>
          <w:rFonts w:ascii="Helvetica Neue" w:hAnsi="Helvetica Neue"/>
        </w:rPr>
        <w:t xml:space="preserve">Musk’s posts described the request as one to activate </w:t>
      </w:r>
      <w:proofErr w:type="spellStart"/>
      <w:r w:rsidR="00A63CDA" w:rsidRPr="00D70EA9">
        <w:rPr>
          <w:rFonts w:ascii="Helvetica Neue" w:hAnsi="Helvetica Neue"/>
        </w:rPr>
        <w:t>Starlink</w:t>
      </w:r>
      <w:proofErr w:type="spellEnd"/>
      <w:r w:rsidR="00A63CDA" w:rsidRPr="00D70EA9">
        <w:rPr>
          <w:rFonts w:ascii="Helvetica Neue" w:hAnsi="Helvetica Neue"/>
        </w:rPr>
        <w:t xml:space="preserve"> “all the way to Sevastopol.” He also said the relevant regions “were not activated.”</w:t>
      </w:r>
      <w:r w:rsidRPr="00D70EA9">
        <w:rPr>
          <w:rFonts w:ascii="Helvetica Neue" w:hAnsi="Helvetica Neue"/>
          <w:sz w:val="16"/>
          <w:szCs w:val="16"/>
        </w:rPr>
        <w:footnoteReference w:id="41"/>
      </w:r>
      <w:r w:rsidRPr="00D70EA9">
        <w:rPr>
          <w:rFonts w:ascii="Helvetica Neue" w:hAnsi="Helvetica Neue"/>
        </w:rPr>
        <w:t xml:space="preserve"> </w:t>
      </w:r>
      <w:r w:rsidR="00A63CDA" w:rsidRPr="00D70EA9">
        <w:rPr>
          <w:rFonts w:ascii="Helvetica Neue" w:hAnsi="Helvetica Neue"/>
        </w:rPr>
        <w:t>Those posts appeared in September 2023 after Isaacson’s account became public. They were not part of the public record in 2022.</w:t>
      </w:r>
    </w:p>
    <w:p w:rsidR="00C8735E" w:rsidRPr="00D70EA9" w:rsidRDefault="00000000">
      <w:pPr>
        <w:pStyle w:val="Heading1"/>
        <w:rPr>
          <w:rFonts w:ascii="Helvetica Neue" w:hAnsi="Helvetica Neue"/>
        </w:rPr>
      </w:pPr>
      <w:r w:rsidRPr="00D70EA9">
        <w:rPr>
          <w:rFonts w:ascii="Helvetica Neue" w:hAnsi="Helvetica Neue"/>
        </w:rPr>
        <w:t>Testing the Information Contest</w:t>
      </w:r>
    </w:p>
    <w:p w:rsidR="00494C04" w:rsidRPr="00D70EA9" w:rsidRDefault="00A63CDA" w:rsidP="002A29DB">
      <w:pPr>
        <w:pStyle w:val="NormalWeb"/>
        <w:spacing w:line="360" w:lineRule="auto"/>
        <w:rPr>
          <w:rFonts w:ascii="Helvetica Neue" w:hAnsi="Helvetica Neue"/>
        </w:rPr>
      </w:pPr>
      <w:r w:rsidRPr="00D70EA9">
        <w:rPr>
          <w:rFonts w:ascii="Helvetica Neue" w:hAnsi="Helvetica Neue"/>
        </w:rPr>
        <w:t>Rid and Buchanan treat public communication as part of attribution itself, not as a separate step after assessment.</w:t>
      </w:r>
      <w:r w:rsidR="00637D67" w:rsidRPr="00D70EA9">
        <w:rPr>
          <w:rFonts w:ascii="Helvetica Neue" w:hAnsi="Helvetica Neue"/>
          <w:sz w:val="16"/>
          <w:szCs w:val="16"/>
        </w:rPr>
        <w:footnoteReference w:id="42"/>
      </w:r>
      <w:r w:rsidR="00637D67" w:rsidRPr="00D70EA9">
        <w:rPr>
          <w:rFonts w:ascii="Helvetica Neue" w:hAnsi="Helvetica Neue"/>
        </w:rPr>
        <w:t xml:space="preserve"> </w:t>
      </w:r>
      <w:r w:rsidRPr="00D70EA9">
        <w:rPr>
          <w:rFonts w:ascii="Helvetica Neue" w:hAnsi="Helvetica Neue"/>
        </w:rPr>
        <w:t>The EU declaration named Russia and connected the KA-SAT disruption to the opening of the invasion. It described “indiscriminate communication outages” affecting public authorities, businesses and users. The declaration also said the operation facilitated Russia’s military aggression and referred to expectations of responsible state behaviour.</w:t>
      </w:r>
      <w:r w:rsidR="00637D67" w:rsidRPr="00D70EA9">
        <w:rPr>
          <w:rFonts w:ascii="Helvetica Neue" w:hAnsi="Helvetica Neue"/>
          <w:sz w:val="16"/>
          <w:szCs w:val="16"/>
        </w:rPr>
        <w:footnoteReference w:id="43"/>
      </w:r>
      <w:r w:rsidR="00637D67" w:rsidRPr="00D70EA9">
        <w:rPr>
          <w:rFonts w:ascii="Helvetica Neue" w:hAnsi="Helvetica Neue"/>
        </w:rPr>
        <w:t xml:space="preserve"> </w:t>
      </w:r>
      <w:r w:rsidRPr="00D70EA9">
        <w:rPr>
          <w:rFonts w:ascii="Helvetica Neue" w:hAnsi="Helvetica Neue"/>
        </w:rPr>
        <w:t xml:space="preserve">The outage was already more than two months old when the declaration appeared. </w:t>
      </w:r>
      <w:r w:rsidR="002A29DB" w:rsidRPr="00D70EA9">
        <w:rPr>
          <w:rFonts w:ascii="Helvetica Neue" w:hAnsi="Helvetica Neue"/>
        </w:rPr>
        <w:t xml:space="preserve">By May there were </w:t>
      </w:r>
      <w:r w:rsidR="002A29DB" w:rsidRPr="00D70EA9">
        <w:rPr>
          <w:rFonts w:ascii="Helvetica Neue" w:hAnsi="Helvetica Neue"/>
        </w:rPr>
        <w:lastRenderedPageBreak/>
        <w:t>therefore two public accounts of KA-SAT: the technical account of what had happened to the service and the political account of who was responsible and why.</w:t>
      </w:r>
      <w:r w:rsidR="00637D67" w:rsidRPr="00D70EA9">
        <w:rPr>
          <w:rFonts w:ascii="Helvetica Neue" w:hAnsi="Helvetica Neue"/>
        </w:rPr>
        <w:t xml:space="preserve"> </w:t>
      </w:r>
    </w:p>
    <w:p w:rsidR="002A29DB" w:rsidRPr="00D70EA9" w:rsidRDefault="002A29DB" w:rsidP="002A29DB">
      <w:pPr>
        <w:pStyle w:val="NormalWeb"/>
        <w:spacing w:line="360" w:lineRule="auto"/>
        <w:ind w:firstLine="720"/>
        <w:rPr>
          <w:rFonts w:ascii="Helvetica Neue" w:hAnsi="Helvetica Neue"/>
        </w:rPr>
      </w:pPr>
      <w:r w:rsidRPr="00D70EA9">
        <w:rPr>
          <w:rFonts w:ascii="Helvetica Neue" w:hAnsi="Helvetica Neue"/>
        </w:rPr>
        <w:t>Shotwell was talking about permission. SpaceX would allow military communications and reject “offensive purposes”, and she said the company had measures available to enforce that distinction.</w:t>
      </w:r>
      <w:r w:rsidR="00637D67" w:rsidRPr="00D70EA9">
        <w:rPr>
          <w:rFonts w:ascii="Helvetica Neue" w:hAnsi="Helvetica Neue"/>
          <w:sz w:val="16"/>
          <w:szCs w:val="16"/>
        </w:rPr>
        <w:footnoteReference w:id="44"/>
      </w:r>
      <w:r w:rsidR="00637D67" w:rsidRPr="00D70EA9">
        <w:rPr>
          <w:rFonts w:ascii="Helvetica Neue" w:hAnsi="Helvetica Neue"/>
        </w:rPr>
        <w:t xml:space="preserve"> </w:t>
      </w:r>
      <w:proofErr w:type="spellStart"/>
      <w:r w:rsidRPr="00D70EA9">
        <w:rPr>
          <w:rFonts w:ascii="Helvetica Neue" w:hAnsi="Helvetica Neue"/>
        </w:rPr>
        <w:t>Vorontsov</w:t>
      </w:r>
      <w:proofErr w:type="spellEnd"/>
      <w:r w:rsidRPr="00D70EA9">
        <w:rPr>
          <w:rFonts w:ascii="Helvetica Neue" w:hAnsi="Helvetica Neue"/>
        </w:rPr>
        <w:t xml:space="preserve"> was making a different kind of claim. He treated military use of commercial infrastructure as “indirect participation” and linked that characterisation to the possibility of retaliation.</w:t>
      </w:r>
      <w:r w:rsidR="00637D67" w:rsidRPr="00D70EA9">
        <w:rPr>
          <w:rFonts w:ascii="Helvetica Neue" w:hAnsi="Helvetica Neue"/>
          <w:sz w:val="16"/>
          <w:szCs w:val="16"/>
        </w:rPr>
        <w:footnoteReference w:id="45"/>
      </w:r>
      <w:r w:rsidR="00637D67" w:rsidRPr="00D70EA9">
        <w:rPr>
          <w:rFonts w:ascii="Helvetica Neue" w:hAnsi="Helvetica Neue"/>
        </w:rPr>
        <w:t xml:space="preserve"> </w:t>
      </w:r>
      <w:r w:rsidRPr="00D70EA9">
        <w:rPr>
          <w:rFonts w:ascii="Helvetica Neue" w:hAnsi="Helvetica Neue"/>
        </w:rPr>
        <w:t>The two positions did not meet at a common threshold.</w:t>
      </w:r>
    </w:p>
    <w:p w:rsidR="00C8735E" w:rsidRPr="00D70EA9" w:rsidRDefault="002A29DB" w:rsidP="002A29DB">
      <w:pPr>
        <w:pStyle w:val="NormalWeb"/>
        <w:spacing w:line="360" w:lineRule="auto"/>
        <w:ind w:firstLine="720"/>
        <w:rPr>
          <w:rFonts w:ascii="Helvetica Neue" w:hAnsi="Helvetica Neue"/>
        </w:rPr>
      </w:pPr>
      <w:r w:rsidRPr="00D70EA9">
        <w:rPr>
          <w:rFonts w:ascii="Helvetica Neue" w:hAnsi="Helvetica Neue"/>
        </w:rPr>
        <w:t>Article 52 cuts across both. It asks about an object rather than a provider’s contract or a state’s political label. The object must make an effective contribution to military action, and attacking it must offer a definite military advantage in the circumstances at the time.</w:t>
      </w:r>
      <w:r w:rsidR="00637D67" w:rsidRPr="00D70EA9">
        <w:rPr>
          <w:rFonts w:ascii="Helvetica Neue" w:hAnsi="Helvetica Neue"/>
          <w:sz w:val="16"/>
          <w:szCs w:val="16"/>
        </w:rPr>
        <w:footnoteReference w:id="46"/>
      </w:r>
      <w:r w:rsidR="00637D67" w:rsidRPr="00D70EA9">
        <w:rPr>
          <w:rFonts w:ascii="Helvetica Neue" w:hAnsi="Helvetica Neue"/>
        </w:rPr>
        <w:t xml:space="preserve"> </w:t>
      </w:r>
      <w:r w:rsidR="00E1429E" w:rsidRPr="00D70EA9">
        <w:rPr>
          <w:rFonts w:ascii="Helvetica Neue" w:hAnsi="Helvetica Neue"/>
        </w:rPr>
        <w:t>The Woomera Manual makes the same separation when it discusses military communications. A communication function may make an effective contribution to military action, but that does not by itself establish the definite military advantage expected from attacking the object. That second requirement still has to be assessed in the circumstances at the time, and the other rules governing attack continue to apply.</w:t>
      </w:r>
      <w:r w:rsidR="00637D67" w:rsidRPr="00D70EA9">
        <w:rPr>
          <w:rFonts w:ascii="Helvetica Neue" w:hAnsi="Helvetica Neue"/>
          <w:sz w:val="16"/>
          <w:szCs w:val="16"/>
        </w:rPr>
        <w:footnoteReference w:id="47"/>
      </w:r>
      <w:r w:rsidR="00637D67" w:rsidRPr="00D70EA9">
        <w:rPr>
          <w:rFonts w:ascii="Helvetica Neue" w:hAnsi="Helvetica Neue"/>
        </w:rPr>
        <w:t xml:space="preserve"> </w:t>
      </w:r>
      <w:r w:rsidR="003531A4" w:rsidRPr="00D70EA9">
        <w:rPr>
          <w:rFonts w:ascii="Helvetica Neue" w:hAnsi="Helvetica Neue"/>
        </w:rPr>
        <w:t xml:space="preserve">SpaceX could police its own service. That did not make its private boundary the legal one. </w:t>
      </w:r>
      <w:r w:rsidR="00637D67" w:rsidRPr="00D70EA9">
        <w:rPr>
          <w:rFonts w:ascii="Helvetica Neue" w:hAnsi="Helvetica Neue"/>
        </w:rPr>
        <w:t xml:space="preserve">More detail about a terminal, gateway or service setting could narrow the factual inquiry. Wiener’s meaning-in-use places normative meaning in practice rather than in wording alone. </w:t>
      </w:r>
      <w:r w:rsidR="00637D67" w:rsidRPr="00D70EA9">
        <w:rPr>
          <w:rFonts w:ascii="Helvetica Neue" w:hAnsi="Helvetica Neue"/>
          <w:sz w:val="16"/>
          <w:szCs w:val="16"/>
        </w:rPr>
        <w:footnoteReference w:id="48"/>
      </w:r>
    </w:p>
    <w:p w:rsidR="00E1429E" w:rsidRPr="00D70EA9" w:rsidRDefault="00637D67" w:rsidP="00E1429E">
      <w:pPr>
        <w:rPr>
          <w:rFonts w:ascii="Helvetica Neue" w:hAnsi="Helvetica Neue"/>
        </w:rPr>
      </w:pPr>
      <w:r w:rsidRPr="00D70EA9">
        <w:rPr>
          <w:rFonts w:ascii="Helvetica Neue" w:hAnsi="Helvetica Neue"/>
        </w:rPr>
        <w:t xml:space="preserve">Published guidance gives other actors more to work with than inference alone. </w:t>
      </w:r>
      <w:proofErr w:type="spellStart"/>
      <w:r w:rsidRPr="00D70EA9">
        <w:rPr>
          <w:rFonts w:ascii="Helvetica Neue" w:hAnsi="Helvetica Neue"/>
        </w:rPr>
        <w:t>Kuplic</w:t>
      </w:r>
      <w:proofErr w:type="spellEnd"/>
      <w:r w:rsidRPr="00D70EA9">
        <w:rPr>
          <w:rFonts w:ascii="Helvetica Neue" w:hAnsi="Helvetica Neue"/>
        </w:rPr>
        <w:t xml:space="preserve"> and Sawmiller connect guidance, state practice and dialogue with the development of common understandings and fewer misunderstandings or miscalculations</w:t>
      </w:r>
      <w:r w:rsidR="006C67BE" w:rsidRPr="00D70EA9">
        <w:rPr>
          <w:rFonts w:ascii="Helvetica Neue" w:hAnsi="Helvetica Neue"/>
        </w:rPr>
        <w:t>.</w:t>
      </w:r>
      <w:r w:rsidRPr="00D70EA9">
        <w:rPr>
          <w:rFonts w:ascii="Helvetica Neue" w:hAnsi="Helvetica Neue"/>
          <w:sz w:val="16"/>
          <w:szCs w:val="16"/>
        </w:rPr>
        <w:footnoteReference w:id="49"/>
      </w:r>
      <w:r w:rsidRPr="00D70EA9">
        <w:rPr>
          <w:rFonts w:ascii="Helvetica Neue" w:hAnsi="Helvetica Neue"/>
        </w:rPr>
        <w:t xml:space="preserve"> </w:t>
      </w:r>
      <w:r w:rsidR="000A547C" w:rsidRPr="00D70EA9">
        <w:rPr>
          <w:rFonts w:ascii="Helvetica Neue" w:hAnsi="Helvetica Neue"/>
        </w:rPr>
        <w:t xml:space="preserve">The OEWG considered dual-use systems, commercial participation, </w:t>
      </w:r>
      <w:proofErr w:type="spellStart"/>
      <w:r w:rsidR="000A547C" w:rsidRPr="00D70EA9">
        <w:rPr>
          <w:rFonts w:ascii="Helvetica Neue" w:hAnsi="Helvetica Neue"/>
        </w:rPr>
        <w:t>megaconstellations</w:t>
      </w:r>
      <w:proofErr w:type="spellEnd"/>
      <w:r w:rsidR="000A547C" w:rsidRPr="00D70EA9">
        <w:rPr>
          <w:rFonts w:ascii="Helvetica Neue" w:hAnsi="Helvetica Neue"/>
        </w:rPr>
        <w:t xml:space="preserve"> used during military operations, humanitarian consequences from disabling space assets and cyber counterspace threats. No </w:t>
      </w:r>
      <w:r w:rsidR="000A547C" w:rsidRPr="00D70EA9">
        <w:rPr>
          <w:rFonts w:ascii="Helvetica Neue" w:hAnsi="Helvetica Neue"/>
        </w:rPr>
        <w:lastRenderedPageBreak/>
        <w:t>consensus substantive report followed. UNIDIR nevertheless identified several areas where states had moved closer together. It also found cross-regional support for using political commitments alongside legally binding measures.</w:t>
      </w:r>
      <w:r w:rsidRPr="00D70EA9">
        <w:rPr>
          <w:rFonts w:ascii="Helvetica Neue" w:hAnsi="Helvetica Neue"/>
          <w:sz w:val="16"/>
          <w:szCs w:val="16"/>
        </w:rPr>
        <w:footnoteReference w:id="50"/>
      </w:r>
      <w:r w:rsidRPr="00D70EA9">
        <w:rPr>
          <w:rFonts w:ascii="Helvetica Neue" w:hAnsi="Helvetica Neue"/>
        </w:rPr>
        <w:t xml:space="preserve"> </w:t>
      </w:r>
      <w:r w:rsidR="000A547C" w:rsidRPr="00D70EA9">
        <w:rPr>
          <w:rFonts w:ascii="Helvetica Neue" w:hAnsi="Helvetica Neue"/>
        </w:rPr>
        <w:t xml:space="preserve">The 2024 PAROS Group of Governmental Experts later adopted its report by consensus. </w:t>
      </w:r>
      <w:r w:rsidRPr="00D70EA9">
        <w:rPr>
          <w:rFonts w:ascii="Helvetica Neue" w:hAnsi="Helvetica Neue"/>
          <w:sz w:val="16"/>
          <w:szCs w:val="16"/>
        </w:rPr>
        <w:footnoteReference w:id="51"/>
      </w:r>
      <w:r w:rsidRPr="00D70EA9">
        <w:rPr>
          <w:rFonts w:ascii="Helvetica Neue" w:hAnsi="Helvetica Neue"/>
        </w:rPr>
        <w:t xml:space="preserve"> </w:t>
      </w:r>
      <w:r w:rsidR="002A29DB" w:rsidRPr="00D70EA9">
        <w:rPr>
          <w:rFonts w:ascii="Helvetica Neue" w:hAnsi="Helvetica Neue"/>
        </w:rPr>
        <w:t>Fearon’s problem survives all of this. Public discussion can expose a position without exposing the information behind it. A state may still conceal capability or resolve, and may still have reasons to present either misleadingly.</w:t>
      </w:r>
      <w:r w:rsidRPr="00D70EA9">
        <w:rPr>
          <w:rFonts w:ascii="Helvetica Neue" w:hAnsi="Helvetica Neue"/>
          <w:sz w:val="16"/>
          <w:szCs w:val="16"/>
        </w:rPr>
        <w:footnoteReference w:id="52"/>
      </w:r>
      <w:r w:rsidRPr="00D70EA9">
        <w:rPr>
          <w:rFonts w:ascii="Helvetica Neue" w:hAnsi="Helvetica Neue"/>
        </w:rPr>
        <w:t xml:space="preserve"> </w:t>
      </w:r>
    </w:p>
    <w:p w:rsidR="00E1429E" w:rsidRPr="00D70EA9" w:rsidRDefault="002A29DB" w:rsidP="00E1429E">
      <w:pPr>
        <w:rPr>
          <w:rFonts w:ascii="Helvetica Neue" w:hAnsi="Helvetica Neue"/>
        </w:rPr>
      </w:pPr>
      <w:r w:rsidRPr="00D70EA9">
        <w:rPr>
          <w:rFonts w:ascii="Helvetica Neue" w:hAnsi="Helvetica Neue"/>
        </w:rPr>
        <w:t>Vorontsov spoke on 26 October 2022. The White House responded the following day, although its answer concerned the threatened attack on US infrastructure rather than Russia’s definition of participation.</w:t>
      </w:r>
      <w:r w:rsidRPr="00D70EA9">
        <w:rPr>
          <w:rStyle w:val="FootnoteReference"/>
          <w:rFonts w:ascii="Helvetica Neue" w:hAnsi="Helvetica Neue"/>
        </w:rPr>
        <w:footnoteReference w:id="53"/>
      </w:r>
      <w:r w:rsidRPr="00D70EA9">
        <w:rPr>
          <w:rFonts w:ascii="Helvetica Neue" w:hAnsi="Helvetica Neue"/>
        </w:rPr>
        <w:t xml:space="preserve"> Starshield appeared in December. Shotwell discussed SpaceX’s restrictions in February 2023, and the Pentagon contract became public in June. Put in a line, those events can look like stages in the same development. The public record does not establish that relationship. Battlefield requirements were changing during the same period, contracts were being negotiated and concerns about escalation were also present. The dates establish sequence. They do not tell us which event produced another.</w:t>
      </w:r>
    </w:p>
    <w:p w:rsidR="00C8735E" w:rsidRPr="00D70EA9" w:rsidRDefault="00E1429E" w:rsidP="00E1429E">
      <w:pPr>
        <w:rPr>
          <w:rFonts w:ascii="Helvetica Neue" w:hAnsi="Helvetica Neue"/>
        </w:rPr>
      </w:pPr>
      <w:r w:rsidRPr="00D70EA9">
        <w:rPr>
          <w:rFonts w:ascii="Helvetica Neue" w:hAnsi="Helvetica Neue"/>
        </w:rPr>
        <w:t>Paul’s warning about measures of effectiveness matters for that reason. An observed response is weak evidence that an earlier message caused it when other explanations remain available.</w:t>
      </w:r>
      <w:r w:rsidR="00637D67" w:rsidRPr="00D70EA9">
        <w:rPr>
          <w:rFonts w:ascii="Helvetica Neue" w:hAnsi="Helvetica Neue"/>
          <w:sz w:val="16"/>
          <w:szCs w:val="16"/>
        </w:rPr>
        <w:footnoteReference w:id="54"/>
      </w:r>
      <w:r w:rsidR="00637D67" w:rsidRPr="00D70EA9">
        <w:rPr>
          <w:rFonts w:ascii="Helvetica Neue" w:hAnsi="Helvetica Neue"/>
        </w:rPr>
        <w:t xml:space="preserve"> </w:t>
      </w:r>
      <w:r w:rsidRPr="00D70EA9">
        <w:rPr>
          <w:rFonts w:ascii="Helvetica Neue" w:hAnsi="Helvetica Neue"/>
        </w:rPr>
        <w:t>The same problem applies when later evidence is read back into an earlier period. A later acknowledgement of military use may tell us more about a particular function or relationship, but it cannot alter what was publicly known in October 2022. Later disclosure improves the reconstruction of events; it does not move the disclosure itself backwards in time.</w:t>
      </w:r>
      <w:r w:rsidR="00637D67" w:rsidRPr="00D70EA9">
        <w:rPr>
          <w:rFonts w:ascii="Helvetica Neue" w:hAnsi="Helvetica Neue"/>
        </w:rPr>
        <w:t xml:space="preserve"> Nor can it be used to assume that every satellite, gateway or terminal satisfied Article 52 at the earlier point in time.</w:t>
      </w:r>
      <w:r w:rsidR="00637D67" w:rsidRPr="00D70EA9">
        <w:rPr>
          <w:rFonts w:ascii="Helvetica Neue" w:hAnsi="Helvetica Neue"/>
          <w:sz w:val="16"/>
          <w:szCs w:val="16"/>
        </w:rPr>
        <w:footnoteReference w:id="55"/>
      </w:r>
    </w:p>
    <w:p w:rsidR="00C8735E" w:rsidRPr="00D70EA9" w:rsidRDefault="00000000" w:rsidP="00E1429E">
      <w:pPr>
        <w:pStyle w:val="Heading1"/>
        <w:ind w:firstLine="0"/>
        <w:rPr>
          <w:rFonts w:ascii="Helvetica Neue" w:hAnsi="Helvetica Neue"/>
        </w:rPr>
      </w:pPr>
      <w:r w:rsidRPr="00D70EA9">
        <w:rPr>
          <w:rFonts w:ascii="Helvetica Neue" w:hAnsi="Helvetica Neue"/>
        </w:rPr>
        <w:lastRenderedPageBreak/>
        <w:t>Implications and Responses</w:t>
      </w:r>
    </w:p>
    <w:p w:rsidR="00CC0F65" w:rsidRPr="00D70EA9" w:rsidRDefault="00E15C80" w:rsidP="005F41FA">
      <w:pPr>
        <w:pStyle w:val="NormalWeb"/>
        <w:spacing w:line="360" w:lineRule="auto"/>
        <w:rPr>
          <w:rFonts w:ascii="Helvetica Neue" w:hAnsi="Helvetica Neue"/>
        </w:rPr>
      </w:pPr>
      <w:r w:rsidRPr="00D70EA9">
        <w:rPr>
          <w:rFonts w:ascii="Helvetica Neue" w:hAnsi="Helvetica Neue"/>
        </w:rPr>
        <w:t xml:space="preserve">SpaceX could still alter coverage and use conditions after </w:t>
      </w:r>
      <w:proofErr w:type="spellStart"/>
      <w:r w:rsidRPr="00D70EA9">
        <w:rPr>
          <w:rFonts w:ascii="Helvetica Neue" w:hAnsi="Helvetica Neue"/>
        </w:rPr>
        <w:t>Starlink</w:t>
      </w:r>
      <w:proofErr w:type="spellEnd"/>
      <w:r w:rsidRPr="00D70EA9">
        <w:rPr>
          <w:rFonts w:ascii="Helvetica Neue" w:hAnsi="Helvetica Neue"/>
        </w:rPr>
        <w:t xml:space="preserve"> had become operationally important in Ukraine.</w:t>
      </w:r>
      <w:r w:rsidR="00530F08" w:rsidRPr="00D70EA9">
        <w:rPr>
          <w:rFonts w:ascii="Helvetica Neue" w:hAnsi="Helvetica Neue"/>
          <w:sz w:val="16"/>
          <w:szCs w:val="16"/>
        </w:rPr>
        <w:footnoteReference w:id="56"/>
      </w:r>
      <w:r w:rsidR="00203A4E" w:rsidRPr="00D70EA9">
        <w:rPr>
          <w:rFonts w:ascii="Helvetica Neue" w:hAnsi="Helvetica Neue"/>
        </w:rPr>
        <w:t xml:space="preserve"> </w:t>
      </w:r>
      <w:r w:rsidRPr="00D70EA9">
        <w:rPr>
          <w:rFonts w:ascii="Helvetica Neue" w:hAnsi="Helvetica Neue"/>
        </w:rPr>
        <w:t xml:space="preserve">Once a service reaches that point, a change in coverage is no longer an ordinary provider decision for the government relying on it. The contract can address that earlier. Notice before changes to coverage or functionality can be agreed before deployment. Permitted military uses can also be specified there. </w:t>
      </w:r>
      <w:r w:rsidR="007D0AAD" w:rsidRPr="00D70EA9">
        <w:rPr>
          <w:rFonts w:ascii="Helvetica Neue" w:hAnsi="Helvetica Neue"/>
        </w:rPr>
        <w:t xml:space="preserve">Some decisions may remain with the provider; others may require government approval or consultation between the two. Disclosure and escalation-sensitive decisions can be dealt with before they arise during an operation. </w:t>
      </w:r>
      <w:r w:rsidR="007D0AAD" w:rsidRPr="00D70EA9">
        <w:rPr>
          <w:rStyle w:val="Strong"/>
          <w:rFonts w:ascii="Helvetica Neue" w:eastAsiaTheme="majorEastAsia" w:hAnsi="Helvetica Neue"/>
          <w:b w:val="0"/>
          <w:bCs w:val="0"/>
        </w:rPr>
        <w:t>Technical restrictions on coverage or functionality could also be agreed beforehand; geofencing is one option that could be considered.</w:t>
      </w:r>
      <w:r w:rsidR="007D0AAD" w:rsidRPr="00D70EA9">
        <w:rPr>
          <w:rFonts w:ascii="Helvetica Neue" w:hAnsi="Helvetica Neue"/>
          <w:b/>
          <w:bCs/>
        </w:rPr>
        <w:t xml:space="preserve"> </w:t>
      </w:r>
      <w:r w:rsidR="007D0AAD" w:rsidRPr="00D70EA9">
        <w:rPr>
          <w:rFonts w:ascii="Helvetica Neue" w:hAnsi="Helvetica Neue"/>
        </w:rPr>
        <w:t xml:space="preserve">More state authority leaves another issue. A provider tied closely to military requirements may also become more closely embedded in military activity. </w:t>
      </w:r>
    </w:p>
    <w:p w:rsidR="00C8735E" w:rsidRPr="00D70EA9" w:rsidRDefault="00E15C80" w:rsidP="00CC0F65">
      <w:pPr>
        <w:pStyle w:val="NormalWeb"/>
        <w:spacing w:line="360" w:lineRule="auto"/>
        <w:ind w:firstLine="720"/>
        <w:rPr>
          <w:rFonts w:ascii="Helvetica Neue" w:hAnsi="Helvetica Neue"/>
        </w:rPr>
      </w:pPr>
      <w:r w:rsidRPr="00D70EA9">
        <w:rPr>
          <w:rFonts w:ascii="Helvetica Neue" w:hAnsi="Helvetica Neue"/>
        </w:rPr>
        <w:t>KA-SAT points to a different kind of failure. The vulnerable point sat in the path into the service rather than in destruction of the spacecraft itself</w:t>
      </w:r>
      <w:r w:rsidR="00530F08" w:rsidRPr="00D70EA9">
        <w:rPr>
          <w:rFonts w:ascii="Helvetica Neue" w:hAnsi="Helvetica Neue"/>
        </w:rPr>
        <w:t>. Defence users need alternative communications paths, and some separation between military functions and heavily civilian-dependent services may be sensible where feasible. The ICRC treats segregation of military and civilian use as one possible precaution rather than an absolute rule.</w:t>
      </w:r>
      <w:r w:rsidR="00530F08" w:rsidRPr="00D70EA9">
        <w:rPr>
          <w:rFonts w:ascii="Helvetica Neue" w:hAnsi="Helvetica Neue"/>
          <w:sz w:val="16"/>
          <w:szCs w:val="16"/>
        </w:rPr>
        <w:footnoteReference w:id="57"/>
      </w:r>
      <w:r w:rsidR="00530F08" w:rsidRPr="00D70EA9">
        <w:rPr>
          <w:rFonts w:ascii="Helvetica Neue" w:hAnsi="Helvetica Neue"/>
        </w:rPr>
        <w:t xml:space="preserve"> </w:t>
      </w:r>
      <w:proofErr w:type="spellStart"/>
      <w:r w:rsidR="00530F08" w:rsidRPr="00D70EA9">
        <w:rPr>
          <w:rFonts w:ascii="Helvetica Neue" w:hAnsi="Helvetica Neue"/>
        </w:rPr>
        <w:t>Viasat’s</w:t>
      </w:r>
      <w:proofErr w:type="spellEnd"/>
      <w:r w:rsidR="00530F08" w:rsidRPr="00D70EA9">
        <w:rPr>
          <w:rFonts w:ascii="Helvetica Neue" w:hAnsi="Helvetica Neue"/>
        </w:rPr>
        <w:t xml:space="preserve"> account places the vulnerable point in a management function and service partition rather than the satellite as a whole.</w:t>
      </w:r>
      <w:r w:rsidR="00530F08" w:rsidRPr="00D70EA9">
        <w:rPr>
          <w:rFonts w:ascii="Helvetica Neue" w:hAnsi="Helvetica Neue"/>
          <w:sz w:val="16"/>
          <w:szCs w:val="16"/>
        </w:rPr>
        <w:footnoteReference w:id="58"/>
      </w:r>
      <w:r w:rsidR="00530F08" w:rsidRPr="00D70EA9">
        <w:rPr>
          <w:rFonts w:ascii="Helvetica Neue" w:hAnsi="Helvetica Neue"/>
        </w:rPr>
        <w:t xml:space="preserve"> </w:t>
      </w:r>
      <w:r w:rsidR="005F41FA" w:rsidRPr="00D70EA9">
        <w:rPr>
          <w:rFonts w:ascii="Helvetica Neue" w:hAnsi="Helvetica Neue"/>
        </w:rPr>
        <w:t xml:space="preserve">Bi and Zhu’s smallest-feasible-function approach keeps attention on dependencies and cascading effects at the functional level. </w:t>
      </w:r>
      <w:r w:rsidR="00530F08" w:rsidRPr="00D70EA9">
        <w:rPr>
          <w:rFonts w:ascii="Helvetica Neue" w:hAnsi="Helvetica Neue"/>
          <w:sz w:val="16"/>
          <w:szCs w:val="16"/>
        </w:rPr>
        <w:footnoteReference w:id="59"/>
      </w:r>
      <w:r w:rsidR="005F41FA" w:rsidRPr="00D70EA9">
        <w:rPr>
          <w:rFonts w:ascii="Helvetica Neue" w:hAnsi="Helvetica Neue"/>
        </w:rPr>
        <w:t xml:space="preserve"> Complete separation is not always technically or economically sensible. Too much segmentation can also sacrifice the scale and redundancy that make commercial services useful.</w:t>
      </w:r>
    </w:p>
    <w:p w:rsidR="00C8735E" w:rsidRPr="00D70EA9" w:rsidRDefault="00530F08" w:rsidP="00530F08">
      <w:pPr>
        <w:rPr>
          <w:rFonts w:ascii="Helvetica Neue" w:hAnsi="Helvetica Neue"/>
        </w:rPr>
      </w:pPr>
      <w:r w:rsidRPr="00D70EA9">
        <w:rPr>
          <w:rFonts w:ascii="Helvetica Neue" w:hAnsi="Helvetica Neue"/>
        </w:rPr>
        <w:t xml:space="preserve">Commercial operators also hold much of the technical knowledge needed to judge whether proposed rules are workable. UNIDIR notes that commercial entities </w:t>
      </w:r>
      <w:r w:rsidRPr="00D70EA9">
        <w:rPr>
          <w:rFonts w:ascii="Helvetica Neue" w:hAnsi="Helvetica Neue"/>
        </w:rPr>
        <w:lastRenderedPageBreak/>
        <w:t>make up around 80 per cent of the space economy, and the OEWG was open to industry and civil-society participation.</w:t>
      </w:r>
      <w:r w:rsidRPr="00D70EA9">
        <w:rPr>
          <w:rFonts w:ascii="Helvetica Neue" w:hAnsi="Helvetica Neue"/>
          <w:sz w:val="16"/>
          <w:szCs w:val="16"/>
        </w:rPr>
        <w:footnoteReference w:id="60"/>
      </w:r>
      <w:r w:rsidRPr="00D70EA9">
        <w:rPr>
          <w:rFonts w:ascii="Helvetica Neue" w:hAnsi="Helvetica Neue"/>
        </w:rPr>
        <w:t xml:space="preserve"> Their role does not make them public authorities, but service dependencies, technical feasibility and likely effects can be missed if they are absent from the discussion. </w:t>
      </w:r>
      <w:r w:rsidR="00EB0237" w:rsidRPr="00D70EA9">
        <w:rPr>
          <w:rFonts w:ascii="Helvetica Neue" w:hAnsi="Helvetica Neue"/>
        </w:rPr>
        <w:t xml:space="preserve">West and </w:t>
      </w:r>
      <w:proofErr w:type="spellStart"/>
      <w:r w:rsidR="00EB0237" w:rsidRPr="00D70EA9">
        <w:rPr>
          <w:rFonts w:ascii="Helvetica Neue" w:hAnsi="Helvetica Neue"/>
        </w:rPr>
        <w:t>Azcárate</w:t>
      </w:r>
      <w:proofErr w:type="spellEnd"/>
      <w:r w:rsidR="00EB0237" w:rsidRPr="00D70EA9">
        <w:rPr>
          <w:rFonts w:ascii="Helvetica Neue" w:hAnsi="Helvetica Neue"/>
        </w:rPr>
        <w:t xml:space="preserve"> Ortega identify acceptance, implementation and trust as conditions on how norms operate in practice.</w:t>
      </w:r>
      <w:r w:rsidRPr="00D70EA9">
        <w:rPr>
          <w:rFonts w:ascii="Helvetica Neue" w:hAnsi="Helvetica Neue"/>
          <w:sz w:val="16"/>
          <w:szCs w:val="16"/>
        </w:rPr>
        <w:footnoteReference w:id="61"/>
      </w:r>
      <w:r w:rsidRPr="00D70EA9">
        <w:rPr>
          <w:rFonts w:ascii="Helvetica Neue" w:hAnsi="Helvetica Neue"/>
        </w:rPr>
        <w:t xml:space="preserve"> </w:t>
      </w:r>
    </w:p>
    <w:p w:rsidR="00C8735E" w:rsidRPr="00D70EA9" w:rsidRDefault="00000000">
      <w:pPr>
        <w:pStyle w:val="Heading1"/>
        <w:rPr>
          <w:rFonts w:ascii="Helvetica Neue" w:hAnsi="Helvetica Neue"/>
        </w:rPr>
      </w:pPr>
      <w:r w:rsidRPr="00D70EA9">
        <w:rPr>
          <w:rFonts w:ascii="Helvetica Neue" w:hAnsi="Helvetica Neue"/>
        </w:rPr>
        <w:t>Conclusion</w:t>
      </w:r>
    </w:p>
    <w:p w:rsidR="00CC346E" w:rsidRPr="00D70EA9" w:rsidRDefault="00CC346E" w:rsidP="00CC346E">
      <w:pPr>
        <w:pStyle w:val="NormalWeb"/>
        <w:spacing w:line="360" w:lineRule="auto"/>
        <w:rPr>
          <w:rFonts w:ascii="Helvetica Neue" w:hAnsi="Helvetica Neue"/>
        </w:rPr>
      </w:pPr>
      <w:r w:rsidRPr="00D70EA9">
        <w:rPr>
          <w:rFonts w:ascii="Helvetica Neue" w:hAnsi="Helvetica Neue"/>
        </w:rPr>
        <w:t>KA-SAT makes “commercial SATCOM” look like too large a category. The satellite was not the point through which the destructive activity entered the service. Viasat instead traced it through a management function serving a consumer-oriented partition. Civilian disruption was clear. The extent of military disruption was not. That difference matters because Article 52 is concerned with the object in the circumstances at the time, not with whether a network can generally be described as dual-use or commercially owned.</w:t>
      </w:r>
    </w:p>
    <w:p w:rsidR="00CC346E" w:rsidRPr="00D70EA9" w:rsidRDefault="00CC346E" w:rsidP="00CC346E">
      <w:pPr>
        <w:pStyle w:val="NormalWeb"/>
        <w:spacing w:line="360" w:lineRule="auto"/>
        <w:rPr>
          <w:rFonts w:ascii="Helvetica Neue" w:hAnsi="Helvetica Neue"/>
        </w:rPr>
      </w:pPr>
      <w:proofErr w:type="spellStart"/>
      <w:r w:rsidRPr="00D70EA9">
        <w:rPr>
          <w:rFonts w:ascii="Helvetica Neue" w:hAnsi="Helvetica Neue"/>
        </w:rPr>
        <w:t>Starlink</w:t>
      </w:r>
      <w:proofErr w:type="spellEnd"/>
      <w:r w:rsidRPr="00D70EA9">
        <w:rPr>
          <w:rFonts w:ascii="Helvetica Neue" w:hAnsi="Helvetica Neue"/>
        </w:rPr>
        <w:t xml:space="preserve"> exposed another kind of division. Ukraine could depend on the service without controlling it. SpaceX retained authority over coverage and over uses it considered outside its agreement. That authority became strategically important precisely because the network was already useful to Ukrainian forces. Russia then described Western military reliance on commercial infrastructure in much broader terms, as “indirect participation”, and raised retaliation. The White House answered the threat to US infrastructure rather than accepting or rejecting that category. Shotwell later described a provider boundary between communications and offensive use. These positions sat beside one another without producing one definition.</w:t>
      </w:r>
    </w:p>
    <w:p w:rsidR="00CC346E" w:rsidRPr="00D70EA9" w:rsidRDefault="00CC346E" w:rsidP="00CC346E">
      <w:pPr>
        <w:pStyle w:val="NormalWeb"/>
        <w:spacing w:line="360" w:lineRule="auto"/>
        <w:rPr>
          <w:rFonts w:ascii="Helvetica Neue" w:hAnsi="Helvetica Neue"/>
        </w:rPr>
      </w:pPr>
      <w:r w:rsidRPr="00D70EA9">
        <w:rPr>
          <w:rFonts w:ascii="Helvetica Neue" w:hAnsi="Helvetica Neue"/>
        </w:rPr>
        <w:t xml:space="preserve">This is where Wiener and Fearon become useful. Wiener explains why the meaning attached to participation can develop through practice even when the wording remains contested. Fearon points to what the public record cannot show. A state or </w:t>
      </w:r>
      <w:r w:rsidRPr="00D70EA9">
        <w:rPr>
          <w:rFonts w:ascii="Helvetica Neue" w:hAnsi="Helvetica Neue"/>
        </w:rPr>
        <w:lastRenderedPageBreak/>
        <w:t>company may reveal a position while leaving capability, resolve, thresholds or internal reasoning undisclosed.</w:t>
      </w:r>
      <w:r w:rsidRPr="00D70EA9">
        <w:rPr>
          <w:rStyle w:val="FootnoteReference"/>
          <w:rFonts w:ascii="Helvetica Neue" w:hAnsi="Helvetica Neue"/>
        </w:rPr>
        <w:footnoteReference w:id="62"/>
      </w:r>
    </w:p>
    <w:p w:rsidR="00D35557" w:rsidRPr="00D70EA9" w:rsidRDefault="00000000">
      <w:pPr>
        <w:pStyle w:val="NormalWeb"/>
        <w:spacing w:line="360" w:lineRule="auto"/>
        <w:rPr>
          <w:rFonts w:ascii="Helvetica Neue" w:hAnsi="Helvetica Neue"/>
        </w:rPr>
      </w:pPr>
      <w:r w:rsidRPr="00D70EA9">
        <w:rPr>
          <w:rFonts w:ascii="Helvetica Neue" w:hAnsi="Helvetica Neue"/>
        </w:rPr>
        <w:t>Public articulation therefore increased what outside observers could see, but not necessarily what the actors shared.</w:t>
      </w:r>
    </w:p>
    <w:p w:rsidR="00CC346E" w:rsidRPr="00D70EA9" w:rsidRDefault="00CC346E" w:rsidP="00CC346E">
      <w:pPr>
        <w:pStyle w:val="NormalWeb"/>
        <w:spacing w:line="360" w:lineRule="auto"/>
        <w:rPr>
          <w:rFonts w:ascii="Helvetica Neue" w:hAnsi="Helvetica Neue"/>
        </w:rPr>
      </w:pPr>
      <w:r w:rsidRPr="00D70EA9">
        <w:rPr>
          <w:rFonts w:ascii="Helvetica Neue" w:hAnsi="Helvetica Neue"/>
        </w:rPr>
        <w:t>The practical problem is less abstract. Governments that become dependent on commercial communications need alternative paths and clearer arrangements over coverage, functionality and permitted use before those decisions become urgent. Providers also hold technical knowledge that cannot simply be inferred from ownership of the satellite or from public descriptions of the service.</w:t>
      </w:r>
    </w:p>
    <w:p w:rsidR="00CC346E" w:rsidRPr="00D70EA9" w:rsidRDefault="00CC346E" w:rsidP="00CC346E">
      <w:pPr>
        <w:pStyle w:val="NormalWeb"/>
        <w:spacing w:line="360" w:lineRule="auto"/>
        <w:rPr>
          <w:rFonts w:ascii="Helvetica Neue" w:hAnsi="Helvetica Neue"/>
        </w:rPr>
      </w:pPr>
      <w:r w:rsidRPr="00D70EA9">
        <w:rPr>
          <w:rFonts w:ascii="Helvetica Neue" w:hAnsi="Helvetica Neue"/>
        </w:rPr>
        <w:t>Transparency was still useful in this case. It showed that Russia, the United States and SpaceX were not drawing the same line. What it could not do was turn those different lines into one. The uncertainty was no longer only about what the actors thought. It was also about which understanding, if any, would become authoritative.</w:t>
      </w:r>
    </w:p>
    <w:p w:rsidR="0058256A" w:rsidRPr="00D70EA9" w:rsidRDefault="0058256A" w:rsidP="00CC346E">
      <w:pPr>
        <w:pStyle w:val="NormalWeb"/>
        <w:spacing w:line="360" w:lineRule="auto"/>
        <w:rPr>
          <w:rFonts w:ascii="Helvetica Neue" w:hAnsi="Helvetica Neue"/>
        </w:rPr>
      </w:pPr>
    </w:p>
    <w:p w:rsidR="0058256A" w:rsidRPr="00D70EA9" w:rsidRDefault="0058256A">
      <w:pPr>
        <w:rPr>
          <w:rFonts w:ascii="Helvetica Neue" w:hAnsi="Helvetica Neue"/>
        </w:rPr>
      </w:pPr>
    </w:p>
    <w:p w:rsidR="00861563" w:rsidRPr="00D70EA9" w:rsidRDefault="00861563">
      <w:pPr>
        <w:rPr>
          <w:rFonts w:ascii="Helvetica Neue" w:hAnsi="Helvetica Neue"/>
        </w:rPr>
      </w:pPr>
    </w:p>
    <w:p w:rsidR="00861563" w:rsidRPr="00D70EA9" w:rsidRDefault="00861563">
      <w:pPr>
        <w:rPr>
          <w:rFonts w:ascii="Helvetica Neue" w:hAnsi="Helvetica Neue"/>
        </w:rPr>
      </w:pPr>
    </w:p>
    <w:p w:rsidR="00861563" w:rsidRPr="00D70EA9" w:rsidRDefault="00861563">
      <w:pPr>
        <w:rPr>
          <w:rFonts w:ascii="Helvetica Neue" w:hAnsi="Helvetica Neue"/>
        </w:rPr>
      </w:pPr>
    </w:p>
    <w:p w:rsidR="00861563" w:rsidRPr="00D70EA9" w:rsidRDefault="00861563">
      <w:pPr>
        <w:rPr>
          <w:rFonts w:ascii="Helvetica Neue" w:hAnsi="Helvetica Neue"/>
        </w:rPr>
      </w:pPr>
    </w:p>
    <w:p w:rsidR="00861563" w:rsidRPr="00D70EA9" w:rsidRDefault="00861563">
      <w:pPr>
        <w:rPr>
          <w:rFonts w:ascii="Helvetica Neue" w:hAnsi="Helvetica Neue"/>
        </w:rPr>
      </w:pPr>
    </w:p>
    <w:p w:rsidR="00861563" w:rsidRPr="00D70EA9" w:rsidRDefault="00861563">
      <w:pPr>
        <w:rPr>
          <w:rFonts w:ascii="Helvetica Neue" w:hAnsi="Helvetica Neue"/>
        </w:rPr>
      </w:pPr>
    </w:p>
    <w:p w:rsidR="00861563" w:rsidRPr="00D70EA9" w:rsidRDefault="00861563">
      <w:pPr>
        <w:rPr>
          <w:rFonts w:ascii="Helvetica Neue" w:hAnsi="Helvetica Neue"/>
        </w:rPr>
      </w:pPr>
    </w:p>
    <w:p w:rsidR="00C85398" w:rsidRPr="00D70EA9" w:rsidRDefault="00C85398">
      <w:pPr>
        <w:rPr>
          <w:rFonts w:ascii="Helvetica Neue" w:hAnsi="Helvetica Neue"/>
        </w:rPr>
      </w:pPr>
    </w:p>
    <w:p w:rsidR="00C85398" w:rsidRPr="00D70EA9" w:rsidRDefault="00C85398">
      <w:pPr>
        <w:rPr>
          <w:rFonts w:ascii="Helvetica Neue" w:hAnsi="Helvetica Neue"/>
        </w:rPr>
      </w:pPr>
    </w:p>
    <w:p w:rsidR="00C85398" w:rsidRPr="00D70EA9" w:rsidRDefault="00C85398">
      <w:pPr>
        <w:rPr>
          <w:rFonts w:ascii="Helvetica Neue" w:hAnsi="Helvetica Neue"/>
        </w:rPr>
      </w:pPr>
    </w:p>
    <w:p w:rsidR="00C85398" w:rsidRPr="00D70EA9" w:rsidRDefault="00C85398">
      <w:pPr>
        <w:rPr>
          <w:rFonts w:ascii="Helvetica Neue" w:hAnsi="Helvetica Neue"/>
        </w:rPr>
      </w:pPr>
    </w:p>
    <w:p w:rsidR="00C85398" w:rsidRPr="00D70EA9" w:rsidRDefault="00C85398">
      <w:pPr>
        <w:rPr>
          <w:rFonts w:ascii="Helvetica Neue" w:hAnsi="Helvetica Neue"/>
        </w:rPr>
      </w:pPr>
    </w:p>
    <w:p w:rsidR="00C85398" w:rsidRPr="00D70EA9" w:rsidRDefault="00C85398">
      <w:pPr>
        <w:rPr>
          <w:rFonts w:ascii="Helvetica Neue" w:hAnsi="Helvetica Neue"/>
        </w:rPr>
      </w:pPr>
    </w:p>
    <w:p w:rsidR="00861563" w:rsidRPr="00D70EA9" w:rsidRDefault="00861563">
      <w:pPr>
        <w:rPr>
          <w:rFonts w:ascii="Helvetica Neue" w:hAnsi="Helvetica Neue"/>
        </w:rPr>
      </w:pPr>
    </w:p>
    <w:p w:rsidR="00861563" w:rsidRPr="00D70EA9" w:rsidRDefault="00861563">
      <w:pPr>
        <w:rPr>
          <w:rFonts w:ascii="Helvetica Neue" w:hAnsi="Helvetica Neue"/>
        </w:rPr>
      </w:pPr>
    </w:p>
    <w:p w:rsidR="00861563" w:rsidRPr="00D70EA9" w:rsidRDefault="00861563">
      <w:pPr>
        <w:rPr>
          <w:rFonts w:ascii="Helvetica Neue" w:hAnsi="Helvetica Neue"/>
        </w:rPr>
      </w:pPr>
    </w:p>
    <w:p w:rsidR="00861563" w:rsidRPr="00D70EA9" w:rsidRDefault="00861563">
      <w:pPr>
        <w:rPr>
          <w:rFonts w:ascii="Helvetica Neue" w:hAnsi="Helvetica Neue"/>
        </w:rPr>
      </w:pPr>
    </w:p>
    <w:p w:rsidR="00C8735E" w:rsidRPr="00D70EA9" w:rsidRDefault="00000000">
      <w:pPr>
        <w:pStyle w:val="Heading1"/>
        <w:rPr>
          <w:rFonts w:ascii="Helvetica Neue" w:hAnsi="Helvetica Neue"/>
        </w:rPr>
      </w:pPr>
      <w:r w:rsidRPr="00D70EA9">
        <w:rPr>
          <w:rFonts w:ascii="Helvetica Neue" w:hAnsi="Helvetica Neue"/>
        </w:rPr>
        <w:t>Bibliography</w:t>
      </w:r>
    </w:p>
    <w:p w:rsidR="00C8735E" w:rsidRPr="00D70EA9" w:rsidRDefault="00000000">
      <w:pPr>
        <w:spacing w:after="120" w:line="240" w:lineRule="auto"/>
        <w:ind w:left="720" w:hanging="720"/>
        <w:jc w:val="left"/>
        <w:rPr>
          <w:rFonts w:ascii="Helvetica Neue" w:hAnsi="Helvetica Neue"/>
        </w:rPr>
      </w:pPr>
      <w:r w:rsidRPr="00D70EA9">
        <w:rPr>
          <w:rFonts w:ascii="Helvetica Neue" w:hAnsi="Helvetica Neue"/>
        </w:rPr>
        <w:t xml:space="preserve">Aday, Sean, Māris Andžāns, Una Aleksandra Bērziņa-Čerenkova, Francesca Granelli, John-Paul Gravelines, Mils Hills, Miranda Holmstrom, et al. </w:t>
      </w:r>
      <w:r w:rsidRPr="00D70EA9">
        <w:rPr>
          <w:rFonts w:ascii="Helvetica Neue" w:hAnsi="Helvetica Neue"/>
          <w:i/>
          <w:iCs/>
        </w:rPr>
        <w:t>Hybrid Threats: A Strategic Communications Perspective</w:t>
      </w:r>
      <w:r w:rsidRPr="00D70EA9">
        <w:rPr>
          <w:rFonts w:ascii="Helvetica Neue" w:hAnsi="Helvetica Neue"/>
        </w:rPr>
        <w:t>. Riga: NATO Strategic Communications Centre of Excellence, 2019.</w:t>
      </w:r>
    </w:p>
    <w:p w:rsidR="00C8735E" w:rsidRPr="00D70EA9" w:rsidRDefault="00000000">
      <w:pPr>
        <w:spacing w:after="120" w:line="240" w:lineRule="auto"/>
        <w:ind w:left="720" w:hanging="720"/>
        <w:jc w:val="left"/>
        <w:rPr>
          <w:rFonts w:ascii="Helvetica Neue" w:hAnsi="Helvetica Neue"/>
        </w:rPr>
      </w:pPr>
      <w:r w:rsidRPr="00D70EA9">
        <w:rPr>
          <w:rFonts w:ascii="Helvetica Neue" w:hAnsi="Helvetica Neue"/>
          <w:sz w:val="22"/>
        </w:rPr>
        <w:t xml:space="preserve">Albon, Courtney. “SpaceX Forms ‘Starshield’ Business Unit to Focus on National Security.” </w:t>
      </w:r>
      <w:r w:rsidRPr="00D70EA9">
        <w:rPr>
          <w:rFonts w:ascii="Helvetica Neue" w:hAnsi="Helvetica Neue"/>
          <w:i/>
          <w:sz w:val="22"/>
        </w:rPr>
        <w:t>Defense News</w:t>
      </w:r>
      <w:r w:rsidRPr="00D70EA9">
        <w:rPr>
          <w:rFonts w:ascii="Helvetica Neue" w:hAnsi="Helvetica Neue"/>
          <w:sz w:val="22"/>
        </w:rPr>
        <w:t>, 5 December 2022. https://www.defensenews.com/battlefield-tech/space/2022/12/05/spacex-forms-starshield-business-unit-to-focus-on-national-security/.</w:t>
      </w:r>
    </w:p>
    <w:p w:rsidR="00C8735E" w:rsidRPr="00D70EA9" w:rsidRDefault="00000000">
      <w:pPr>
        <w:spacing w:after="120" w:line="240" w:lineRule="auto"/>
        <w:ind w:left="720" w:hanging="720"/>
        <w:jc w:val="left"/>
        <w:rPr>
          <w:rFonts w:ascii="Helvetica Neue" w:hAnsi="Helvetica Neue"/>
        </w:rPr>
      </w:pPr>
      <w:r w:rsidRPr="00D70EA9">
        <w:rPr>
          <w:rFonts w:ascii="Helvetica Neue" w:hAnsi="Helvetica Neue"/>
          <w:sz w:val="22"/>
        </w:rPr>
        <w:t xml:space="preserve">Azcárate Ortega, Almudena, and Sarah Erickson. </w:t>
      </w:r>
      <w:r w:rsidRPr="00D70EA9">
        <w:rPr>
          <w:rFonts w:ascii="Helvetica Neue" w:hAnsi="Helvetica Neue"/>
          <w:i/>
          <w:sz w:val="22"/>
        </w:rPr>
        <w:t>OEWG on Reducing Space Threats: Recap Report</w:t>
      </w:r>
      <w:r w:rsidRPr="00D70EA9">
        <w:rPr>
          <w:rFonts w:ascii="Helvetica Neue" w:hAnsi="Helvetica Neue"/>
          <w:sz w:val="22"/>
        </w:rPr>
        <w:t>. Geneva: United Nations Institute for Disarmament Research, 2024. https://doi.org/10.37559/WMD/24/Space/01.</w:t>
      </w:r>
    </w:p>
    <w:p w:rsidR="00C8735E" w:rsidRPr="00D70EA9" w:rsidRDefault="00000000">
      <w:pPr>
        <w:spacing w:after="120" w:line="240" w:lineRule="auto"/>
        <w:ind w:left="720" w:hanging="720"/>
        <w:jc w:val="left"/>
        <w:rPr>
          <w:rFonts w:ascii="Helvetica Neue" w:hAnsi="Helvetica Neue"/>
        </w:rPr>
      </w:pPr>
      <w:r w:rsidRPr="00D70EA9">
        <w:rPr>
          <w:rFonts w:ascii="Helvetica Neue" w:hAnsi="Helvetica Neue"/>
          <w:sz w:val="22"/>
        </w:rPr>
        <w:t xml:space="preserve">Beard, Jack, and Dale Stephens, eds., with David Koplow. </w:t>
      </w:r>
      <w:r w:rsidRPr="00D70EA9">
        <w:rPr>
          <w:rFonts w:ascii="Helvetica Neue" w:hAnsi="Helvetica Neue"/>
          <w:i/>
          <w:sz w:val="22"/>
        </w:rPr>
        <w:t>The Woomera Manual on the International Law of Military Space Activities and Operations</w:t>
      </w:r>
      <w:r w:rsidRPr="00D70EA9">
        <w:rPr>
          <w:rFonts w:ascii="Helvetica Neue" w:hAnsi="Helvetica Neue"/>
          <w:sz w:val="22"/>
        </w:rPr>
        <w:t>. Oxford: Oxford University Press, 2024. https://doi.org/10.1093/law/9780192870667.001.0001.</w:t>
      </w:r>
    </w:p>
    <w:p w:rsidR="00C8735E" w:rsidRPr="00D70EA9" w:rsidRDefault="00000000">
      <w:pPr>
        <w:spacing w:after="120" w:line="240" w:lineRule="auto"/>
        <w:ind w:left="720" w:hanging="720"/>
        <w:jc w:val="left"/>
        <w:rPr>
          <w:rFonts w:ascii="Helvetica Neue" w:hAnsi="Helvetica Neue"/>
        </w:rPr>
      </w:pPr>
      <w:r w:rsidRPr="00D70EA9">
        <w:rPr>
          <w:rFonts w:ascii="Helvetica Neue" w:hAnsi="Helvetica Neue"/>
          <w:sz w:val="22"/>
        </w:rPr>
        <w:t xml:space="preserve">Berrang, Svenja. “Does the Dual-Use of Space Objects Necessitate a New Geneva Convention?” </w:t>
      </w:r>
      <w:r w:rsidRPr="00D70EA9">
        <w:rPr>
          <w:rFonts w:ascii="Helvetica Neue" w:hAnsi="Helvetica Neue"/>
          <w:i/>
          <w:sz w:val="22"/>
        </w:rPr>
        <w:t>Case Western Reserve Journal of International Law</w:t>
      </w:r>
      <w:r w:rsidRPr="00D70EA9">
        <w:rPr>
          <w:rFonts w:ascii="Helvetica Neue" w:hAnsi="Helvetica Neue"/>
          <w:sz w:val="22"/>
        </w:rPr>
        <w:t xml:space="preserve"> 57 (2025): 315–342. https://scholarlycommons.law.case.edu/jil/vol57/iss1/22/.</w:t>
      </w:r>
    </w:p>
    <w:p w:rsidR="00C8735E" w:rsidRPr="00D70EA9" w:rsidRDefault="00000000">
      <w:pPr>
        <w:spacing w:after="120" w:line="240" w:lineRule="auto"/>
        <w:ind w:left="720" w:hanging="720"/>
        <w:jc w:val="left"/>
        <w:rPr>
          <w:rFonts w:ascii="Helvetica Neue" w:hAnsi="Helvetica Neue"/>
        </w:rPr>
      </w:pPr>
      <w:r w:rsidRPr="00D70EA9">
        <w:rPr>
          <w:rFonts w:ascii="Helvetica Neue" w:hAnsi="Helvetica Neue"/>
          <w:sz w:val="22"/>
        </w:rPr>
        <w:t xml:space="preserve">Bi, Chen, and Yiyang Zhu. “From Objects to Interdependence: How the Law of Armed Conflict Regulates Attacks on Dual-Use Information Infrastructure in Cyber and Information Warfare.” </w:t>
      </w:r>
      <w:r w:rsidRPr="00D70EA9">
        <w:rPr>
          <w:rFonts w:ascii="Helvetica Neue" w:hAnsi="Helvetica Neue"/>
          <w:i/>
          <w:sz w:val="22"/>
        </w:rPr>
        <w:t>Cogent Social Sciences</w:t>
      </w:r>
      <w:r w:rsidRPr="00D70EA9">
        <w:rPr>
          <w:rFonts w:ascii="Helvetica Neue" w:hAnsi="Helvetica Neue"/>
          <w:sz w:val="22"/>
        </w:rPr>
        <w:t xml:space="preserve"> 12, no. 1 (2026): 2719286. https://doi.org/10.1080/23311886.2026.2719286.</w:t>
      </w:r>
    </w:p>
    <w:p w:rsidR="00C8735E" w:rsidRPr="00D70EA9" w:rsidRDefault="00000000">
      <w:pPr>
        <w:spacing w:after="120" w:line="240" w:lineRule="auto"/>
        <w:ind w:left="720" w:hanging="720"/>
        <w:jc w:val="left"/>
        <w:rPr>
          <w:rFonts w:ascii="Helvetica Neue" w:hAnsi="Helvetica Neue"/>
        </w:rPr>
      </w:pPr>
      <w:r w:rsidRPr="00D70EA9">
        <w:rPr>
          <w:rFonts w:ascii="Helvetica Neue" w:hAnsi="Helvetica Neue"/>
          <w:sz w:val="22"/>
        </w:rPr>
        <w:t>Blinken, Antony J. “Attribution of Russia’s Malicious Cyber Activity Against Ukraine.” U.S. Department of State, 10 May 2022. https://2021-2025.state.gov/attribution-of-russias-malicious-cyber-activity-against-ukraine/.</w:t>
      </w:r>
    </w:p>
    <w:p w:rsidR="00C8735E" w:rsidRPr="00D70EA9" w:rsidRDefault="00000000">
      <w:pPr>
        <w:spacing w:after="120" w:line="240" w:lineRule="auto"/>
        <w:ind w:left="720" w:hanging="720"/>
        <w:jc w:val="left"/>
        <w:rPr>
          <w:rFonts w:ascii="Helvetica Neue" w:hAnsi="Helvetica Neue"/>
        </w:rPr>
      </w:pPr>
      <w:r w:rsidRPr="00D70EA9">
        <w:rPr>
          <w:rFonts w:ascii="Helvetica Neue" w:hAnsi="Helvetica Neue"/>
          <w:sz w:val="22"/>
        </w:rPr>
        <w:t xml:space="preserve">CBS News/AFP. “Elon Musk Says He Denied Ukraine Satellite Request to Avoid Complicity in ‘Major Act of War’ vs. Russia.” </w:t>
      </w:r>
      <w:r w:rsidRPr="00D70EA9">
        <w:rPr>
          <w:rFonts w:ascii="Helvetica Neue" w:hAnsi="Helvetica Neue"/>
          <w:i/>
          <w:sz w:val="22"/>
        </w:rPr>
        <w:t>CBS News</w:t>
      </w:r>
      <w:r w:rsidRPr="00D70EA9">
        <w:rPr>
          <w:rFonts w:ascii="Helvetica Neue" w:hAnsi="Helvetica Neue"/>
          <w:sz w:val="22"/>
        </w:rPr>
        <w:t>, 8 September 2023. https://www.cbsnews.com/news/elon-musk-ukraine-russia-war-starlink-satellite-denied-major-act-of-war/.</w:t>
      </w:r>
    </w:p>
    <w:p w:rsidR="00C8735E" w:rsidRPr="00D70EA9" w:rsidRDefault="00000000">
      <w:pPr>
        <w:spacing w:after="120" w:line="240" w:lineRule="auto"/>
        <w:ind w:left="720" w:hanging="720"/>
        <w:jc w:val="left"/>
        <w:rPr>
          <w:rFonts w:ascii="Helvetica Neue" w:hAnsi="Helvetica Neue"/>
        </w:rPr>
      </w:pPr>
      <w:r w:rsidRPr="00D70EA9">
        <w:rPr>
          <w:rFonts w:ascii="Helvetica Neue" w:hAnsi="Helvetica Neue"/>
          <w:sz w:val="22"/>
        </w:rPr>
        <w:t xml:space="preserve">Congressional Research Service. </w:t>
      </w:r>
      <w:r w:rsidRPr="00D70EA9">
        <w:rPr>
          <w:rFonts w:ascii="Helvetica Neue" w:hAnsi="Helvetica Neue"/>
          <w:i/>
          <w:sz w:val="22"/>
        </w:rPr>
        <w:t>Defense Primer: Operations in the Information Environment</w:t>
      </w:r>
      <w:r w:rsidRPr="00D70EA9">
        <w:rPr>
          <w:rFonts w:ascii="Helvetica Neue" w:hAnsi="Helvetica Neue"/>
          <w:sz w:val="22"/>
        </w:rPr>
        <w:t>. IF10771. Updated 29 November 2024. https://www.everycrsreport.com/reports/IF10771.html.</w:t>
      </w:r>
    </w:p>
    <w:p w:rsidR="00C8735E" w:rsidRPr="00D70EA9" w:rsidRDefault="00000000">
      <w:pPr>
        <w:spacing w:after="120" w:line="240" w:lineRule="auto"/>
        <w:ind w:left="720" w:hanging="720"/>
        <w:jc w:val="left"/>
        <w:rPr>
          <w:rFonts w:ascii="Helvetica Neue" w:hAnsi="Helvetica Neue"/>
        </w:rPr>
      </w:pPr>
      <w:r w:rsidRPr="00D70EA9">
        <w:rPr>
          <w:rFonts w:ascii="Helvetica Neue" w:hAnsi="Helvetica Neue"/>
          <w:sz w:val="22"/>
        </w:rPr>
        <w:t>Council of the European Union. “Russian Cyber Operations against Ukraine: Declaration by the High Representative on behalf of the European Union.” Press release 432/22, 10 May 2022. https://www.consilium.europa.eu/en/press/press-releases/2022/05/10/russian-cyber-operations-against-ukraine-declaration-by-the-high-representative-on-behalf-of-the-european-union/.</w:t>
      </w:r>
    </w:p>
    <w:p w:rsidR="00C8735E" w:rsidRPr="00D70EA9" w:rsidRDefault="00000000">
      <w:pPr>
        <w:spacing w:after="120" w:line="240" w:lineRule="auto"/>
        <w:ind w:left="720" w:hanging="720"/>
        <w:jc w:val="left"/>
        <w:rPr>
          <w:rFonts w:ascii="Helvetica Neue" w:hAnsi="Helvetica Neue"/>
        </w:rPr>
      </w:pPr>
      <w:r w:rsidRPr="00D70EA9">
        <w:rPr>
          <w:rFonts w:ascii="Helvetica Neue" w:hAnsi="Helvetica Neue"/>
          <w:sz w:val="22"/>
        </w:rPr>
        <w:lastRenderedPageBreak/>
        <w:t xml:space="preserve">Deppe, Christoph, and Gary S. Schaal. “Cognitive Warfare: A Conceptual Analysis of the NATO ACT Cognitive Warfare Exploratory Concept.” </w:t>
      </w:r>
      <w:r w:rsidRPr="00D70EA9">
        <w:rPr>
          <w:rFonts w:ascii="Helvetica Neue" w:hAnsi="Helvetica Neue"/>
          <w:i/>
          <w:sz w:val="22"/>
        </w:rPr>
        <w:t>Frontiers in Big Data</w:t>
      </w:r>
      <w:r w:rsidRPr="00D70EA9">
        <w:rPr>
          <w:rFonts w:ascii="Helvetica Neue" w:hAnsi="Helvetica Neue"/>
          <w:sz w:val="22"/>
        </w:rPr>
        <w:t xml:space="preserve"> 7 (2024): 1452129. https://doi.org/10.3389/fdata.2024.1452129.</w:t>
      </w:r>
    </w:p>
    <w:p w:rsidR="00C8735E" w:rsidRPr="00D70EA9" w:rsidRDefault="00000000">
      <w:pPr>
        <w:spacing w:after="120" w:line="240" w:lineRule="auto"/>
        <w:ind w:left="720" w:hanging="720"/>
        <w:jc w:val="left"/>
        <w:rPr>
          <w:rFonts w:ascii="Helvetica Neue" w:hAnsi="Helvetica Neue"/>
        </w:rPr>
      </w:pPr>
      <w:r w:rsidRPr="00D70EA9">
        <w:rPr>
          <w:rFonts w:ascii="Helvetica Neue" w:hAnsi="Helvetica Neue"/>
          <w:sz w:val="22"/>
        </w:rPr>
        <w:t xml:space="preserve">Fearon, James D. “Rationalist Explanations for War.” </w:t>
      </w:r>
      <w:r w:rsidRPr="00D70EA9">
        <w:rPr>
          <w:rFonts w:ascii="Helvetica Neue" w:hAnsi="Helvetica Neue"/>
          <w:i/>
          <w:sz w:val="22"/>
        </w:rPr>
        <w:t>International Organization</w:t>
      </w:r>
      <w:r w:rsidRPr="00D70EA9">
        <w:rPr>
          <w:rFonts w:ascii="Helvetica Neue" w:hAnsi="Helvetica Neue"/>
          <w:sz w:val="22"/>
        </w:rPr>
        <w:t xml:space="preserve"> 49, no. 3 (1995): 379–414. https://doi.org/10.1017/S0020818300033324.</w:t>
      </w:r>
    </w:p>
    <w:p w:rsidR="00C8735E" w:rsidRPr="00D70EA9" w:rsidRDefault="00000000">
      <w:pPr>
        <w:spacing w:after="120" w:line="240" w:lineRule="auto"/>
        <w:ind w:left="720" w:hanging="720"/>
        <w:jc w:val="left"/>
        <w:rPr>
          <w:rFonts w:ascii="Helvetica Neue" w:hAnsi="Helvetica Neue"/>
        </w:rPr>
      </w:pPr>
      <w:r w:rsidRPr="00D70EA9">
        <w:rPr>
          <w:rFonts w:ascii="Helvetica Neue" w:hAnsi="Helvetica Neue"/>
          <w:sz w:val="22"/>
        </w:rPr>
        <w:t xml:space="preserve">Foust, Jeff. “Shotwell: Ukraine ‘Weaponized’ Starlink in War against Russia.” </w:t>
      </w:r>
      <w:r w:rsidRPr="00D70EA9">
        <w:rPr>
          <w:rFonts w:ascii="Helvetica Neue" w:hAnsi="Helvetica Neue"/>
          <w:i/>
          <w:sz w:val="22"/>
        </w:rPr>
        <w:t>SpaceNews</w:t>
      </w:r>
      <w:r w:rsidRPr="00D70EA9">
        <w:rPr>
          <w:rFonts w:ascii="Helvetica Neue" w:hAnsi="Helvetica Neue"/>
          <w:sz w:val="22"/>
        </w:rPr>
        <w:t>, 8 February 2023. https://spacenews.com/shotwell-ukraine-weaponized-starlink-in-war-against-russia/.</w:t>
      </w:r>
    </w:p>
    <w:p w:rsidR="00C8735E" w:rsidRPr="00D70EA9" w:rsidRDefault="00000000">
      <w:pPr>
        <w:spacing w:after="120" w:line="240" w:lineRule="auto"/>
        <w:ind w:left="720" w:hanging="720"/>
        <w:jc w:val="left"/>
        <w:rPr>
          <w:rFonts w:ascii="Helvetica Neue" w:hAnsi="Helvetica Neue"/>
        </w:rPr>
      </w:pPr>
      <w:r w:rsidRPr="00D70EA9">
        <w:rPr>
          <w:rFonts w:ascii="Helvetica Neue" w:hAnsi="Helvetica Neue"/>
          <w:sz w:val="22"/>
        </w:rPr>
        <w:t xml:space="preserve">Harper, Jon. “Pentagon Contracting with SpaceX’s Starlink to Provide Satellite Communication Capabilities for Ukraine.” </w:t>
      </w:r>
      <w:r w:rsidRPr="00D70EA9">
        <w:rPr>
          <w:rFonts w:ascii="Helvetica Neue" w:hAnsi="Helvetica Neue"/>
          <w:i/>
          <w:sz w:val="22"/>
        </w:rPr>
        <w:t>DefenseScoop</w:t>
      </w:r>
      <w:r w:rsidRPr="00D70EA9">
        <w:rPr>
          <w:rFonts w:ascii="Helvetica Neue" w:hAnsi="Helvetica Neue"/>
          <w:sz w:val="22"/>
        </w:rPr>
        <w:t>, 1 June 2023. https://defensescoop.com/2023/06/01/pentagon-contracting-with-spacexs-starlink-to-provide-satellite-communication-capabilities-for-ukraine/.</w:t>
      </w:r>
    </w:p>
    <w:p w:rsidR="00C8735E" w:rsidRPr="00D70EA9" w:rsidRDefault="00000000">
      <w:pPr>
        <w:spacing w:after="120" w:line="240" w:lineRule="auto"/>
        <w:ind w:left="720" w:hanging="720"/>
        <w:jc w:val="left"/>
        <w:rPr>
          <w:rFonts w:ascii="Helvetica Neue" w:hAnsi="Helvetica Neue"/>
        </w:rPr>
      </w:pPr>
      <w:r w:rsidRPr="00D70EA9">
        <w:rPr>
          <w:rFonts w:ascii="Helvetica Neue" w:hAnsi="Helvetica Neue"/>
          <w:sz w:val="22"/>
        </w:rPr>
        <w:t xml:space="preserve">Hathaway, Oona A., Azmat Khan, and Mara R. Revkin. “The Dangerous Rise of ‘Dual-Use’ Objects in War.” </w:t>
      </w:r>
      <w:r w:rsidRPr="00D70EA9">
        <w:rPr>
          <w:rFonts w:ascii="Helvetica Neue" w:hAnsi="Helvetica Neue"/>
          <w:i/>
          <w:sz w:val="22"/>
        </w:rPr>
        <w:t>Yale Law Journal</w:t>
      </w:r>
      <w:r w:rsidRPr="00D70EA9">
        <w:rPr>
          <w:rFonts w:ascii="Helvetica Neue" w:hAnsi="Helvetica Neue"/>
          <w:sz w:val="22"/>
        </w:rPr>
        <w:t xml:space="preserve"> 134, no. 8 (2025): 2645–2750. https://yalelawjournal.org/article/the-dangerous-rise-of-dual-use-objects-in-war.</w:t>
      </w:r>
    </w:p>
    <w:p w:rsidR="00C8735E" w:rsidRPr="00D70EA9" w:rsidRDefault="00000000">
      <w:pPr>
        <w:spacing w:after="120" w:line="240" w:lineRule="auto"/>
        <w:ind w:left="720" w:hanging="720"/>
        <w:jc w:val="left"/>
        <w:rPr>
          <w:rFonts w:ascii="Helvetica Neue" w:hAnsi="Helvetica Neue"/>
        </w:rPr>
      </w:pPr>
      <w:r w:rsidRPr="00D70EA9">
        <w:rPr>
          <w:rFonts w:ascii="Helvetica Neue" w:hAnsi="Helvetica Neue"/>
          <w:sz w:val="22"/>
        </w:rPr>
        <w:t xml:space="preserve">International Committee of the Red Cross. </w:t>
      </w:r>
      <w:r w:rsidRPr="00D70EA9">
        <w:rPr>
          <w:rFonts w:ascii="Helvetica Neue" w:hAnsi="Helvetica Neue"/>
          <w:i/>
          <w:sz w:val="22"/>
        </w:rPr>
        <w:t>Constraints under International Law on Military Operations in, or in Relation to, Outer Space during Armed Conflicts</w:t>
      </w:r>
      <w:r w:rsidRPr="00D70EA9">
        <w:rPr>
          <w:rFonts w:ascii="Helvetica Neue" w:hAnsi="Helvetica Neue"/>
          <w:sz w:val="22"/>
        </w:rPr>
        <w:t>. Working paper submitted to the Open-ended Working Group on Reducing Space Threats through Norms, Rules and Principles of Responsible Behaviours, UN Doc. A/AC.294/2022/WP.4, 3 May 2022. https://www.icrc.org/en/document/constraints-under-international-law-military-space-operations.</w:t>
      </w:r>
    </w:p>
    <w:p w:rsidR="00C8735E" w:rsidRPr="00D70EA9" w:rsidRDefault="00000000">
      <w:pPr>
        <w:spacing w:after="120" w:line="240" w:lineRule="auto"/>
        <w:ind w:left="720" w:hanging="720"/>
        <w:jc w:val="left"/>
        <w:rPr>
          <w:rFonts w:ascii="Helvetica Neue" w:hAnsi="Helvetica Neue"/>
        </w:rPr>
      </w:pPr>
      <w:r w:rsidRPr="00D70EA9">
        <w:rPr>
          <w:rFonts w:ascii="Helvetica Neue" w:hAnsi="Helvetica Neue"/>
          <w:sz w:val="22"/>
        </w:rPr>
        <w:t xml:space="preserve">Joint Chiefs of Staff. </w:t>
      </w:r>
      <w:r w:rsidRPr="00D70EA9">
        <w:rPr>
          <w:rFonts w:ascii="Helvetica Neue" w:hAnsi="Helvetica Neue"/>
          <w:i/>
          <w:sz w:val="22"/>
        </w:rPr>
        <w:t>Joint Concept for Operating in the Information Environment (JCOIE)</w:t>
      </w:r>
      <w:r w:rsidRPr="00D70EA9">
        <w:rPr>
          <w:rFonts w:ascii="Helvetica Neue" w:hAnsi="Helvetica Neue"/>
          <w:sz w:val="22"/>
        </w:rPr>
        <w:t>. Washington, DC: Joint Chiefs of Staff, 25 July 2018.</w:t>
      </w:r>
    </w:p>
    <w:p w:rsidR="00C8735E" w:rsidRPr="00D70EA9" w:rsidRDefault="00000000">
      <w:pPr>
        <w:spacing w:after="120" w:line="240" w:lineRule="auto"/>
        <w:ind w:left="720" w:hanging="720"/>
        <w:jc w:val="left"/>
        <w:rPr>
          <w:rFonts w:ascii="Helvetica Neue" w:hAnsi="Helvetica Neue"/>
        </w:rPr>
      </w:pPr>
      <w:r w:rsidRPr="00D70EA9">
        <w:rPr>
          <w:rFonts w:ascii="Helvetica Neue" w:hAnsi="Helvetica Neue"/>
        </w:rPr>
        <w:t xml:space="preserve">———. </w:t>
      </w:r>
      <w:r w:rsidRPr="00D70EA9">
        <w:rPr>
          <w:rFonts w:ascii="Helvetica Neue" w:hAnsi="Helvetica Neue"/>
          <w:i/>
          <w:iCs/>
        </w:rPr>
        <w:t>Joint Publication 3-13: Information Operations</w:t>
      </w:r>
      <w:r w:rsidRPr="00D70EA9">
        <w:rPr>
          <w:rFonts w:ascii="Helvetica Neue" w:hAnsi="Helvetica Neue"/>
        </w:rPr>
        <w:t>. Washington, DC: Joint Chiefs of Staff, 27 November 2012. Incorporating Change 1, 20 November 2014.</w:t>
      </w:r>
    </w:p>
    <w:p w:rsidR="00C8735E" w:rsidRPr="00D70EA9" w:rsidRDefault="00000000">
      <w:pPr>
        <w:spacing w:after="120" w:line="240" w:lineRule="auto"/>
        <w:ind w:left="720" w:hanging="720"/>
        <w:jc w:val="left"/>
        <w:rPr>
          <w:rFonts w:ascii="Helvetica Neue" w:hAnsi="Helvetica Neue"/>
        </w:rPr>
      </w:pPr>
      <w:r w:rsidRPr="00D70EA9">
        <w:rPr>
          <w:rFonts w:ascii="Helvetica Neue" w:hAnsi="Helvetica Neue"/>
          <w:sz w:val="22"/>
        </w:rPr>
        <w:t xml:space="preserve">Kuplic, G. Blair, and Jonathan Sawmiller. “Humanity on the Final Frontier: Challenges in Applying International Humanitarian Law to Modern Military Space Operations.” </w:t>
      </w:r>
      <w:r w:rsidRPr="00D70EA9">
        <w:rPr>
          <w:rFonts w:ascii="Helvetica Neue" w:hAnsi="Helvetica Neue"/>
          <w:i/>
          <w:sz w:val="22"/>
        </w:rPr>
        <w:t>International Review of the Red Cross</w:t>
      </w:r>
      <w:r w:rsidRPr="00D70EA9">
        <w:rPr>
          <w:rFonts w:ascii="Helvetica Neue" w:hAnsi="Helvetica Neue"/>
          <w:sz w:val="22"/>
        </w:rPr>
        <w:t xml:space="preserve"> 107, no. 928 (2025): 200–237. https://doi.org/10.1017/S1816383124000559.</w:t>
      </w:r>
    </w:p>
    <w:p w:rsidR="00C8735E" w:rsidRPr="00D70EA9" w:rsidRDefault="00000000">
      <w:pPr>
        <w:spacing w:after="120" w:line="240" w:lineRule="auto"/>
        <w:ind w:left="720" w:hanging="720"/>
        <w:jc w:val="left"/>
        <w:rPr>
          <w:rFonts w:ascii="Helvetica Neue" w:hAnsi="Helvetica Neue"/>
        </w:rPr>
      </w:pPr>
      <w:r w:rsidRPr="00D70EA9">
        <w:rPr>
          <w:rFonts w:ascii="Helvetica Neue" w:hAnsi="Helvetica Neue"/>
          <w:sz w:val="22"/>
        </w:rPr>
        <w:t>MITRE ATT&amp;CK. “AcidRain.” Software S1125, version 1.1. Last modified 15 April 2025. https://attack.mitre.org/software/S1125/.</w:t>
      </w:r>
    </w:p>
    <w:p w:rsidR="00C8735E" w:rsidRPr="00D70EA9" w:rsidRDefault="00000000">
      <w:pPr>
        <w:spacing w:after="120" w:line="240" w:lineRule="auto"/>
        <w:ind w:left="720" w:hanging="720"/>
        <w:jc w:val="left"/>
        <w:rPr>
          <w:rFonts w:ascii="Helvetica Neue" w:hAnsi="Helvetica Neue"/>
        </w:rPr>
      </w:pPr>
      <w:r w:rsidRPr="00D70EA9">
        <w:rPr>
          <w:rFonts w:ascii="Helvetica Neue" w:hAnsi="Helvetica Neue"/>
          <w:sz w:val="22"/>
        </w:rPr>
        <w:t xml:space="preserve">Paul, Christopher. </w:t>
      </w:r>
      <w:r w:rsidRPr="00D70EA9">
        <w:rPr>
          <w:rFonts w:ascii="Helvetica Neue" w:hAnsi="Helvetica Neue"/>
          <w:i/>
          <w:sz w:val="22"/>
        </w:rPr>
        <w:t>Strategic Communication: Origins, Concepts, and Current Debates</w:t>
      </w:r>
      <w:r w:rsidRPr="00D70EA9">
        <w:rPr>
          <w:rFonts w:ascii="Helvetica Neue" w:hAnsi="Helvetica Neue"/>
          <w:sz w:val="22"/>
        </w:rPr>
        <w:t>. Santa Barbara, CA: Praeger, 2011.</w:t>
      </w:r>
    </w:p>
    <w:p w:rsidR="00C8735E" w:rsidRPr="00D70EA9" w:rsidRDefault="00000000">
      <w:pPr>
        <w:spacing w:after="120" w:line="240" w:lineRule="auto"/>
        <w:ind w:left="720" w:hanging="720"/>
        <w:jc w:val="left"/>
        <w:rPr>
          <w:rFonts w:ascii="Helvetica Neue" w:hAnsi="Helvetica Neue"/>
        </w:rPr>
      </w:pPr>
      <w:r w:rsidRPr="00D70EA9">
        <w:rPr>
          <w:rFonts w:ascii="Helvetica Neue" w:hAnsi="Helvetica Neue"/>
          <w:sz w:val="22"/>
        </w:rPr>
        <w:t>Protocol Additional to the Geneva Conventions of 12 August 1949, and Relating to the Protection of Victims of International Armed Conflicts (Protocol I). 8 June 1977. 1125 U.N.T.S. 3.</w:t>
      </w:r>
    </w:p>
    <w:p w:rsidR="00C8735E" w:rsidRPr="00D70EA9" w:rsidRDefault="00000000">
      <w:pPr>
        <w:spacing w:after="120" w:line="240" w:lineRule="auto"/>
        <w:ind w:left="720" w:hanging="720"/>
        <w:jc w:val="left"/>
        <w:rPr>
          <w:rFonts w:ascii="Helvetica Neue" w:hAnsi="Helvetica Neue"/>
        </w:rPr>
      </w:pPr>
      <w:r w:rsidRPr="00D70EA9">
        <w:rPr>
          <w:rFonts w:ascii="Helvetica Neue" w:hAnsi="Helvetica Neue"/>
          <w:sz w:val="22"/>
        </w:rPr>
        <w:t xml:space="preserve">Rid, Thomas, and Ben Buchanan. “Attributing Cyber Attacks.” </w:t>
      </w:r>
      <w:r w:rsidRPr="00D70EA9">
        <w:rPr>
          <w:rFonts w:ascii="Helvetica Neue" w:hAnsi="Helvetica Neue"/>
          <w:i/>
          <w:sz w:val="22"/>
        </w:rPr>
        <w:t>Journal of Strategic Studies</w:t>
      </w:r>
      <w:r w:rsidRPr="00D70EA9">
        <w:rPr>
          <w:rFonts w:ascii="Helvetica Neue" w:hAnsi="Helvetica Neue"/>
          <w:sz w:val="22"/>
        </w:rPr>
        <w:t xml:space="preserve"> 38, nos. 1–2 (2015): 4–37. https://doi.org/10.1080/01402390.2014.977382.</w:t>
      </w:r>
    </w:p>
    <w:p w:rsidR="00C8735E" w:rsidRPr="00D70EA9" w:rsidRDefault="00000000">
      <w:pPr>
        <w:spacing w:after="120" w:line="240" w:lineRule="auto"/>
        <w:ind w:left="720" w:hanging="720"/>
        <w:jc w:val="left"/>
        <w:rPr>
          <w:rFonts w:ascii="Helvetica Neue" w:hAnsi="Helvetica Neue"/>
        </w:rPr>
      </w:pPr>
      <w:r w:rsidRPr="00D70EA9">
        <w:rPr>
          <w:rFonts w:ascii="Helvetica Neue" w:hAnsi="Helvetica Neue"/>
          <w:sz w:val="22"/>
        </w:rPr>
        <w:t>UK National Cyber Security Centre. “Russia behind Cyber Attack with Europe-Wide Impact an Hour before Ukraine Invasion.” 10 May 2022. https://www.ncsc.gov.uk/news/russia-behind-cyber-attack-with-europe-wide-impact-hour-before-ukraine-invasion.</w:t>
      </w:r>
    </w:p>
    <w:p w:rsidR="00C8735E" w:rsidRPr="00D70EA9" w:rsidRDefault="00000000">
      <w:pPr>
        <w:spacing w:after="120" w:line="240" w:lineRule="auto"/>
        <w:ind w:left="720" w:hanging="720"/>
        <w:jc w:val="left"/>
        <w:rPr>
          <w:rFonts w:ascii="Helvetica Neue" w:hAnsi="Helvetica Neue"/>
        </w:rPr>
      </w:pPr>
      <w:r w:rsidRPr="00D70EA9">
        <w:rPr>
          <w:rFonts w:ascii="Helvetica Neue" w:hAnsi="Helvetica Neue"/>
          <w:sz w:val="22"/>
        </w:rPr>
        <w:t xml:space="preserve">United Nations General Assembly. </w:t>
      </w:r>
      <w:r w:rsidRPr="00D70EA9">
        <w:rPr>
          <w:rFonts w:ascii="Helvetica Neue" w:hAnsi="Helvetica Neue"/>
          <w:i/>
          <w:sz w:val="22"/>
        </w:rPr>
        <w:t>Report of the Group of Governmental Experts on Further Practical Measures for the Prevention of an Arms Race in Outer Space</w:t>
      </w:r>
      <w:r w:rsidRPr="00D70EA9">
        <w:rPr>
          <w:rFonts w:ascii="Helvetica Neue" w:hAnsi="Helvetica Neue"/>
          <w:sz w:val="22"/>
        </w:rPr>
        <w:t>. A/79/364. 20 September 2024.</w:t>
      </w:r>
    </w:p>
    <w:p w:rsidR="00C8735E" w:rsidRPr="00D70EA9" w:rsidRDefault="00000000">
      <w:pPr>
        <w:spacing w:after="120" w:line="240" w:lineRule="auto"/>
        <w:ind w:left="720" w:hanging="720"/>
        <w:jc w:val="left"/>
        <w:rPr>
          <w:rFonts w:ascii="Helvetica Neue" w:hAnsi="Helvetica Neue"/>
        </w:rPr>
      </w:pPr>
      <w:r w:rsidRPr="00D70EA9">
        <w:rPr>
          <w:rFonts w:ascii="Helvetica Neue" w:hAnsi="Helvetica Neue"/>
          <w:sz w:val="22"/>
        </w:rPr>
        <w:lastRenderedPageBreak/>
        <w:t>U.S. Department of Defense. “Sabrina Singh, Deputy Pentagon Press Secretary, Holds a Press Briefing.” Transcript, 14 October 2022. https://www.defense.gov/News/Transcripts/Transcript/Article/3189495/sabrina-singh-deputy-pentagon-press-secretary-holds-a-press-briefing/.</w:t>
      </w:r>
    </w:p>
    <w:p w:rsidR="00C8735E" w:rsidRPr="00D70EA9" w:rsidRDefault="00000000">
      <w:pPr>
        <w:spacing w:after="120" w:line="240" w:lineRule="auto"/>
        <w:ind w:left="720" w:hanging="720"/>
        <w:jc w:val="left"/>
        <w:rPr>
          <w:rFonts w:ascii="Helvetica Neue" w:hAnsi="Helvetica Neue"/>
        </w:rPr>
      </w:pPr>
      <w:r w:rsidRPr="00D70EA9">
        <w:rPr>
          <w:rFonts w:ascii="Helvetica Neue" w:hAnsi="Helvetica Neue"/>
          <w:sz w:val="22"/>
        </w:rPr>
        <w:t xml:space="preserve">———. </w:t>
      </w:r>
      <w:r w:rsidRPr="00D70EA9">
        <w:rPr>
          <w:rFonts w:ascii="Helvetica Neue" w:hAnsi="Helvetica Neue"/>
          <w:i/>
          <w:sz w:val="22"/>
        </w:rPr>
        <w:t>Strategy for Operations in the Information Environment</w:t>
      </w:r>
      <w:r w:rsidRPr="00D70EA9">
        <w:rPr>
          <w:rFonts w:ascii="Helvetica Neue" w:hAnsi="Helvetica Neue"/>
          <w:sz w:val="22"/>
        </w:rPr>
        <w:t>. Washington, DC: Department of Defense, 2023.</w:t>
      </w:r>
    </w:p>
    <w:p w:rsidR="00C8735E" w:rsidRPr="00D70EA9" w:rsidRDefault="00000000">
      <w:pPr>
        <w:spacing w:after="120" w:line="240" w:lineRule="auto"/>
        <w:ind w:left="720" w:hanging="720"/>
        <w:jc w:val="left"/>
        <w:rPr>
          <w:rFonts w:ascii="Helvetica Neue" w:hAnsi="Helvetica Neue"/>
        </w:rPr>
      </w:pPr>
      <w:r w:rsidRPr="00D70EA9">
        <w:rPr>
          <w:rFonts w:ascii="Helvetica Neue" w:hAnsi="Helvetica Neue"/>
          <w:sz w:val="22"/>
        </w:rPr>
        <w:t>Viasat, Inc. “KA-SAT Network Cyber Attack Overview.” 30 March 2022. https://www.viasat.com/perspectives/corporate/2022/ka-sat-network-cyber-attack-overview/.</w:t>
      </w:r>
    </w:p>
    <w:p w:rsidR="00C8735E" w:rsidRPr="00D70EA9" w:rsidRDefault="00000000">
      <w:pPr>
        <w:spacing w:after="120" w:line="240" w:lineRule="auto"/>
        <w:ind w:left="720" w:hanging="720"/>
        <w:jc w:val="left"/>
        <w:rPr>
          <w:rFonts w:ascii="Helvetica Neue" w:hAnsi="Helvetica Neue"/>
        </w:rPr>
      </w:pPr>
      <w:r w:rsidRPr="00D70EA9">
        <w:rPr>
          <w:rFonts w:ascii="Helvetica Neue" w:hAnsi="Helvetica Neue"/>
          <w:sz w:val="22"/>
        </w:rPr>
        <w:t>Vorontsov, Konstantin. “Statement by Deputy Head of the Russian Delegation Mr. Konstantin Vorontsov at the Thematic Discussion on Outer Space (Disarmament Aspects) in the First Committee of the 77th Session of the UNGA.” Permanent Mission of the Russian Federation to the United Nations, 26 October 2022. Unofficial translation. https://russiaun.ru/en/news/261022_v.</w:t>
      </w:r>
    </w:p>
    <w:p w:rsidR="00C8735E" w:rsidRPr="00D70EA9" w:rsidRDefault="00000000">
      <w:pPr>
        <w:spacing w:after="120" w:line="240" w:lineRule="auto"/>
        <w:ind w:left="720" w:hanging="720"/>
        <w:jc w:val="left"/>
        <w:rPr>
          <w:rFonts w:ascii="Helvetica Neue" w:hAnsi="Helvetica Neue"/>
        </w:rPr>
      </w:pPr>
      <w:r w:rsidRPr="00D70EA9">
        <w:rPr>
          <w:rFonts w:ascii="Helvetica Neue" w:hAnsi="Helvetica Neue"/>
          <w:sz w:val="22"/>
        </w:rPr>
        <w:t xml:space="preserve">West, Jessica, and Almudena Azcárate Ortega. </w:t>
      </w:r>
      <w:r w:rsidRPr="00D70EA9">
        <w:rPr>
          <w:rFonts w:ascii="Helvetica Neue" w:hAnsi="Helvetica Neue"/>
          <w:i/>
          <w:sz w:val="22"/>
        </w:rPr>
        <w:t>Norms for Outer Space: A Small Step or a Giant Leap for Policymaking?</w:t>
      </w:r>
      <w:r w:rsidRPr="00D70EA9">
        <w:rPr>
          <w:rFonts w:ascii="Helvetica Neue" w:hAnsi="Helvetica Neue"/>
          <w:sz w:val="22"/>
        </w:rPr>
        <w:t xml:space="preserve"> Space Dossier 7. Geneva: United Nations Institute for Disarmament Research, 2022. https://doi.org/10.37559/WMD/22/Space/01.</w:t>
      </w:r>
    </w:p>
    <w:p w:rsidR="00C8735E" w:rsidRPr="00D70EA9" w:rsidRDefault="00000000">
      <w:pPr>
        <w:spacing w:after="120" w:line="240" w:lineRule="auto"/>
        <w:ind w:left="720" w:hanging="720"/>
        <w:jc w:val="left"/>
        <w:rPr>
          <w:rFonts w:ascii="Helvetica Neue" w:hAnsi="Helvetica Neue"/>
        </w:rPr>
      </w:pPr>
      <w:r w:rsidRPr="00D70EA9">
        <w:rPr>
          <w:rFonts w:ascii="Helvetica Neue" w:hAnsi="Helvetica Neue"/>
          <w:sz w:val="22"/>
        </w:rPr>
        <w:t>The White House. “Press Gaggle by Press Secretary Karine Jean-Pierre En Route Syracuse, NY.” 27 October 2022. https://bidenwhitehouse.archives.gov/briefing-room/press-briefings/2022/10/27/press-gaggle-by-press-secretary-karine-jean-pierre-en-route-syracuse-ny/.</w:t>
      </w:r>
    </w:p>
    <w:p w:rsidR="00C8735E" w:rsidRPr="00D70EA9" w:rsidRDefault="00000000">
      <w:pPr>
        <w:spacing w:after="120" w:line="240" w:lineRule="auto"/>
        <w:ind w:left="720" w:hanging="720"/>
        <w:jc w:val="left"/>
        <w:rPr>
          <w:rFonts w:ascii="Helvetica Neue" w:hAnsi="Helvetica Neue"/>
        </w:rPr>
      </w:pPr>
      <w:r w:rsidRPr="00D70EA9">
        <w:rPr>
          <w:rFonts w:ascii="Helvetica Neue" w:hAnsi="Helvetica Neue"/>
          <w:sz w:val="22"/>
        </w:rPr>
        <w:t xml:space="preserve">Wiener, Antje. “Contested Compliance: Interventions on the Normative Structure of World Politics.” </w:t>
      </w:r>
      <w:r w:rsidRPr="00D70EA9">
        <w:rPr>
          <w:rFonts w:ascii="Helvetica Neue" w:hAnsi="Helvetica Neue"/>
          <w:i/>
          <w:sz w:val="22"/>
        </w:rPr>
        <w:t>European Journal of International Relations</w:t>
      </w:r>
      <w:r w:rsidRPr="00D70EA9">
        <w:rPr>
          <w:rFonts w:ascii="Helvetica Neue" w:hAnsi="Helvetica Neue"/>
          <w:sz w:val="22"/>
        </w:rPr>
        <w:t xml:space="preserve"> 10, no. 2 (2004): 189–234. https://doi.org/10.1177/1354066104042934.</w:t>
      </w:r>
    </w:p>
    <w:p w:rsidR="00C8735E" w:rsidRPr="00D70EA9" w:rsidRDefault="00000000">
      <w:pPr>
        <w:spacing w:after="120" w:line="240" w:lineRule="auto"/>
        <w:ind w:left="720" w:hanging="720"/>
        <w:jc w:val="left"/>
        <w:rPr>
          <w:rFonts w:ascii="Helvetica Neue" w:hAnsi="Helvetica Neue"/>
        </w:rPr>
      </w:pPr>
      <w:r w:rsidRPr="00D70EA9">
        <w:rPr>
          <w:rFonts w:ascii="Helvetica Neue" w:hAnsi="Helvetica Neue"/>
          <w:sz w:val="22"/>
        </w:rPr>
        <w:t xml:space="preserve">Wither, James K. “Making Sense of Hybrid Warfare.” </w:t>
      </w:r>
      <w:r w:rsidRPr="00D70EA9">
        <w:rPr>
          <w:rFonts w:ascii="Helvetica Neue" w:hAnsi="Helvetica Neue"/>
          <w:i/>
          <w:sz w:val="22"/>
        </w:rPr>
        <w:t>Connections: The Quarterly Journal</w:t>
      </w:r>
      <w:r w:rsidRPr="00D70EA9">
        <w:rPr>
          <w:rFonts w:ascii="Helvetica Neue" w:hAnsi="Helvetica Neue"/>
          <w:sz w:val="22"/>
        </w:rPr>
        <w:t xml:space="preserve"> 15, no. 2 (2016): 73–87. https://doi.org/10.11610/Connections.15.2.06.</w:t>
      </w:r>
    </w:p>
    <w:p w:rsidR="00C8735E" w:rsidRPr="00D70EA9" w:rsidRDefault="00000000">
      <w:pPr>
        <w:spacing w:after="120" w:line="240" w:lineRule="auto"/>
        <w:ind w:left="720" w:hanging="720"/>
        <w:jc w:val="left"/>
        <w:rPr>
          <w:rFonts w:ascii="Helvetica Neue" w:hAnsi="Helvetica Neue"/>
        </w:rPr>
      </w:pPr>
      <w:r w:rsidRPr="00D70EA9">
        <w:rPr>
          <w:rFonts w:ascii="Helvetica Neue" w:hAnsi="Helvetica Neue"/>
          <w:sz w:val="22"/>
        </w:rPr>
        <w:t xml:space="preserve">Zetter, Kim. “Viasat Hack ‘Did Not’ Have Huge Impact on Ukrainian Military Communications, Official Says.” </w:t>
      </w:r>
      <w:r w:rsidRPr="00D70EA9">
        <w:rPr>
          <w:rFonts w:ascii="Helvetica Neue" w:hAnsi="Helvetica Neue"/>
          <w:i/>
          <w:sz w:val="22"/>
        </w:rPr>
        <w:t>Zero Day</w:t>
      </w:r>
      <w:r w:rsidRPr="00D70EA9">
        <w:rPr>
          <w:rFonts w:ascii="Helvetica Neue" w:hAnsi="Helvetica Neue"/>
          <w:sz w:val="22"/>
        </w:rPr>
        <w:t>, 26 September 2022. https://www.zetter-zeroday.com/viasat-hack-did-not-have-huge-impact/.</w:t>
      </w:r>
    </w:p>
    <w:sectPr w:rsidR="00C8735E" w:rsidRPr="00D70EA9">
      <w:footerReference w:type="even"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419FB" w:rsidRDefault="00C419FB" w:rsidP="004326E1">
      <w:r>
        <w:separator/>
      </w:r>
    </w:p>
  </w:endnote>
  <w:endnote w:type="continuationSeparator" w:id="0">
    <w:p w:rsidR="00C419FB" w:rsidRDefault="00C419FB" w:rsidP="004326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536266886"/>
      <w:docPartObj>
        <w:docPartGallery w:val="Page Numbers (Bottom of Page)"/>
        <w:docPartUnique/>
      </w:docPartObj>
    </w:sdtPr>
    <w:sdtContent>
      <w:p w:rsidR="004326E1" w:rsidRDefault="004326E1" w:rsidP="009D57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1A1716">
          <w:rPr>
            <w:rStyle w:val="PageNumber"/>
            <w:noProof/>
          </w:rPr>
          <w:t>1</w:t>
        </w:r>
        <w:r>
          <w:rPr>
            <w:rStyle w:val="PageNumber"/>
          </w:rPr>
          <w:fldChar w:fldCharType="end"/>
        </w:r>
      </w:p>
    </w:sdtContent>
  </w:sdt>
  <w:p w:rsidR="004326E1" w:rsidRDefault="004326E1" w:rsidP="004326E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093848188"/>
      <w:docPartObj>
        <w:docPartGallery w:val="Page Numbers (Bottom of Page)"/>
        <w:docPartUnique/>
      </w:docPartObj>
    </w:sdtPr>
    <w:sdtContent>
      <w:p w:rsidR="004326E1" w:rsidRDefault="004326E1" w:rsidP="009D57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419FB" w:rsidRDefault="00C419FB" w:rsidP="004326E1">
      <w:r>
        <w:separator/>
      </w:r>
    </w:p>
  </w:footnote>
  <w:footnote w:type="continuationSeparator" w:id="0">
    <w:p w:rsidR="00C419FB" w:rsidRDefault="00C419FB" w:rsidP="004326E1">
      <w:r>
        <w:continuationSeparator/>
      </w:r>
    </w:p>
  </w:footnote>
  <w:footnote w:id="1">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UK National Cyber Security Centre, “Russia behind Cyber Attack with Europe-Wide Impact an Hour before Ukraine Invasion,” 10 May 2022, https://www.ncsc.gov.uk/news/russia-behind-cyber-attack-with-europe-wide-impact-hour-before-ukraine-invasion.</w:t>
      </w:r>
    </w:p>
  </w:footnote>
  <w:footnote w:id="2">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Antony J. Blinken, “Attribution of Russia’s Malicious Cyber Activity Against Ukraine,” U.S. Department of State, 10 May 2022, https://2021-2025.state.gov/attribution-of-russias-malicious-cyber-activity-against-ukraine/.</w:t>
      </w:r>
    </w:p>
  </w:footnote>
  <w:footnote w:id="3">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Konstantin </w:t>
      </w:r>
      <w:proofErr w:type="spellStart"/>
      <w:r w:rsidRPr="002418D7">
        <w:rPr>
          <w:rFonts w:ascii="Helvetica Neue" w:hAnsi="Helvetica Neue"/>
          <w:sz w:val="16"/>
          <w:szCs w:val="16"/>
        </w:rPr>
        <w:t>Vorontsov</w:t>
      </w:r>
      <w:proofErr w:type="spellEnd"/>
      <w:r w:rsidRPr="002418D7">
        <w:rPr>
          <w:rFonts w:ascii="Helvetica Neue" w:hAnsi="Helvetica Neue"/>
          <w:sz w:val="16"/>
          <w:szCs w:val="16"/>
        </w:rPr>
        <w:t>, “Statement by Deputy Head of the Russian Delegation Mr. Konstantin Vorontsov at the Thematic Discussion on Outer Space (Disarmament Aspects) in the First Committee of the 77th Session of the UNGA,” Permanent Mission of the Russian Federation to the United Nations, 26 October 2022, unofficial translation, https://russiaun.ru/en/news/261022_v.</w:t>
      </w:r>
    </w:p>
  </w:footnote>
  <w:footnote w:id="4">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Jeff Foust, “Shotwell: Ukraine ‘Weaponized’ </w:t>
      </w:r>
      <w:proofErr w:type="spellStart"/>
      <w:r w:rsidRPr="002418D7">
        <w:rPr>
          <w:rFonts w:ascii="Helvetica Neue" w:hAnsi="Helvetica Neue"/>
          <w:sz w:val="16"/>
          <w:szCs w:val="16"/>
        </w:rPr>
        <w:t>Starlink</w:t>
      </w:r>
      <w:proofErr w:type="spellEnd"/>
      <w:r w:rsidRPr="002418D7">
        <w:rPr>
          <w:rFonts w:ascii="Helvetica Neue" w:hAnsi="Helvetica Neue"/>
          <w:sz w:val="16"/>
          <w:szCs w:val="16"/>
        </w:rPr>
        <w:t xml:space="preserve"> in War against Russia,” </w:t>
      </w:r>
      <w:proofErr w:type="spellStart"/>
      <w:r w:rsidRPr="002418D7">
        <w:rPr>
          <w:rFonts w:ascii="Helvetica Neue" w:hAnsi="Helvetica Neue"/>
          <w:i/>
          <w:sz w:val="16"/>
          <w:szCs w:val="16"/>
        </w:rPr>
        <w:t>SpaceNews</w:t>
      </w:r>
      <w:proofErr w:type="spellEnd"/>
      <w:r w:rsidRPr="002418D7">
        <w:rPr>
          <w:rFonts w:ascii="Helvetica Neue" w:hAnsi="Helvetica Neue"/>
          <w:sz w:val="16"/>
          <w:szCs w:val="16"/>
        </w:rPr>
        <w:t>, 8 February 2023, https://spacenews.com/shotwell-ukraine-weaponized-starlink-in-war-against-russia/.</w:t>
      </w:r>
    </w:p>
  </w:footnote>
  <w:footnote w:id="5">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G. Blair Kuplic and Jonathan Sawmiller, “Humanity on the Final Frontier: Challenges in Applying International Humanitarian Law to Modern Military Space Operations,” </w:t>
      </w:r>
      <w:r w:rsidRPr="002418D7">
        <w:rPr>
          <w:rFonts w:ascii="Helvetica Neue" w:hAnsi="Helvetica Neue"/>
          <w:i/>
          <w:sz w:val="16"/>
          <w:szCs w:val="16"/>
        </w:rPr>
        <w:t>International Review of the Red Cross</w:t>
      </w:r>
      <w:r w:rsidRPr="002418D7">
        <w:rPr>
          <w:rFonts w:ascii="Helvetica Neue" w:hAnsi="Helvetica Neue"/>
          <w:sz w:val="16"/>
          <w:szCs w:val="16"/>
        </w:rPr>
        <w:t xml:space="preserve"> 107, no. 928 (2025): 219, 235–37, https://doi.org/10.1017/S1816383124000559.</w:t>
      </w:r>
    </w:p>
  </w:footnote>
  <w:footnote w:id="6">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Jessica West and Almudena Azcárate Ortega, </w:t>
      </w:r>
      <w:r w:rsidRPr="002418D7">
        <w:rPr>
          <w:rFonts w:ascii="Helvetica Neue" w:hAnsi="Helvetica Neue"/>
          <w:i/>
          <w:sz w:val="16"/>
          <w:szCs w:val="16"/>
        </w:rPr>
        <w:t xml:space="preserve">Norms for Outer Space: A Small Step or a Giant Leap for </w:t>
      </w:r>
      <w:proofErr w:type="gramStart"/>
      <w:r w:rsidRPr="002418D7">
        <w:rPr>
          <w:rFonts w:ascii="Helvetica Neue" w:hAnsi="Helvetica Neue"/>
          <w:i/>
          <w:sz w:val="16"/>
          <w:szCs w:val="16"/>
        </w:rPr>
        <w:t>Policymaking?</w:t>
      </w:r>
      <w:r w:rsidRPr="002418D7">
        <w:rPr>
          <w:rFonts w:ascii="Helvetica Neue" w:hAnsi="Helvetica Neue"/>
          <w:sz w:val="16"/>
          <w:szCs w:val="16"/>
        </w:rPr>
        <w:t>,</w:t>
      </w:r>
      <w:proofErr w:type="gramEnd"/>
      <w:r w:rsidRPr="002418D7">
        <w:rPr>
          <w:rFonts w:ascii="Helvetica Neue" w:hAnsi="Helvetica Neue"/>
          <w:sz w:val="16"/>
          <w:szCs w:val="16"/>
        </w:rPr>
        <w:t xml:space="preserve"> Space Dossier 7 (Geneva: United Nations Institute for Disarmament Research, 2022), 26–27, https://doi.org/10.37559/WMD/22/Space/01.</w:t>
      </w:r>
    </w:p>
  </w:footnote>
  <w:footnote w:id="7">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Congressional Research Service, </w:t>
      </w:r>
      <w:proofErr w:type="spellStart"/>
      <w:r w:rsidRPr="002418D7">
        <w:rPr>
          <w:rFonts w:ascii="Helvetica Neue" w:hAnsi="Helvetica Neue"/>
          <w:i/>
          <w:sz w:val="16"/>
          <w:szCs w:val="16"/>
        </w:rPr>
        <w:t>Defense</w:t>
      </w:r>
      <w:proofErr w:type="spellEnd"/>
      <w:r w:rsidRPr="002418D7">
        <w:rPr>
          <w:rFonts w:ascii="Helvetica Neue" w:hAnsi="Helvetica Neue"/>
          <w:i/>
          <w:sz w:val="16"/>
          <w:szCs w:val="16"/>
        </w:rPr>
        <w:t xml:space="preserve"> Primer: Operations in the Information Environment</w:t>
      </w:r>
      <w:r w:rsidRPr="002418D7">
        <w:rPr>
          <w:rFonts w:ascii="Helvetica Neue" w:hAnsi="Helvetica Neue"/>
          <w:sz w:val="16"/>
          <w:szCs w:val="16"/>
        </w:rPr>
        <w:t>, IF10771, updated 29 November 2024, https://www.everycrsreport.com/reports/IF10771.html.</w:t>
      </w:r>
    </w:p>
  </w:footnote>
  <w:footnote w:id="8">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U.S. Department of </w:t>
      </w:r>
      <w:proofErr w:type="spellStart"/>
      <w:r w:rsidRPr="002418D7">
        <w:rPr>
          <w:rFonts w:ascii="Helvetica Neue" w:hAnsi="Helvetica Neue"/>
          <w:sz w:val="16"/>
          <w:szCs w:val="16"/>
        </w:rPr>
        <w:t>Defense</w:t>
      </w:r>
      <w:proofErr w:type="spellEnd"/>
      <w:r w:rsidRPr="002418D7">
        <w:rPr>
          <w:rFonts w:ascii="Helvetica Neue" w:hAnsi="Helvetica Neue"/>
          <w:sz w:val="16"/>
          <w:szCs w:val="16"/>
        </w:rPr>
        <w:t xml:space="preserve">, </w:t>
      </w:r>
      <w:r w:rsidRPr="002418D7">
        <w:rPr>
          <w:rFonts w:ascii="Helvetica Neue" w:hAnsi="Helvetica Neue"/>
          <w:i/>
          <w:sz w:val="16"/>
          <w:szCs w:val="16"/>
        </w:rPr>
        <w:t>Strategy for Operations in the Information Environment</w:t>
      </w:r>
      <w:r w:rsidRPr="002418D7">
        <w:rPr>
          <w:rFonts w:ascii="Helvetica Neue" w:hAnsi="Helvetica Neue"/>
          <w:sz w:val="16"/>
          <w:szCs w:val="16"/>
        </w:rPr>
        <w:t xml:space="preserve"> (Washington, DC: Department of </w:t>
      </w:r>
      <w:proofErr w:type="spellStart"/>
      <w:r w:rsidRPr="002418D7">
        <w:rPr>
          <w:rFonts w:ascii="Helvetica Neue" w:hAnsi="Helvetica Neue"/>
          <w:sz w:val="16"/>
          <w:szCs w:val="16"/>
        </w:rPr>
        <w:t>Defense</w:t>
      </w:r>
      <w:proofErr w:type="spellEnd"/>
      <w:r w:rsidRPr="002418D7">
        <w:rPr>
          <w:rFonts w:ascii="Helvetica Neue" w:hAnsi="Helvetica Neue"/>
          <w:sz w:val="16"/>
          <w:szCs w:val="16"/>
        </w:rPr>
        <w:t>, 2023), 1.</w:t>
      </w:r>
    </w:p>
  </w:footnote>
  <w:footnote w:id="9">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Joint Chiefs of Staff, </w:t>
      </w:r>
      <w:r w:rsidRPr="002418D7">
        <w:rPr>
          <w:rFonts w:ascii="Helvetica Neue" w:hAnsi="Helvetica Neue"/>
          <w:i/>
          <w:iCs/>
          <w:sz w:val="16"/>
          <w:szCs w:val="16"/>
        </w:rPr>
        <w:t>Joint Publication 3-13: Information Operations</w:t>
      </w:r>
      <w:r w:rsidRPr="002418D7">
        <w:rPr>
          <w:rFonts w:ascii="Helvetica Neue" w:hAnsi="Helvetica Neue"/>
          <w:sz w:val="16"/>
          <w:szCs w:val="16"/>
        </w:rPr>
        <w:t xml:space="preserve"> (Washington, DC: Joint Chiefs of Staff, 27 November 2012, incorporating Change 1, 20 November 2014), I-2–I-3.</w:t>
      </w:r>
    </w:p>
  </w:footnote>
  <w:footnote w:id="10">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Joint Chiefs of Staff, Joint Concept for Operating in the Information Environment (JCOIE) (Washington, DC: Joint Chiefs of Staff, 25 July 2018), 3–4.</w:t>
      </w:r>
    </w:p>
  </w:footnote>
  <w:footnote w:id="11">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James K. Wither, “Making Sense of Hybrid Warfare,” </w:t>
      </w:r>
      <w:r w:rsidRPr="002418D7">
        <w:rPr>
          <w:rFonts w:ascii="Helvetica Neue" w:hAnsi="Helvetica Neue"/>
          <w:i/>
          <w:sz w:val="16"/>
          <w:szCs w:val="16"/>
        </w:rPr>
        <w:t>Connections: The Quarterly Journal</w:t>
      </w:r>
      <w:r w:rsidRPr="002418D7">
        <w:rPr>
          <w:rFonts w:ascii="Helvetica Neue" w:hAnsi="Helvetica Neue"/>
          <w:sz w:val="16"/>
          <w:szCs w:val="16"/>
        </w:rPr>
        <w:t xml:space="preserve"> 15, no. 2 (2016): 82, https://doi.org/10.11610/Connections.15.2.06.</w:t>
      </w:r>
    </w:p>
  </w:footnote>
  <w:footnote w:id="12">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Thomas Rid and Ben Buchanan, “Attributing Cyber Attacks,” </w:t>
      </w:r>
      <w:r w:rsidRPr="002418D7">
        <w:rPr>
          <w:rFonts w:ascii="Helvetica Neue" w:hAnsi="Helvetica Neue"/>
          <w:i/>
          <w:sz w:val="16"/>
          <w:szCs w:val="16"/>
        </w:rPr>
        <w:t>Journal of Strategic Studies</w:t>
      </w:r>
      <w:r w:rsidRPr="002418D7">
        <w:rPr>
          <w:rFonts w:ascii="Helvetica Neue" w:hAnsi="Helvetica Neue"/>
          <w:sz w:val="16"/>
          <w:szCs w:val="16"/>
        </w:rPr>
        <w:t xml:space="preserve"> 38, nos. 1–2 (2015): 7, https://doi.org/10.1080/01402390.2014.977382.</w:t>
      </w:r>
    </w:p>
  </w:footnote>
  <w:footnote w:id="13">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Christopher Paul, </w:t>
      </w:r>
      <w:r w:rsidRPr="002418D7">
        <w:rPr>
          <w:rFonts w:ascii="Helvetica Neue" w:hAnsi="Helvetica Neue"/>
          <w:i/>
          <w:sz w:val="16"/>
          <w:szCs w:val="16"/>
        </w:rPr>
        <w:t>Strategic Communication: Origins, Concepts, and Current Debates</w:t>
      </w:r>
      <w:r w:rsidRPr="002418D7">
        <w:rPr>
          <w:rFonts w:ascii="Helvetica Neue" w:hAnsi="Helvetica Neue"/>
          <w:sz w:val="16"/>
          <w:szCs w:val="16"/>
        </w:rPr>
        <w:t xml:space="preserve"> (Santa Barbara, CA: Praeger, 2011), 119.</w:t>
      </w:r>
    </w:p>
  </w:footnote>
  <w:footnote w:id="14">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Christoph Deppe and Gary S. Schaal, “Cognitive Warfare: A Conceptual Analysis of the NATO ACT Cognitive Warfare Exploratory Concept,” </w:t>
      </w:r>
      <w:r w:rsidRPr="002418D7">
        <w:rPr>
          <w:rFonts w:ascii="Helvetica Neue" w:hAnsi="Helvetica Neue"/>
          <w:i/>
          <w:sz w:val="16"/>
          <w:szCs w:val="16"/>
        </w:rPr>
        <w:t>Frontiers in Big Data</w:t>
      </w:r>
      <w:r w:rsidRPr="002418D7">
        <w:rPr>
          <w:rFonts w:ascii="Helvetica Neue" w:hAnsi="Helvetica Neue"/>
          <w:sz w:val="16"/>
          <w:szCs w:val="16"/>
        </w:rPr>
        <w:t xml:space="preserve"> 7 (2024): 2, 10, https://doi.org/10.3389/fdata.2024.1452129.</w:t>
      </w:r>
    </w:p>
  </w:footnote>
  <w:footnote w:id="15">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Protocol Additional to the Geneva Conventions of 12 August 1949, and Relating to the Protection of Victims of International Armed Conflicts (Protocol I), 8 June 1977, 1125 U.N.T.S. 3, art. 52(2)</w:t>
      </w:r>
      <w:proofErr w:type="gramStart"/>
      <w:r w:rsidRPr="002418D7">
        <w:rPr>
          <w:rFonts w:ascii="Helvetica Neue" w:hAnsi="Helvetica Neue"/>
          <w:sz w:val="16"/>
          <w:szCs w:val="16"/>
        </w:rPr>
        <w:t>–(</w:t>
      </w:r>
      <w:proofErr w:type="gramEnd"/>
      <w:r w:rsidRPr="002418D7">
        <w:rPr>
          <w:rFonts w:ascii="Helvetica Neue" w:hAnsi="Helvetica Neue"/>
          <w:sz w:val="16"/>
          <w:szCs w:val="16"/>
        </w:rPr>
        <w:t>3).</w:t>
      </w:r>
    </w:p>
  </w:footnote>
  <w:footnote w:id="16">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Additional Protocol I, arts. 52(3), 57.</w:t>
      </w:r>
    </w:p>
  </w:footnote>
  <w:footnote w:id="17">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Svenja Berrang, “Does the Dual-Use of Space Objects Necessitate a New Geneva </w:t>
      </w:r>
      <w:proofErr w:type="gramStart"/>
      <w:r w:rsidRPr="002418D7">
        <w:rPr>
          <w:rFonts w:ascii="Helvetica Neue" w:hAnsi="Helvetica Neue"/>
          <w:sz w:val="16"/>
          <w:szCs w:val="16"/>
        </w:rPr>
        <w:t>Convention?,</w:t>
      </w:r>
      <w:proofErr w:type="gramEnd"/>
      <w:r w:rsidRPr="002418D7">
        <w:rPr>
          <w:rFonts w:ascii="Helvetica Neue" w:hAnsi="Helvetica Neue"/>
          <w:sz w:val="16"/>
          <w:szCs w:val="16"/>
        </w:rPr>
        <w:t xml:space="preserve">” </w:t>
      </w:r>
      <w:r w:rsidRPr="002418D7">
        <w:rPr>
          <w:rFonts w:ascii="Helvetica Neue" w:hAnsi="Helvetica Neue"/>
          <w:i/>
          <w:sz w:val="16"/>
          <w:szCs w:val="16"/>
        </w:rPr>
        <w:t>Case Western Reserve Journal of International Law</w:t>
      </w:r>
      <w:r w:rsidRPr="002418D7">
        <w:rPr>
          <w:rFonts w:ascii="Helvetica Neue" w:hAnsi="Helvetica Neue"/>
          <w:sz w:val="16"/>
          <w:szCs w:val="16"/>
        </w:rPr>
        <w:t xml:space="preserve"> 57 (2025): 315, 341, https://scholarlycommons.law.case.edu/jil/vol57/iss1/22/.</w:t>
      </w:r>
    </w:p>
  </w:footnote>
  <w:footnote w:id="18">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Oona A. Hathaway, Azmat Khan, and Mara R. Revkin, “The Dangerous Rise of ‘Dual-Use’ Objects in War,” </w:t>
      </w:r>
      <w:r w:rsidRPr="002418D7">
        <w:rPr>
          <w:rFonts w:ascii="Helvetica Neue" w:hAnsi="Helvetica Neue"/>
          <w:i/>
          <w:sz w:val="16"/>
          <w:szCs w:val="16"/>
        </w:rPr>
        <w:t>Yale Law Journal</w:t>
      </w:r>
      <w:r w:rsidRPr="002418D7">
        <w:rPr>
          <w:rFonts w:ascii="Helvetica Neue" w:hAnsi="Helvetica Neue"/>
          <w:sz w:val="16"/>
          <w:szCs w:val="16"/>
        </w:rPr>
        <w:t xml:space="preserve"> 134, no. 8 (2025): 2652–53, https://yalelawjournal.org/article/the-dangerous-rise-of-dual-use-objects-in-war.</w:t>
      </w:r>
    </w:p>
  </w:footnote>
  <w:footnote w:id="19">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Kuplic and Sawmiller, “Humanity on the Final Frontier,” 219.</w:t>
      </w:r>
    </w:p>
  </w:footnote>
  <w:footnote w:id="20">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Jack Beard and Dale Stephens, eds., with David Koplow, </w:t>
      </w:r>
      <w:r w:rsidRPr="002418D7">
        <w:rPr>
          <w:rFonts w:ascii="Helvetica Neue" w:hAnsi="Helvetica Neue"/>
          <w:i/>
          <w:sz w:val="16"/>
          <w:szCs w:val="16"/>
        </w:rPr>
        <w:t>The Woomera Manual on the International Law of Military Space Activities and Operations</w:t>
      </w:r>
      <w:r w:rsidRPr="002418D7">
        <w:rPr>
          <w:rFonts w:ascii="Helvetica Neue" w:hAnsi="Helvetica Neue"/>
          <w:sz w:val="16"/>
          <w:szCs w:val="16"/>
        </w:rPr>
        <w:t xml:space="preserve"> (Oxford: Oxford University Press, 2024), 320–21, 331–32, https://doi.org/10.1093/law/9780192870667.001.0001.</w:t>
      </w:r>
    </w:p>
  </w:footnote>
  <w:footnote w:id="21">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Chen Bi and </w:t>
      </w:r>
      <w:proofErr w:type="spellStart"/>
      <w:r w:rsidRPr="002418D7">
        <w:rPr>
          <w:rFonts w:ascii="Helvetica Neue" w:hAnsi="Helvetica Neue"/>
          <w:sz w:val="16"/>
          <w:szCs w:val="16"/>
        </w:rPr>
        <w:t>Yiyang</w:t>
      </w:r>
      <w:proofErr w:type="spellEnd"/>
      <w:r w:rsidRPr="002418D7">
        <w:rPr>
          <w:rFonts w:ascii="Helvetica Neue" w:hAnsi="Helvetica Neue"/>
          <w:sz w:val="16"/>
          <w:szCs w:val="16"/>
        </w:rPr>
        <w:t xml:space="preserve"> Zhu, “From Objects to Interdependence: How the Law of Armed Conflict Regulates Attacks on Dual-Use Information Infrastructure in Cyber and Information Warfare,” </w:t>
      </w:r>
      <w:r w:rsidRPr="002418D7">
        <w:rPr>
          <w:rFonts w:ascii="Helvetica Neue" w:hAnsi="Helvetica Neue"/>
          <w:i/>
          <w:sz w:val="16"/>
          <w:szCs w:val="16"/>
        </w:rPr>
        <w:t>Cogent Social Sciences</w:t>
      </w:r>
      <w:r w:rsidRPr="002418D7">
        <w:rPr>
          <w:rFonts w:ascii="Helvetica Neue" w:hAnsi="Helvetica Neue"/>
          <w:sz w:val="16"/>
          <w:szCs w:val="16"/>
        </w:rPr>
        <w:t xml:space="preserve"> 12, no. 1 (2026): 2719286, 12–13, https://doi.org/10.1080/23311886.2026.2719286.</w:t>
      </w:r>
    </w:p>
  </w:footnote>
  <w:footnote w:id="22">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w:t>
      </w:r>
      <w:proofErr w:type="spellStart"/>
      <w:r w:rsidRPr="002418D7">
        <w:rPr>
          <w:rFonts w:ascii="Helvetica Neue" w:hAnsi="Helvetica Neue"/>
          <w:sz w:val="16"/>
          <w:szCs w:val="16"/>
        </w:rPr>
        <w:t>Kuplic</w:t>
      </w:r>
      <w:proofErr w:type="spellEnd"/>
      <w:r w:rsidRPr="002418D7">
        <w:rPr>
          <w:rFonts w:ascii="Helvetica Neue" w:hAnsi="Helvetica Neue"/>
          <w:sz w:val="16"/>
          <w:szCs w:val="16"/>
        </w:rPr>
        <w:t xml:space="preserve"> and Sawmiller, “Humanity on the Final Frontier,” 235–37.</w:t>
      </w:r>
    </w:p>
  </w:footnote>
  <w:footnote w:id="23">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West and Azcárate Ortega, </w:t>
      </w:r>
      <w:r w:rsidRPr="002418D7">
        <w:rPr>
          <w:rFonts w:ascii="Helvetica Neue" w:hAnsi="Helvetica Neue"/>
          <w:i/>
          <w:sz w:val="16"/>
          <w:szCs w:val="16"/>
        </w:rPr>
        <w:t>Norms for Outer Space</w:t>
      </w:r>
      <w:r w:rsidRPr="002418D7">
        <w:rPr>
          <w:rFonts w:ascii="Helvetica Neue" w:hAnsi="Helvetica Neue"/>
          <w:sz w:val="16"/>
          <w:szCs w:val="16"/>
        </w:rPr>
        <w:t>, 26–27.</w:t>
      </w:r>
    </w:p>
  </w:footnote>
  <w:footnote w:id="24">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Antje Wiener, “Contested Compliance: Interventions on the Normative Structure of World Politics,” </w:t>
      </w:r>
      <w:r w:rsidRPr="002418D7">
        <w:rPr>
          <w:rFonts w:ascii="Helvetica Neue" w:hAnsi="Helvetica Neue"/>
          <w:i/>
          <w:sz w:val="16"/>
          <w:szCs w:val="16"/>
        </w:rPr>
        <w:t>European Journal of International Relations</w:t>
      </w:r>
      <w:r w:rsidRPr="002418D7">
        <w:rPr>
          <w:rFonts w:ascii="Helvetica Neue" w:hAnsi="Helvetica Neue"/>
          <w:sz w:val="16"/>
          <w:szCs w:val="16"/>
        </w:rPr>
        <w:t xml:space="preserve"> 10, no. 2 (2004): 189–92, https://doi.org/10.1177/1354066104042934.</w:t>
      </w:r>
    </w:p>
  </w:footnote>
  <w:footnote w:id="25">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James D. Fearon, “Rationalist Explanations for War,” </w:t>
      </w:r>
      <w:r w:rsidRPr="002418D7">
        <w:rPr>
          <w:rFonts w:ascii="Helvetica Neue" w:hAnsi="Helvetica Neue"/>
          <w:i/>
          <w:sz w:val="16"/>
          <w:szCs w:val="16"/>
        </w:rPr>
        <w:t>International Organization</w:t>
      </w:r>
      <w:r w:rsidRPr="002418D7">
        <w:rPr>
          <w:rFonts w:ascii="Helvetica Neue" w:hAnsi="Helvetica Neue"/>
          <w:sz w:val="16"/>
          <w:szCs w:val="16"/>
        </w:rPr>
        <w:t xml:space="preserve"> 49, no. 3 (1995): 395–97, https://doi.org/10.1017/S0020818300033324.</w:t>
      </w:r>
    </w:p>
  </w:footnote>
  <w:footnote w:id="26">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Sean Aday et al., </w:t>
      </w:r>
      <w:r w:rsidRPr="002418D7">
        <w:rPr>
          <w:rFonts w:ascii="Helvetica Neue" w:hAnsi="Helvetica Neue"/>
          <w:i/>
          <w:sz w:val="16"/>
          <w:szCs w:val="16"/>
        </w:rPr>
        <w:t>Hybrid Threats: A Strategic Communications Perspective</w:t>
      </w:r>
      <w:r w:rsidRPr="002418D7">
        <w:rPr>
          <w:rFonts w:ascii="Helvetica Neue" w:hAnsi="Helvetica Neue"/>
          <w:sz w:val="16"/>
          <w:szCs w:val="16"/>
        </w:rPr>
        <w:t xml:space="preserve"> (Riga: NATO Strategic Communications Centre of Excellence, 2019), 38, 42.</w:t>
      </w:r>
    </w:p>
  </w:footnote>
  <w:footnote w:id="27">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Joint Chiefs of Staff, JCOIE, 4.</w:t>
      </w:r>
    </w:p>
  </w:footnote>
  <w:footnote w:id="28">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Viasat, Inc., “KA-SAT Network Cyber Attack Overview,” 30 March 2022, 1–2, https://www.viasat.com/perspectives/corporate/2022/ka-sat-network-cyber-attack-overview/.</w:t>
      </w:r>
    </w:p>
  </w:footnote>
  <w:footnote w:id="29">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MITRE ATT&amp;CK, “AcidRain,” Software S1125, version 1.1, last modified 15 April 2025, https://attack.mitre.org/software/S1125/.</w:t>
      </w:r>
    </w:p>
  </w:footnote>
  <w:footnote w:id="30">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UK National Cyber Security Centre, “Russia behind Cyber Attack.”</w:t>
      </w:r>
    </w:p>
  </w:footnote>
  <w:footnote w:id="31">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Blinken, “Attribution of Russia’s Malicious Cyber Activity.”</w:t>
      </w:r>
    </w:p>
  </w:footnote>
  <w:footnote w:id="32">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Council of the European Union, “Russian Cyber Operations against Ukraine: Declaration by the High Representative on behalf of the European Union,” press release 432/22, 10 May 2022, https://www.consilium.europa.eu/en/press/press-releases/2022/05/10/russian-cyber-operations-against-ukraine-declaration-by-the-high-representative-on-behalf-of-the-european-union/.</w:t>
      </w:r>
    </w:p>
  </w:footnote>
  <w:footnote w:id="33">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Kim Zetter, “Viasat Hack ‘Did Not’ Have Huge Impact on Ukrainian Military Communications, Official Says,” </w:t>
      </w:r>
      <w:r w:rsidRPr="002418D7">
        <w:rPr>
          <w:rFonts w:ascii="Helvetica Neue" w:hAnsi="Helvetica Neue"/>
          <w:i/>
          <w:sz w:val="16"/>
          <w:szCs w:val="16"/>
        </w:rPr>
        <w:t>Zero Day</w:t>
      </w:r>
      <w:r w:rsidRPr="002418D7">
        <w:rPr>
          <w:rFonts w:ascii="Helvetica Neue" w:hAnsi="Helvetica Neue"/>
          <w:sz w:val="16"/>
          <w:szCs w:val="16"/>
        </w:rPr>
        <w:t>, 26 September 2022, including update at 3:30 p.m. PST, https://www.zetter-zeroday.com/viasat-hack-did-not-have-huge-impact/.</w:t>
      </w:r>
    </w:p>
  </w:footnote>
  <w:footnote w:id="34">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U.S. Department of Defense, “Sabrina Singh, Deputy Pentagon Press Secretary, Holds a Press Briefing,” transcript, 14 October 2022, https://www.defense.gov/News/Transcripts/Transcript/Article/3189495/sabrina-singh-deputy-pentagon-press-secretary-holds-a-press-briefing/.</w:t>
      </w:r>
    </w:p>
  </w:footnote>
  <w:footnote w:id="35">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Vorontsov, “Statement … on Outer Space,” 26 October 2022.</w:t>
      </w:r>
    </w:p>
  </w:footnote>
  <w:footnote w:id="36">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The White House, “Press Gaggle by Press Secretary Karine Jean-Pierre En Route Syracuse, NY,” 27 October 2022, https://bidenwhitehouse.archives.gov/briefing-room/press-briefings/2022/10/27/press-gaggle-by-press-secretary-karine-jean-pierre-en-route-syracuse-ny/.</w:t>
      </w:r>
    </w:p>
  </w:footnote>
  <w:footnote w:id="37">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Courtney Albon, “SpaceX Forms ‘Starshield’ Business Unit to Focus on National Security,” </w:t>
      </w:r>
      <w:r w:rsidRPr="002418D7">
        <w:rPr>
          <w:rFonts w:ascii="Helvetica Neue" w:hAnsi="Helvetica Neue"/>
          <w:i/>
          <w:sz w:val="16"/>
          <w:szCs w:val="16"/>
        </w:rPr>
        <w:t>Defense News</w:t>
      </w:r>
      <w:r w:rsidRPr="002418D7">
        <w:rPr>
          <w:rFonts w:ascii="Helvetica Neue" w:hAnsi="Helvetica Neue"/>
          <w:sz w:val="16"/>
          <w:szCs w:val="16"/>
        </w:rPr>
        <w:t>, 5 December 2022, https://www.defensenews.com/battlefield-tech/space/2022/12/05/spacex-forms-starshield-business-unit-to-focus-on-national-security/.</w:t>
      </w:r>
    </w:p>
  </w:footnote>
  <w:footnote w:id="38">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Foust, “Shotwell: Ukraine ‘Weaponized’ Starlink.”</w:t>
      </w:r>
    </w:p>
  </w:footnote>
  <w:footnote w:id="39">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Jon Harper, “Pentagon Contracting with SpaceX’s Starlink to Provide Satellite Communication Capabilities for Ukraine,” </w:t>
      </w:r>
      <w:r w:rsidRPr="002418D7">
        <w:rPr>
          <w:rFonts w:ascii="Helvetica Neue" w:hAnsi="Helvetica Neue"/>
          <w:i/>
          <w:sz w:val="16"/>
          <w:szCs w:val="16"/>
        </w:rPr>
        <w:t>DefenseScoop</w:t>
      </w:r>
      <w:r w:rsidRPr="002418D7">
        <w:rPr>
          <w:rFonts w:ascii="Helvetica Neue" w:hAnsi="Helvetica Neue"/>
          <w:sz w:val="16"/>
          <w:szCs w:val="16"/>
        </w:rPr>
        <w:t>, 1 June 2023, https://defensescoop.com/2023/06/01/pentagon-contracting-with-spacexs-starlink-to-provide-satellite-communication-capabilities-for-ukraine/.</w:t>
      </w:r>
    </w:p>
  </w:footnote>
  <w:footnote w:id="40">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CBS News/AFP, “Elon Musk Says He Denied Ukraine Satellite Request to Avoid Complicity in ‘Major Act of War’ vs. Russia,” </w:t>
      </w:r>
      <w:r w:rsidRPr="002418D7">
        <w:rPr>
          <w:rFonts w:ascii="Helvetica Neue" w:hAnsi="Helvetica Neue"/>
          <w:i/>
          <w:sz w:val="16"/>
          <w:szCs w:val="16"/>
        </w:rPr>
        <w:t>CBS News</w:t>
      </w:r>
      <w:r w:rsidRPr="002418D7">
        <w:rPr>
          <w:rFonts w:ascii="Helvetica Neue" w:hAnsi="Helvetica Neue"/>
          <w:sz w:val="16"/>
          <w:szCs w:val="16"/>
        </w:rPr>
        <w:t>, 8 September 2023, https://www.cbsnews.com/news/elon-musk-ukraine-russia-war-starlink-satellite-denied-major-act-of-war/.</w:t>
      </w:r>
    </w:p>
  </w:footnote>
  <w:footnote w:id="41">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Elon Musk (@elonmusk), “There was an emergency request from government authorities to activate Starlink all the way to Sevastopol,” X, 7 September 2023, https://x.com/elonmusk/status/1699917639043404146; Elon Musk (@elonmusk), “The Starlink regions in question were not activated. SpaceX did not deactivate anything,” X, 7 September 2023, https://x.com/elonmusk/status/1699913329261813809.</w:t>
      </w:r>
    </w:p>
  </w:footnote>
  <w:footnote w:id="42">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Rid and Buchanan, “Attributing Cyber Attacks,” 7.</w:t>
      </w:r>
    </w:p>
  </w:footnote>
  <w:footnote w:id="43">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Council of the European Union, “Russian Cyber Operations against Ukraine.”</w:t>
      </w:r>
    </w:p>
  </w:footnote>
  <w:footnote w:id="44">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Foust, “Shotwell: Ukraine ‘Weaponized’ Starlink.”</w:t>
      </w:r>
    </w:p>
  </w:footnote>
  <w:footnote w:id="45">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Vorontsov, “Statement … on Outer Space,” 26 October 2022.</w:t>
      </w:r>
    </w:p>
  </w:footnote>
  <w:footnote w:id="46">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Additional Protocol I, art. 52(2)</w:t>
      </w:r>
      <w:proofErr w:type="gramStart"/>
      <w:r w:rsidRPr="002418D7">
        <w:rPr>
          <w:rFonts w:ascii="Helvetica Neue" w:hAnsi="Helvetica Neue"/>
          <w:sz w:val="16"/>
          <w:szCs w:val="16"/>
        </w:rPr>
        <w:t>–(</w:t>
      </w:r>
      <w:proofErr w:type="gramEnd"/>
      <w:r w:rsidRPr="002418D7">
        <w:rPr>
          <w:rFonts w:ascii="Helvetica Neue" w:hAnsi="Helvetica Neue"/>
          <w:sz w:val="16"/>
          <w:szCs w:val="16"/>
        </w:rPr>
        <w:t>3).</w:t>
      </w:r>
    </w:p>
  </w:footnote>
  <w:footnote w:id="47">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Beard and Stephens, </w:t>
      </w:r>
      <w:r w:rsidRPr="002418D7">
        <w:rPr>
          <w:rFonts w:ascii="Helvetica Neue" w:hAnsi="Helvetica Neue"/>
          <w:i/>
          <w:sz w:val="16"/>
          <w:szCs w:val="16"/>
        </w:rPr>
        <w:t>Woomera Manual</w:t>
      </w:r>
      <w:r w:rsidRPr="002418D7">
        <w:rPr>
          <w:rFonts w:ascii="Helvetica Neue" w:hAnsi="Helvetica Neue"/>
          <w:sz w:val="16"/>
          <w:szCs w:val="16"/>
        </w:rPr>
        <w:t>, 320–21.</w:t>
      </w:r>
    </w:p>
  </w:footnote>
  <w:footnote w:id="48">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Wiener, “Contested Compliance,” 189–92.</w:t>
      </w:r>
    </w:p>
  </w:footnote>
  <w:footnote w:id="49">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Kuplic and Sawmiller, “Humanity on the Final Frontier,” 235–37.</w:t>
      </w:r>
    </w:p>
  </w:footnote>
  <w:footnote w:id="50">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Almudena Azcárate Ortega and Sarah Erickson, </w:t>
      </w:r>
      <w:r w:rsidRPr="002418D7">
        <w:rPr>
          <w:rFonts w:ascii="Helvetica Neue" w:hAnsi="Helvetica Neue"/>
          <w:i/>
          <w:sz w:val="16"/>
          <w:szCs w:val="16"/>
        </w:rPr>
        <w:t>OEWG on Reducing Space Threats: Recap Report</w:t>
      </w:r>
      <w:r w:rsidRPr="002418D7">
        <w:rPr>
          <w:rFonts w:ascii="Helvetica Neue" w:hAnsi="Helvetica Neue"/>
          <w:sz w:val="16"/>
          <w:szCs w:val="16"/>
        </w:rPr>
        <w:t xml:space="preserve"> (Geneva: United Nations Institute for Disarmament Research, 2024), 22, 30–33, 36, https://doi.org/10.37559/WMD/24/Space/01.</w:t>
      </w:r>
    </w:p>
  </w:footnote>
  <w:footnote w:id="51">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United Nations General Assembly, </w:t>
      </w:r>
      <w:r w:rsidRPr="002418D7">
        <w:rPr>
          <w:rFonts w:ascii="Helvetica Neue" w:hAnsi="Helvetica Neue"/>
          <w:i/>
          <w:sz w:val="16"/>
          <w:szCs w:val="16"/>
        </w:rPr>
        <w:t>Report of the Group of Governmental Experts on Further Practical Measures for the Prevention of an Arms Race in Outer Space</w:t>
      </w:r>
      <w:r w:rsidRPr="002418D7">
        <w:rPr>
          <w:rFonts w:ascii="Helvetica Neue" w:hAnsi="Helvetica Neue"/>
          <w:sz w:val="16"/>
          <w:szCs w:val="16"/>
        </w:rPr>
        <w:t>, A/79/364, 20 September 2024, 2.</w:t>
      </w:r>
    </w:p>
  </w:footnote>
  <w:footnote w:id="52">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Fearon, “Rationalist Explanations for War,” 395–97.</w:t>
      </w:r>
    </w:p>
  </w:footnote>
  <w:footnote w:id="53">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White House, “Press Gaggle by Press Secretary Karine Jean-Pierre,” 27 October 2022.</w:t>
      </w:r>
    </w:p>
  </w:footnote>
  <w:footnote w:id="54">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Paul, </w:t>
      </w:r>
      <w:r w:rsidRPr="002418D7">
        <w:rPr>
          <w:rFonts w:ascii="Helvetica Neue" w:hAnsi="Helvetica Neue"/>
          <w:i/>
          <w:sz w:val="16"/>
          <w:szCs w:val="16"/>
        </w:rPr>
        <w:t>Strategic Communication</w:t>
      </w:r>
      <w:r w:rsidRPr="002418D7">
        <w:rPr>
          <w:rFonts w:ascii="Helvetica Neue" w:hAnsi="Helvetica Neue"/>
          <w:sz w:val="16"/>
          <w:szCs w:val="16"/>
        </w:rPr>
        <w:t>, 119.</w:t>
      </w:r>
    </w:p>
  </w:footnote>
  <w:footnote w:id="55">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Additional Protocol I, art. 52(2)</w:t>
      </w:r>
      <w:proofErr w:type="gramStart"/>
      <w:r w:rsidRPr="002418D7">
        <w:rPr>
          <w:rFonts w:ascii="Helvetica Neue" w:hAnsi="Helvetica Neue"/>
          <w:sz w:val="16"/>
          <w:szCs w:val="16"/>
        </w:rPr>
        <w:t>–(</w:t>
      </w:r>
      <w:proofErr w:type="gramEnd"/>
      <w:r w:rsidRPr="002418D7">
        <w:rPr>
          <w:rFonts w:ascii="Helvetica Neue" w:hAnsi="Helvetica Neue"/>
          <w:sz w:val="16"/>
          <w:szCs w:val="16"/>
        </w:rPr>
        <w:t>3).</w:t>
      </w:r>
    </w:p>
  </w:footnote>
  <w:footnote w:id="56">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Foust, “Shotwell: Ukraine ‘Weaponized’ </w:t>
      </w:r>
      <w:proofErr w:type="spellStart"/>
      <w:r w:rsidRPr="002418D7">
        <w:rPr>
          <w:rFonts w:ascii="Helvetica Neue" w:hAnsi="Helvetica Neue"/>
          <w:sz w:val="16"/>
          <w:szCs w:val="16"/>
        </w:rPr>
        <w:t>Starlink</w:t>
      </w:r>
      <w:proofErr w:type="spellEnd"/>
      <w:r w:rsidRPr="002418D7">
        <w:rPr>
          <w:rFonts w:ascii="Helvetica Neue" w:hAnsi="Helvetica Neue"/>
          <w:sz w:val="16"/>
          <w:szCs w:val="16"/>
        </w:rPr>
        <w:t>.”</w:t>
      </w:r>
    </w:p>
  </w:footnote>
  <w:footnote w:id="57">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International Committee of the Red Cross, </w:t>
      </w:r>
      <w:r w:rsidRPr="002418D7">
        <w:rPr>
          <w:rFonts w:ascii="Helvetica Neue" w:hAnsi="Helvetica Neue"/>
          <w:i/>
          <w:sz w:val="16"/>
          <w:szCs w:val="16"/>
        </w:rPr>
        <w:t>Constraints under International Law on Military Operations in, or in Relation to, Outer Space during Armed Conflicts</w:t>
      </w:r>
      <w:r w:rsidRPr="002418D7">
        <w:rPr>
          <w:rFonts w:ascii="Helvetica Neue" w:hAnsi="Helvetica Neue"/>
          <w:sz w:val="16"/>
          <w:szCs w:val="16"/>
        </w:rPr>
        <w:t>, working paper submitted to the Open-ended Working Group on Reducing Space Threats through Norms, Rules and Principles of Responsible Behaviours, UN Doc. A/AC.294/2022/WP.4, 3 May 2022, 5–6, https://www.icrc.org/en/document/constraints-under-international-law-military-space-operations.</w:t>
      </w:r>
    </w:p>
  </w:footnote>
  <w:footnote w:id="58">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Viasat, “KA-SAT Network Cyber Attack Overview,” 1–2.</w:t>
      </w:r>
    </w:p>
  </w:footnote>
  <w:footnote w:id="59">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Bi and Zhu, “From Objects to Interdependence,” 12–13.</w:t>
      </w:r>
    </w:p>
  </w:footnote>
  <w:footnote w:id="60">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Azcárate Ortega and Erickson, </w:t>
      </w:r>
      <w:r w:rsidRPr="002418D7">
        <w:rPr>
          <w:rFonts w:ascii="Helvetica Neue" w:hAnsi="Helvetica Neue"/>
          <w:i/>
          <w:sz w:val="16"/>
          <w:szCs w:val="16"/>
        </w:rPr>
        <w:t>OEWG on Reducing Space Threats</w:t>
      </w:r>
      <w:r w:rsidRPr="002418D7">
        <w:rPr>
          <w:rFonts w:ascii="Helvetica Neue" w:hAnsi="Helvetica Neue"/>
          <w:sz w:val="16"/>
          <w:szCs w:val="16"/>
        </w:rPr>
        <w:t>, 11.</w:t>
      </w:r>
    </w:p>
  </w:footnote>
  <w:footnote w:id="61">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West and Azcárate Ortega, </w:t>
      </w:r>
      <w:r w:rsidRPr="002418D7">
        <w:rPr>
          <w:rFonts w:ascii="Helvetica Neue" w:hAnsi="Helvetica Neue"/>
          <w:i/>
          <w:sz w:val="16"/>
          <w:szCs w:val="16"/>
        </w:rPr>
        <w:t>Norms for Outer Space</w:t>
      </w:r>
      <w:r w:rsidRPr="002418D7">
        <w:rPr>
          <w:rFonts w:ascii="Helvetica Neue" w:hAnsi="Helvetica Neue"/>
          <w:sz w:val="16"/>
          <w:szCs w:val="16"/>
        </w:rPr>
        <w:t>, 26–27.</w:t>
      </w:r>
    </w:p>
  </w:footnote>
  <w:footnote w:id="62">
    <w:p w:rsidR="00176FBA" w:rsidRPr="002418D7" w:rsidRDefault="00176FBA" w:rsidP="00176FBA">
      <w:pPr>
        <w:pStyle w:val="FootnoteText"/>
        <w:ind w:firstLine="0"/>
        <w:rPr>
          <w:rFonts w:ascii="Helvetica Neue" w:hAnsi="Helvetica Neue"/>
          <w:sz w:val="16"/>
          <w:szCs w:val="16"/>
        </w:rPr>
      </w:pPr>
      <w:r w:rsidRPr="002418D7">
        <w:rPr>
          <w:rStyle w:val="FootnoteReference"/>
          <w:rFonts w:ascii="Helvetica Neue" w:hAnsi="Helvetica Neue"/>
          <w:sz w:val="16"/>
          <w:szCs w:val="16"/>
        </w:rPr>
        <w:footnoteRef/>
      </w:r>
      <w:r w:rsidRPr="002418D7">
        <w:rPr>
          <w:rFonts w:ascii="Helvetica Neue" w:hAnsi="Helvetica Neue"/>
          <w:sz w:val="16"/>
          <w:szCs w:val="16"/>
        </w:rPr>
        <w:t xml:space="preserve"> Wiener, “Contested Compliance,” 189–92; Fearon, “Rationalist Explanations for War,” 395–97.</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6E1"/>
    <w:rsid w:val="0008385A"/>
    <w:rsid w:val="000A547C"/>
    <w:rsid w:val="000B6549"/>
    <w:rsid w:val="000E0EA0"/>
    <w:rsid w:val="00131271"/>
    <w:rsid w:val="00142FB7"/>
    <w:rsid w:val="001722CA"/>
    <w:rsid w:val="00176FBA"/>
    <w:rsid w:val="001A1716"/>
    <w:rsid w:val="001A7D57"/>
    <w:rsid w:val="001B13D1"/>
    <w:rsid w:val="001D2F88"/>
    <w:rsid w:val="001D36EC"/>
    <w:rsid w:val="001D6F25"/>
    <w:rsid w:val="00203A4E"/>
    <w:rsid w:val="002418D7"/>
    <w:rsid w:val="002A29DB"/>
    <w:rsid w:val="002B616E"/>
    <w:rsid w:val="002C7EFD"/>
    <w:rsid w:val="003266AD"/>
    <w:rsid w:val="003531A4"/>
    <w:rsid w:val="003B18A3"/>
    <w:rsid w:val="003B7C8F"/>
    <w:rsid w:val="004326E1"/>
    <w:rsid w:val="0044741C"/>
    <w:rsid w:val="00493B4B"/>
    <w:rsid w:val="00494C04"/>
    <w:rsid w:val="004F29F0"/>
    <w:rsid w:val="00530F08"/>
    <w:rsid w:val="00551825"/>
    <w:rsid w:val="0058256A"/>
    <w:rsid w:val="00593F9B"/>
    <w:rsid w:val="005B20B1"/>
    <w:rsid w:val="005D6BFC"/>
    <w:rsid w:val="005F41FA"/>
    <w:rsid w:val="00617BBE"/>
    <w:rsid w:val="006312B0"/>
    <w:rsid w:val="00637D67"/>
    <w:rsid w:val="00664BE6"/>
    <w:rsid w:val="006751A4"/>
    <w:rsid w:val="006C67BE"/>
    <w:rsid w:val="006E194F"/>
    <w:rsid w:val="0072458F"/>
    <w:rsid w:val="0073286F"/>
    <w:rsid w:val="00773251"/>
    <w:rsid w:val="007B74A6"/>
    <w:rsid w:val="007D0AAD"/>
    <w:rsid w:val="007F112A"/>
    <w:rsid w:val="008010F3"/>
    <w:rsid w:val="00825C61"/>
    <w:rsid w:val="00861563"/>
    <w:rsid w:val="008C3B2F"/>
    <w:rsid w:val="00905DD0"/>
    <w:rsid w:val="00907E99"/>
    <w:rsid w:val="00915AFC"/>
    <w:rsid w:val="0092093D"/>
    <w:rsid w:val="00946A51"/>
    <w:rsid w:val="00980C8D"/>
    <w:rsid w:val="009C637D"/>
    <w:rsid w:val="00A453FE"/>
    <w:rsid w:val="00A61CFE"/>
    <w:rsid w:val="00A63CDA"/>
    <w:rsid w:val="00AA4221"/>
    <w:rsid w:val="00AF7CF7"/>
    <w:rsid w:val="00B13B3E"/>
    <w:rsid w:val="00B62869"/>
    <w:rsid w:val="00B76AE8"/>
    <w:rsid w:val="00C0086C"/>
    <w:rsid w:val="00C419FB"/>
    <w:rsid w:val="00C85398"/>
    <w:rsid w:val="00C8735E"/>
    <w:rsid w:val="00C92A50"/>
    <w:rsid w:val="00C94FFF"/>
    <w:rsid w:val="00CA6086"/>
    <w:rsid w:val="00CC0F65"/>
    <w:rsid w:val="00CC346E"/>
    <w:rsid w:val="00CF0620"/>
    <w:rsid w:val="00CF6C22"/>
    <w:rsid w:val="00D35557"/>
    <w:rsid w:val="00D70EA9"/>
    <w:rsid w:val="00E1429E"/>
    <w:rsid w:val="00E15C80"/>
    <w:rsid w:val="00E5626E"/>
    <w:rsid w:val="00EA74B1"/>
    <w:rsid w:val="00EB0237"/>
    <w:rsid w:val="00EB2FD6"/>
    <w:rsid w:val="00F256D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0A0130F3"/>
  <w15:chartTrackingRefBased/>
  <w15:docId w15:val="{F3C02614-EE2C-DD4D-93C8-1BB0930D6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ind w:firstLine="720"/>
      <w:jc w:val="both"/>
    </w:pPr>
    <w:rPr>
      <w:rFonts w:ascii="Times New Roman" w:eastAsia="Times New Roman" w:hAnsi="Times New Roman"/>
    </w:rPr>
  </w:style>
  <w:style w:type="paragraph" w:styleId="Heading1">
    <w:name w:val="heading 1"/>
    <w:basedOn w:val="Normal"/>
    <w:next w:val="Normal"/>
    <w:link w:val="Heading1Char"/>
    <w:uiPriority w:val="9"/>
    <w:qFormat/>
    <w:rsid w:val="004326E1"/>
    <w:pPr>
      <w:keepNext/>
      <w:keepLines/>
      <w:spacing w:before="240" w:after="120"/>
      <w:outlineLvl w:val="0"/>
    </w:pPr>
    <w:rPr>
      <w:rFonts w:asciiTheme="majorHAnsi" w:eastAsiaTheme="majorEastAsia" w:hAnsiTheme="majorHAnsi" w:cstheme="majorBidi"/>
      <w:b/>
      <w:color w:val="0F4761" w:themeColor="accent1" w:themeShade="BF"/>
      <w:szCs w:val="40"/>
    </w:rPr>
  </w:style>
  <w:style w:type="paragraph" w:styleId="Heading2">
    <w:name w:val="heading 2"/>
    <w:basedOn w:val="Normal"/>
    <w:next w:val="Normal"/>
    <w:link w:val="Heading2Char"/>
    <w:uiPriority w:val="9"/>
    <w:semiHidden/>
    <w:unhideWhenUsed/>
    <w:qFormat/>
    <w:rsid w:val="004326E1"/>
    <w:pPr>
      <w:keepNext/>
      <w:keepLines/>
      <w:spacing w:before="240" w:after="120"/>
      <w:outlineLvl w:val="1"/>
    </w:pPr>
    <w:rPr>
      <w:rFonts w:asciiTheme="majorHAnsi" w:eastAsiaTheme="majorEastAsia" w:hAnsiTheme="majorHAnsi" w:cstheme="majorBidi"/>
      <w:b/>
      <w:color w:val="0F4761" w:themeColor="accent1" w:themeShade="BF"/>
      <w:szCs w:val="32"/>
    </w:rPr>
  </w:style>
  <w:style w:type="paragraph" w:styleId="Heading3">
    <w:name w:val="heading 3"/>
    <w:basedOn w:val="Normal"/>
    <w:next w:val="Normal"/>
    <w:link w:val="Heading3Char"/>
    <w:uiPriority w:val="9"/>
    <w:semiHidden/>
    <w:unhideWhenUsed/>
    <w:qFormat/>
    <w:rsid w:val="004326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26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26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26E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26E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26E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26E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26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26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26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26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26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26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26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26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26E1"/>
    <w:rPr>
      <w:rFonts w:eastAsiaTheme="majorEastAsia" w:cstheme="majorBidi"/>
      <w:color w:val="272727" w:themeColor="text1" w:themeTint="D8"/>
    </w:rPr>
  </w:style>
  <w:style w:type="paragraph" w:styleId="Title">
    <w:name w:val="Title"/>
    <w:basedOn w:val="Normal"/>
    <w:next w:val="Normal"/>
    <w:link w:val="TitleChar"/>
    <w:uiPriority w:val="10"/>
    <w:qFormat/>
    <w:rsid w:val="004326E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26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26E1"/>
    <w:pPr>
      <w:numPr>
        <w:ilvl w:val="1"/>
      </w:numPr>
      <w:spacing w:after="160"/>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26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26E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326E1"/>
    <w:rPr>
      <w:i/>
      <w:iCs/>
      <w:color w:val="404040" w:themeColor="text1" w:themeTint="BF"/>
    </w:rPr>
  </w:style>
  <w:style w:type="paragraph" w:styleId="ListParagraph">
    <w:name w:val="List Paragraph"/>
    <w:basedOn w:val="Normal"/>
    <w:uiPriority w:val="34"/>
    <w:qFormat/>
    <w:rsid w:val="004326E1"/>
    <w:pPr>
      <w:ind w:left="720"/>
      <w:contextualSpacing/>
    </w:pPr>
  </w:style>
  <w:style w:type="character" w:styleId="IntenseEmphasis">
    <w:name w:val="Intense Emphasis"/>
    <w:basedOn w:val="DefaultParagraphFont"/>
    <w:uiPriority w:val="21"/>
    <w:qFormat/>
    <w:rsid w:val="004326E1"/>
    <w:rPr>
      <w:i/>
      <w:iCs/>
      <w:color w:val="0F4761" w:themeColor="accent1" w:themeShade="BF"/>
    </w:rPr>
  </w:style>
  <w:style w:type="paragraph" w:styleId="IntenseQuote">
    <w:name w:val="Intense Quote"/>
    <w:basedOn w:val="Normal"/>
    <w:next w:val="Normal"/>
    <w:link w:val="IntenseQuoteChar"/>
    <w:uiPriority w:val="30"/>
    <w:qFormat/>
    <w:rsid w:val="004326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26E1"/>
    <w:rPr>
      <w:i/>
      <w:iCs/>
      <w:color w:val="0F4761" w:themeColor="accent1" w:themeShade="BF"/>
    </w:rPr>
  </w:style>
  <w:style w:type="character" w:styleId="IntenseReference">
    <w:name w:val="Intense Reference"/>
    <w:basedOn w:val="DefaultParagraphFont"/>
    <w:uiPriority w:val="32"/>
    <w:qFormat/>
    <w:rsid w:val="004326E1"/>
    <w:rPr>
      <w:b/>
      <w:bCs/>
      <w:smallCaps/>
      <w:color w:val="0F4761" w:themeColor="accent1" w:themeShade="BF"/>
      <w:spacing w:val="5"/>
    </w:rPr>
  </w:style>
  <w:style w:type="paragraph" w:styleId="Header">
    <w:name w:val="header"/>
    <w:basedOn w:val="Normal"/>
    <w:link w:val="HeaderChar"/>
    <w:uiPriority w:val="99"/>
    <w:unhideWhenUsed/>
    <w:rsid w:val="004326E1"/>
    <w:pPr>
      <w:tabs>
        <w:tab w:val="center" w:pos="4513"/>
        <w:tab w:val="right" w:pos="9026"/>
      </w:tabs>
    </w:pPr>
  </w:style>
  <w:style w:type="character" w:customStyle="1" w:styleId="HeaderChar">
    <w:name w:val="Header Char"/>
    <w:basedOn w:val="DefaultParagraphFont"/>
    <w:link w:val="Header"/>
    <w:uiPriority w:val="99"/>
    <w:rsid w:val="004326E1"/>
  </w:style>
  <w:style w:type="paragraph" w:styleId="Footer">
    <w:name w:val="footer"/>
    <w:basedOn w:val="Normal"/>
    <w:link w:val="FooterChar"/>
    <w:uiPriority w:val="99"/>
    <w:unhideWhenUsed/>
    <w:rsid w:val="004326E1"/>
    <w:pPr>
      <w:tabs>
        <w:tab w:val="center" w:pos="4513"/>
        <w:tab w:val="right" w:pos="9026"/>
      </w:tabs>
    </w:pPr>
  </w:style>
  <w:style w:type="character" w:customStyle="1" w:styleId="FooterChar">
    <w:name w:val="Footer Char"/>
    <w:basedOn w:val="DefaultParagraphFont"/>
    <w:link w:val="Footer"/>
    <w:uiPriority w:val="99"/>
    <w:rsid w:val="004326E1"/>
  </w:style>
  <w:style w:type="character" w:styleId="PageNumber">
    <w:name w:val="page number"/>
    <w:basedOn w:val="DefaultParagraphFont"/>
    <w:uiPriority w:val="99"/>
    <w:semiHidden/>
    <w:unhideWhenUsed/>
    <w:rsid w:val="004326E1"/>
  </w:style>
  <w:style w:type="paragraph" w:customStyle="1" w:styleId="FootnoteText1">
    <w:name w:val="Footnote Text1"/>
    <w:rPr>
      <w:rFonts w:ascii="Times New Roman" w:eastAsia="Times New Roman" w:hAnsi="Times New Roman"/>
      <w:sz w:val="18"/>
    </w:rPr>
  </w:style>
  <w:style w:type="paragraph" w:styleId="FootnoteText">
    <w:name w:val="footnote text"/>
    <w:basedOn w:val="Normal"/>
    <w:link w:val="FootnoteTextChar"/>
    <w:uiPriority w:val="99"/>
    <w:semiHidden/>
    <w:unhideWhenUsed/>
    <w:rsid w:val="00176FBA"/>
    <w:pPr>
      <w:spacing w:line="240" w:lineRule="auto"/>
    </w:pPr>
    <w:rPr>
      <w:sz w:val="20"/>
      <w:szCs w:val="20"/>
    </w:rPr>
  </w:style>
  <w:style w:type="character" w:customStyle="1" w:styleId="FootnoteTextChar">
    <w:name w:val="Footnote Text Char"/>
    <w:basedOn w:val="DefaultParagraphFont"/>
    <w:link w:val="FootnoteText"/>
    <w:uiPriority w:val="99"/>
    <w:semiHidden/>
    <w:rsid w:val="00176FBA"/>
    <w:rPr>
      <w:rFonts w:ascii="Times New Roman" w:eastAsia="Times New Roman" w:hAnsi="Times New Roman"/>
      <w:sz w:val="20"/>
      <w:szCs w:val="20"/>
    </w:rPr>
  </w:style>
  <w:style w:type="character" w:styleId="FootnoteReference">
    <w:name w:val="footnote reference"/>
    <w:basedOn w:val="DefaultParagraphFont"/>
    <w:uiPriority w:val="99"/>
    <w:semiHidden/>
    <w:unhideWhenUsed/>
    <w:rsid w:val="00176FBA"/>
    <w:rPr>
      <w:vertAlign w:val="superscript"/>
    </w:rPr>
  </w:style>
  <w:style w:type="paragraph" w:styleId="NormalWeb">
    <w:name w:val="Normal (Web)"/>
    <w:basedOn w:val="Normal"/>
    <w:uiPriority w:val="99"/>
    <w:unhideWhenUsed/>
    <w:rsid w:val="00EB0237"/>
    <w:pPr>
      <w:spacing w:before="100" w:beforeAutospacing="1" w:after="100" w:afterAutospacing="1" w:line="240" w:lineRule="auto"/>
      <w:ind w:firstLine="0"/>
      <w:jc w:val="left"/>
    </w:pPr>
    <w:rPr>
      <w:rFonts w:cs="Times New Roman"/>
      <w:kern w:val="0"/>
      <w:lang w:eastAsia="en-GB"/>
      <w14:ligatures w14:val="none"/>
    </w:rPr>
  </w:style>
  <w:style w:type="character" w:styleId="Strong">
    <w:name w:val="Strong"/>
    <w:basedOn w:val="DefaultParagraphFont"/>
    <w:uiPriority w:val="22"/>
    <w:qFormat/>
    <w:rsid w:val="007D0AA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585205">
      <w:bodyDiv w:val="1"/>
      <w:marLeft w:val="0"/>
      <w:marRight w:val="0"/>
      <w:marTop w:val="0"/>
      <w:marBottom w:val="0"/>
      <w:divBdr>
        <w:top w:val="none" w:sz="0" w:space="0" w:color="auto"/>
        <w:left w:val="none" w:sz="0" w:space="0" w:color="auto"/>
        <w:bottom w:val="none" w:sz="0" w:space="0" w:color="auto"/>
        <w:right w:val="none" w:sz="0" w:space="0" w:color="auto"/>
      </w:divBdr>
    </w:div>
    <w:div w:id="58526987">
      <w:bodyDiv w:val="1"/>
      <w:marLeft w:val="0"/>
      <w:marRight w:val="0"/>
      <w:marTop w:val="0"/>
      <w:marBottom w:val="0"/>
      <w:divBdr>
        <w:top w:val="none" w:sz="0" w:space="0" w:color="auto"/>
        <w:left w:val="none" w:sz="0" w:space="0" w:color="auto"/>
        <w:bottom w:val="none" w:sz="0" w:space="0" w:color="auto"/>
        <w:right w:val="none" w:sz="0" w:space="0" w:color="auto"/>
      </w:divBdr>
    </w:div>
    <w:div w:id="134957543">
      <w:bodyDiv w:val="1"/>
      <w:marLeft w:val="0"/>
      <w:marRight w:val="0"/>
      <w:marTop w:val="0"/>
      <w:marBottom w:val="0"/>
      <w:divBdr>
        <w:top w:val="none" w:sz="0" w:space="0" w:color="auto"/>
        <w:left w:val="none" w:sz="0" w:space="0" w:color="auto"/>
        <w:bottom w:val="none" w:sz="0" w:space="0" w:color="auto"/>
        <w:right w:val="none" w:sz="0" w:space="0" w:color="auto"/>
      </w:divBdr>
    </w:div>
    <w:div w:id="154037264">
      <w:bodyDiv w:val="1"/>
      <w:marLeft w:val="0"/>
      <w:marRight w:val="0"/>
      <w:marTop w:val="0"/>
      <w:marBottom w:val="0"/>
      <w:divBdr>
        <w:top w:val="none" w:sz="0" w:space="0" w:color="auto"/>
        <w:left w:val="none" w:sz="0" w:space="0" w:color="auto"/>
        <w:bottom w:val="none" w:sz="0" w:space="0" w:color="auto"/>
        <w:right w:val="none" w:sz="0" w:space="0" w:color="auto"/>
      </w:divBdr>
    </w:div>
    <w:div w:id="188418210">
      <w:bodyDiv w:val="1"/>
      <w:marLeft w:val="0"/>
      <w:marRight w:val="0"/>
      <w:marTop w:val="0"/>
      <w:marBottom w:val="0"/>
      <w:divBdr>
        <w:top w:val="none" w:sz="0" w:space="0" w:color="auto"/>
        <w:left w:val="none" w:sz="0" w:space="0" w:color="auto"/>
        <w:bottom w:val="none" w:sz="0" w:space="0" w:color="auto"/>
        <w:right w:val="none" w:sz="0" w:space="0" w:color="auto"/>
      </w:divBdr>
    </w:div>
    <w:div w:id="214705586">
      <w:bodyDiv w:val="1"/>
      <w:marLeft w:val="0"/>
      <w:marRight w:val="0"/>
      <w:marTop w:val="0"/>
      <w:marBottom w:val="0"/>
      <w:divBdr>
        <w:top w:val="none" w:sz="0" w:space="0" w:color="auto"/>
        <w:left w:val="none" w:sz="0" w:space="0" w:color="auto"/>
        <w:bottom w:val="none" w:sz="0" w:space="0" w:color="auto"/>
        <w:right w:val="none" w:sz="0" w:space="0" w:color="auto"/>
      </w:divBdr>
    </w:div>
    <w:div w:id="250313811">
      <w:bodyDiv w:val="1"/>
      <w:marLeft w:val="0"/>
      <w:marRight w:val="0"/>
      <w:marTop w:val="0"/>
      <w:marBottom w:val="0"/>
      <w:divBdr>
        <w:top w:val="none" w:sz="0" w:space="0" w:color="auto"/>
        <w:left w:val="none" w:sz="0" w:space="0" w:color="auto"/>
        <w:bottom w:val="none" w:sz="0" w:space="0" w:color="auto"/>
        <w:right w:val="none" w:sz="0" w:space="0" w:color="auto"/>
      </w:divBdr>
    </w:div>
    <w:div w:id="473136992">
      <w:bodyDiv w:val="1"/>
      <w:marLeft w:val="0"/>
      <w:marRight w:val="0"/>
      <w:marTop w:val="0"/>
      <w:marBottom w:val="0"/>
      <w:divBdr>
        <w:top w:val="none" w:sz="0" w:space="0" w:color="auto"/>
        <w:left w:val="none" w:sz="0" w:space="0" w:color="auto"/>
        <w:bottom w:val="none" w:sz="0" w:space="0" w:color="auto"/>
        <w:right w:val="none" w:sz="0" w:space="0" w:color="auto"/>
      </w:divBdr>
    </w:div>
    <w:div w:id="486867939">
      <w:bodyDiv w:val="1"/>
      <w:marLeft w:val="0"/>
      <w:marRight w:val="0"/>
      <w:marTop w:val="0"/>
      <w:marBottom w:val="0"/>
      <w:divBdr>
        <w:top w:val="none" w:sz="0" w:space="0" w:color="auto"/>
        <w:left w:val="none" w:sz="0" w:space="0" w:color="auto"/>
        <w:bottom w:val="none" w:sz="0" w:space="0" w:color="auto"/>
        <w:right w:val="none" w:sz="0" w:space="0" w:color="auto"/>
      </w:divBdr>
    </w:div>
    <w:div w:id="494346704">
      <w:bodyDiv w:val="1"/>
      <w:marLeft w:val="0"/>
      <w:marRight w:val="0"/>
      <w:marTop w:val="0"/>
      <w:marBottom w:val="0"/>
      <w:divBdr>
        <w:top w:val="none" w:sz="0" w:space="0" w:color="auto"/>
        <w:left w:val="none" w:sz="0" w:space="0" w:color="auto"/>
        <w:bottom w:val="none" w:sz="0" w:space="0" w:color="auto"/>
        <w:right w:val="none" w:sz="0" w:space="0" w:color="auto"/>
      </w:divBdr>
    </w:div>
    <w:div w:id="591859967">
      <w:bodyDiv w:val="1"/>
      <w:marLeft w:val="0"/>
      <w:marRight w:val="0"/>
      <w:marTop w:val="0"/>
      <w:marBottom w:val="0"/>
      <w:divBdr>
        <w:top w:val="none" w:sz="0" w:space="0" w:color="auto"/>
        <w:left w:val="none" w:sz="0" w:space="0" w:color="auto"/>
        <w:bottom w:val="none" w:sz="0" w:space="0" w:color="auto"/>
        <w:right w:val="none" w:sz="0" w:space="0" w:color="auto"/>
      </w:divBdr>
    </w:div>
    <w:div w:id="617570279">
      <w:bodyDiv w:val="1"/>
      <w:marLeft w:val="0"/>
      <w:marRight w:val="0"/>
      <w:marTop w:val="0"/>
      <w:marBottom w:val="0"/>
      <w:divBdr>
        <w:top w:val="none" w:sz="0" w:space="0" w:color="auto"/>
        <w:left w:val="none" w:sz="0" w:space="0" w:color="auto"/>
        <w:bottom w:val="none" w:sz="0" w:space="0" w:color="auto"/>
        <w:right w:val="none" w:sz="0" w:space="0" w:color="auto"/>
      </w:divBdr>
    </w:div>
    <w:div w:id="630210894">
      <w:bodyDiv w:val="1"/>
      <w:marLeft w:val="0"/>
      <w:marRight w:val="0"/>
      <w:marTop w:val="0"/>
      <w:marBottom w:val="0"/>
      <w:divBdr>
        <w:top w:val="none" w:sz="0" w:space="0" w:color="auto"/>
        <w:left w:val="none" w:sz="0" w:space="0" w:color="auto"/>
        <w:bottom w:val="none" w:sz="0" w:space="0" w:color="auto"/>
        <w:right w:val="none" w:sz="0" w:space="0" w:color="auto"/>
      </w:divBdr>
    </w:div>
    <w:div w:id="658309370">
      <w:bodyDiv w:val="1"/>
      <w:marLeft w:val="0"/>
      <w:marRight w:val="0"/>
      <w:marTop w:val="0"/>
      <w:marBottom w:val="0"/>
      <w:divBdr>
        <w:top w:val="none" w:sz="0" w:space="0" w:color="auto"/>
        <w:left w:val="none" w:sz="0" w:space="0" w:color="auto"/>
        <w:bottom w:val="none" w:sz="0" w:space="0" w:color="auto"/>
        <w:right w:val="none" w:sz="0" w:space="0" w:color="auto"/>
      </w:divBdr>
    </w:div>
    <w:div w:id="809781958">
      <w:bodyDiv w:val="1"/>
      <w:marLeft w:val="0"/>
      <w:marRight w:val="0"/>
      <w:marTop w:val="0"/>
      <w:marBottom w:val="0"/>
      <w:divBdr>
        <w:top w:val="none" w:sz="0" w:space="0" w:color="auto"/>
        <w:left w:val="none" w:sz="0" w:space="0" w:color="auto"/>
        <w:bottom w:val="none" w:sz="0" w:space="0" w:color="auto"/>
        <w:right w:val="none" w:sz="0" w:space="0" w:color="auto"/>
      </w:divBdr>
    </w:div>
    <w:div w:id="1018309972">
      <w:bodyDiv w:val="1"/>
      <w:marLeft w:val="0"/>
      <w:marRight w:val="0"/>
      <w:marTop w:val="0"/>
      <w:marBottom w:val="0"/>
      <w:divBdr>
        <w:top w:val="none" w:sz="0" w:space="0" w:color="auto"/>
        <w:left w:val="none" w:sz="0" w:space="0" w:color="auto"/>
        <w:bottom w:val="none" w:sz="0" w:space="0" w:color="auto"/>
        <w:right w:val="none" w:sz="0" w:space="0" w:color="auto"/>
      </w:divBdr>
      <w:divsChild>
        <w:div w:id="10023901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5040653">
      <w:bodyDiv w:val="1"/>
      <w:marLeft w:val="0"/>
      <w:marRight w:val="0"/>
      <w:marTop w:val="0"/>
      <w:marBottom w:val="0"/>
      <w:divBdr>
        <w:top w:val="none" w:sz="0" w:space="0" w:color="auto"/>
        <w:left w:val="none" w:sz="0" w:space="0" w:color="auto"/>
        <w:bottom w:val="none" w:sz="0" w:space="0" w:color="auto"/>
        <w:right w:val="none" w:sz="0" w:space="0" w:color="auto"/>
      </w:divBdr>
    </w:div>
    <w:div w:id="1070152134">
      <w:bodyDiv w:val="1"/>
      <w:marLeft w:val="0"/>
      <w:marRight w:val="0"/>
      <w:marTop w:val="0"/>
      <w:marBottom w:val="0"/>
      <w:divBdr>
        <w:top w:val="none" w:sz="0" w:space="0" w:color="auto"/>
        <w:left w:val="none" w:sz="0" w:space="0" w:color="auto"/>
        <w:bottom w:val="none" w:sz="0" w:space="0" w:color="auto"/>
        <w:right w:val="none" w:sz="0" w:space="0" w:color="auto"/>
      </w:divBdr>
    </w:div>
    <w:div w:id="1072047573">
      <w:bodyDiv w:val="1"/>
      <w:marLeft w:val="0"/>
      <w:marRight w:val="0"/>
      <w:marTop w:val="0"/>
      <w:marBottom w:val="0"/>
      <w:divBdr>
        <w:top w:val="none" w:sz="0" w:space="0" w:color="auto"/>
        <w:left w:val="none" w:sz="0" w:space="0" w:color="auto"/>
        <w:bottom w:val="none" w:sz="0" w:space="0" w:color="auto"/>
        <w:right w:val="none" w:sz="0" w:space="0" w:color="auto"/>
      </w:divBdr>
      <w:divsChild>
        <w:div w:id="1864588266">
          <w:marLeft w:val="0"/>
          <w:marRight w:val="0"/>
          <w:marTop w:val="0"/>
          <w:marBottom w:val="0"/>
          <w:divBdr>
            <w:top w:val="none" w:sz="0" w:space="0" w:color="auto"/>
            <w:left w:val="none" w:sz="0" w:space="0" w:color="auto"/>
            <w:bottom w:val="none" w:sz="0" w:space="0" w:color="auto"/>
            <w:right w:val="none" w:sz="0" w:space="0" w:color="auto"/>
          </w:divBdr>
          <w:divsChild>
            <w:div w:id="1569536738">
              <w:marLeft w:val="0"/>
              <w:marRight w:val="0"/>
              <w:marTop w:val="0"/>
              <w:marBottom w:val="0"/>
              <w:divBdr>
                <w:top w:val="none" w:sz="0" w:space="0" w:color="auto"/>
                <w:left w:val="none" w:sz="0" w:space="0" w:color="auto"/>
                <w:bottom w:val="none" w:sz="0" w:space="0" w:color="auto"/>
                <w:right w:val="none" w:sz="0" w:space="0" w:color="auto"/>
              </w:divBdr>
              <w:divsChild>
                <w:div w:id="738749770">
                  <w:marLeft w:val="0"/>
                  <w:marRight w:val="0"/>
                  <w:marTop w:val="0"/>
                  <w:marBottom w:val="0"/>
                  <w:divBdr>
                    <w:top w:val="none" w:sz="0" w:space="0" w:color="auto"/>
                    <w:left w:val="none" w:sz="0" w:space="0" w:color="auto"/>
                    <w:bottom w:val="none" w:sz="0" w:space="0" w:color="auto"/>
                    <w:right w:val="none" w:sz="0" w:space="0" w:color="auto"/>
                  </w:divBdr>
                </w:div>
              </w:divsChild>
            </w:div>
            <w:div w:id="1267424786">
              <w:marLeft w:val="0"/>
              <w:marRight w:val="0"/>
              <w:marTop w:val="0"/>
              <w:marBottom w:val="0"/>
              <w:divBdr>
                <w:top w:val="none" w:sz="0" w:space="0" w:color="auto"/>
                <w:left w:val="none" w:sz="0" w:space="0" w:color="auto"/>
                <w:bottom w:val="none" w:sz="0" w:space="0" w:color="auto"/>
                <w:right w:val="none" w:sz="0" w:space="0" w:color="auto"/>
              </w:divBdr>
              <w:divsChild>
                <w:div w:id="606154767">
                  <w:marLeft w:val="0"/>
                  <w:marRight w:val="0"/>
                  <w:marTop w:val="0"/>
                  <w:marBottom w:val="0"/>
                  <w:divBdr>
                    <w:top w:val="none" w:sz="0" w:space="0" w:color="auto"/>
                    <w:left w:val="none" w:sz="0" w:space="0" w:color="auto"/>
                    <w:bottom w:val="none" w:sz="0" w:space="0" w:color="auto"/>
                    <w:right w:val="none" w:sz="0" w:space="0" w:color="auto"/>
                  </w:divBdr>
                  <w:divsChild>
                    <w:div w:id="1783569317">
                      <w:marLeft w:val="0"/>
                      <w:marRight w:val="0"/>
                      <w:marTop w:val="0"/>
                      <w:marBottom w:val="0"/>
                      <w:divBdr>
                        <w:top w:val="none" w:sz="0" w:space="0" w:color="auto"/>
                        <w:left w:val="none" w:sz="0" w:space="0" w:color="auto"/>
                        <w:bottom w:val="none" w:sz="0" w:space="0" w:color="auto"/>
                        <w:right w:val="none" w:sz="0" w:space="0" w:color="auto"/>
                      </w:divBdr>
                      <w:divsChild>
                        <w:div w:id="1810322374">
                          <w:marLeft w:val="0"/>
                          <w:marRight w:val="0"/>
                          <w:marTop w:val="0"/>
                          <w:marBottom w:val="0"/>
                          <w:divBdr>
                            <w:top w:val="none" w:sz="0" w:space="0" w:color="auto"/>
                            <w:left w:val="none" w:sz="0" w:space="0" w:color="auto"/>
                            <w:bottom w:val="none" w:sz="0" w:space="0" w:color="auto"/>
                            <w:right w:val="none" w:sz="0" w:space="0" w:color="auto"/>
                          </w:divBdr>
                          <w:divsChild>
                            <w:div w:id="694115881">
                              <w:marLeft w:val="0"/>
                              <w:marRight w:val="0"/>
                              <w:marTop w:val="0"/>
                              <w:marBottom w:val="0"/>
                              <w:divBdr>
                                <w:top w:val="none" w:sz="0" w:space="0" w:color="auto"/>
                                <w:left w:val="none" w:sz="0" w:space="0" w:color="auto"/>
                                <w:bottom w:val="none" w:sz="0" w:space="0" w:color="auto"/>
                                <w:right w:val="none" w:sz="0" w:space="0" w:color="auto"/>
                              </w:divBdr>
                              <w:divsChild>
                                <w:div w:id="175727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2770338">
      <w:bodyDiv w:val="1"/>
      <w:marLeft w:val="0"/>
      <w:marRight w:val="0"/>
      <w:marTop w:val="0"/>
      <w:marBottom w:val="0"/>
      <w:divBdr>
        <w:top w:val="none" w:sz="0" w:space="0" w:color="auto"/>
        <w:left w:val="none" w:sz="0" w:space="0" w:color="auto"/>
        <w:bottom w:val="none" w:sz="0" w:space="0" w:color="auto"/>
        <w:right w:val="none" w:sz="0" w:space="0" w:color="auto"/>
      </w:divBdr>
    </w:div>
    <w:div w:id="1219703695">
      <w:bodyDiv w:val="1"/>
      <w:marLeft w:val="0"/>
      <w:marRight w:val="0"/>
      <w:marTop w:val="0"/>
      <w:marBottom w:val="0"/>
      <w:divBdr>
        <w:top w:val="none" w:sz="0" w:space="0" w:color="auto"/>
        <w:left w:val="none" w:sz="0" w:space="0" w:color="auto"/>
        <w:bottom w:val="none" w:sz="0" w:space="0" w:color="auto"/>
        <w:right w:val="none" w:sz="0" w:space="0" w:color="auto"/>
      </w:divBdr>
    </w:div>
    <w:div w:id="1258751783">
      <w:bodyDiv w:val="1"/>
      <w:marLeft w:val="0"/>
      <w:marRight w:val="0"/>
      <w:marTop w:val="0"/>
      <w:marBottom w:val="0"/>
      <w:divBdr>
        <w:top w:val="none" w:sz="0" w:space="0" w:color="auto"/>
        <w:left w:val="none" w:sz="0" w:space="0" w:color="auto"/>
        <w:bottom w:val="none" w:sz="0" w:space="0" w:color="auto"/>
        <w:right w:val="none" w:sz="0" w:space="0" w:color="auto"/>
      </w:divBdr>
    </w:div>
    <w:div w:id="1296595036">
      <w:bodyDiv w:val="1"/>
      <w:marLeft w:val="0"/>
      <w:marRight w:val="0"/>
      <w:marTop w:val="0"/>
      <w:marBottom w:val="0"/>
      <w:divBdr>
        <w:top w:val="none" w:sz="0" w:space="0" w:color="auto"/>
        <w:left w:val="none" w:sz="0" w:space="0" w:color="auto"/>
        <w:bottom w:val="none" w:sz="0" w:space="0" w:color="auto"/>
        <w:right w:val="none" w:sz="0" w:space="0" w:color="auto"/>
      </w:divBdr>
      <w:divsChild>
        <w:div w:id="511943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5626512">
      <w:bodyDiv w:val="1"/>
      <w:marLeft w:val="0"/>
      <w:marRight w:val="0"/>
      <w:marTop w:val="0"/>
      <w:marBottom w:val="0"/>
      <w:divBdr>
        <w:top w:val="none" w:sz="0" w:space="0" w:color="auto"/>
        <w:left w:val="none" w:sz="0" w:space="0" w:color="auto"/>
        <w:bottom w:val="none" w:sz="0" w:space="0" w:color="auto"/>
        <w:right w:val="none" w:sz="0" w:space="0" w:color="auto"/>
      </w:divBdr>
    </w:div>
    <w:div w:id="1488017954">
      <w:bodyDiv w:val="1"/>
      <w:marLeft w:val="0"/>
      <w:marRight w:val="0"/>
      <w:marTop w:val="0"/>
      <w:marBottom w:val="0"/>
      <w:divBdr>
        <w:top w:val="none" w:sz="0" w:space="0" w:color="auto"/>
        <w:left w:val="none" w:sz="0" w:space="0" w:color="auto"/>
        <w:bottom w:val="none" w:sz="0" w:space="0" w:color="auto"/>
        <w:right w:val="none" w:sz="0" w:space="0" w:color="auto"/>
      </w:divBdr>
    </w:div>
    <w:div w:id="1497500474">
      <w:bodyDiv w:val="1"/>
      <w:marLeft w:val="0"/>
      <w:marRight w:val="0"/>
      <w:marTop w:val="0"/>
      <w:marBottom w:val="0"/>
      <w:divBdr>
        <w:top w:val="none" w:sz="0" w:space="0" w:color="auto"/>
        <w:left w:val="none" w:sz="0" w:space="0" w:color="auto"/>
        <w:bottom w:val="none" w:sz="0" w:space="0" w:color="auto"/>
        <w:right w:val="none" w:sz="0" w:space="0" w:color="auto"/>
      </w:divBdr>
    </w:div>
    <w:div w:id="1549217430">
      <w:bodyDiv w:val="1"/>
      <w:marLeft w:val="0"/>
      <w:marRight w:val="0"/>
      <w:marTop w:val="0"/>
      <w:marBottom w:val="0"/>
      <w:divBdr>
        <w:top w:val="none" w:sz="0" w:space="0" w:color="auto"/>
        <w:left w:val="none" w:sz="0" w:space="0" w:color="auto"/>
        <w:bottom w:val="none" w:sz="0" w:space="0" w:color="auto"/>
        <w:right w:val="none" w:sz="0" w:space="0" w:color="auto"/>
      </w:divBdr>
    </w:div>
    <w:div w:id="1580095556">
      <w:bodyDiv w:val="1"/>
      <w:marLeft w:val="0"/>
      <w:marRight w:val="0"/>
      <w:marTop w:val="0"/>
      <w:marBottom w:val="0"/>
      <w:divBdr>
        <w:top w:val="none" w:sz="0" w:space="0" w:color="auto"/>
        <w:left w:val="none" w:sz="0" w:space="0" w:color="auto"/>
        <w:bottom w:val="none" w:sz="0" w:space="0" w:color="auto"/>
        <w:right w:val="none" w:sz="0" w:space="0" w:color="auto"/>
      </w:divBdr>
    </w:div>
    <w:div w:id="1595236920">
      <w:bodyDiv w:val="1"/>
      <w:marLeft w:val="0"/>
      <w:marRight w:val="0"/>
      <w:marTop w:val="0"/>
      <w:marBottom w:val="0"/>
      <w:divBdr>
        <w:top w:val="none" w:sz="0" w:space="0" w:color="auto"/>
        <w:left w:val="none" w:sz="0" w:space="0" w:color="auto"/>
        <w:bottom w:val="none" w:sz="0" w:space="0" w:color="auto"/>
        <w:right w:val="none" w:sz="0" w:space="0" w:color="auto"/>
      </w:divBdr>
    </w:div>
    <w:div w:id="1599092788">
      <w:bodyDiv w:val="1"/>
      <w:marLeft w:val="0"/>
      <w:marRight w:val="0"/>
      <w:marTop w:val="0"/>
      <w:marBottom w:val="0"/>
      <w:divBdr>
        <w:top w:val="none" w:sz="0" w:space="0" w:color="auto"/>
        <w:left w:val="none" w:sz="0" w:space="0" w:color="auto"/>
        <w:bottom w:val="none" w:sz="0" w:space="0" w:color="auto"/>
        <w:right w:val="none" w:sz="0" w:space="0" w:color="auto"/>
      </w:divBdr>
    </w:div>
    <w:div w:id="1612323936">
      <w:bodyDiv w:val="1"/>
      <w:marLeft w:val="0"/>
      <w:marRight w:val="0"/>
      <w:marTop w:val="0"/>
      <w:marBottom w:val="0"/>
      <w:divBdr>
        <w:top w:val="none" w:sz="0" w:space="0" w:color="auto"/>
        <w:left w:val="none" w:sz="0" w:space="0" w:color="auto"/>
        <w:bottom w:val="none" w:sz="0" w:space="0" w:color="auto"/>
        <w:right w:val="none" w:sz="0" w:space="0" w:color="auto"/>
      </w:divBdr>
    </w:div>
    <w:div w:id="1720282875">
      <w:bodyDiv w:val="1"/>
      <w:marLeft w:val="0"/>
      <w:marRight w:val="0"/>
      <w:marTop w:val="0"/>
      <w:marBottom w:val="0"/>
      <w:divBdr>
        <w:top w:val="none" w:sz="0" w:space="0" w:color="auto"/>
        <w:left w:val="none" w:sz="0" w:space="0" w:color="auto"/>
        <w:bottom w:val="none" w:sz="0" w:space="0" w:color="auto"/>
        <w:right w:val="none" w:sz="0" w:space="0" w:color="auto"/>
      </w:divBdr>
    </w:div>
    <w:div w:id="1858302652">
      <w:bodyDiv w:val="1"/>
      <w:marLeft w:val="0"/>
      <w:marRight w:val="0"/>
      <w:marTop w:val="0"/>
      <w:marBottom w:val="0"/>
      <w:divBdr>
        <w:top w:val="none" w:sz="0" w:space="0" w:color="auto"/>
        <w:left w:val="none" w:sz="0" w:space="0" w:color="auto"/>
        <w:bottom w:val="none" w:sz="0" w:space="0" w:color="auto"/>
        <w:right w:val="none" w:sz="0" w:space="0" w:color="auto"/>
      </w:divBdr>
    </w:div>
    <w:div w:id="1860386559">
      <w:bodyDiv w:val="1"/>
      <w:marLeft w:val="0"/>
      <w:marRight w:val="0"/>
      <w:marTop w:val="0"/>
      <w:marBottom w:val="0"/>
      <w:divBdr>
        <w:top w:val="none" w:sz="0" w:space="0" w:color="auto"/>
        <w:left w:val="none" w:sz="0" w:space="0" w:color="auto"/>
        <w:bottom w:val="none" w:sz="0" w:space="0" w:color="auto"/>
        <w:right w:val="none" w:sz="0" w:space="0" w:color="auto"/>
      </w:divBdr>
    </w:div>
    <w:div w:id="2016027574">
      <w:bodyDiv w:val="1"/>
      <w:marLeft w:val="0"/>
      <w:marRight w:val="0"/>
      <w:marTop w:val="0"/>
      <w:marBottom w:val="0"/>
      <w:divBdr>
        <w:top w:val="none" w:sz="0" w:space="0" w:color="auto"/>
        <w:left w:val="none" w:sz="0" w:space="0" w:color="auto"/>
        <w:bottom w:val="none" w:sz="0" w:space="0" w:color="auto"/>
        <w:right w:val="none" w:sz="0" w:space="0" w:color="auto"/>
      </w:divBdr>
    </w:div>
    <w:div w:id="2038698024">
      <w:bodyDiv w:val="1"/>
      <w:marLeft w:val="0"/>
      <w:marRight w:val="0"/>
      <w:marTop w:val="0"/>
      <w:marBottom w:val="0"/>
      <w:divBdr>
        <w:top w:val="none" w:sz="0" w:space="0" w:color="auto"/>
        <w:left w:val="none" w:sz="0" w:space="0" w:color="auto"/>
        <w:bottom w:val="none" w:sz="0" w:space="0" w:color="auto"/>
        <w:right w:val="none" w:sz="0" w:space="0" w:color="auto"/>
      </w:divBdr>
    </w:div>
    <w:div w:id="2083216360">
      <w:bodyDiv w:val="1"/>
      <w:marLeft w:val="0"/>
      <w:marRight w:val="0"/>
      <w:marTop w:val="0"/>
      <w:marBottom w:val="0"/>
      <w:divBdr>
        <w:top w:val="none" w:sz="0" w:space="0" w:color="auto"/>
        <w:left w:val="none" w:sz="0" w:space="0" w:color="auto"/>
        <w:bottom w:val="none" w:sz="0" w:space="0" w:color="auto"/>
        <w:right w:val="none" w:sz="0" w:space="0" w:color="auto"/>
      </w:divBdr>
    </w:div>
    <w:div w:id="2130732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CA2E163E-465C-274A-893E-84567B6742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5305</Words>
  <Characters>30243</Characters>
  <Application>Microsoft Office Word</Application>
  <DocSecurity>0</DocSecurity>
  <Lines>252</Lines>
  <Paragraphs>70</Paragraphs>
  <ScaleCrop>false</ScaleCrop>
  <HeadingPairs>
    <vt:vector size="2" baseType="variant">
      <vt:variant>
        <vt:lpstr>Title</vt:lpstr>
      </vt:variant>
      <vt:variant>
        <vt:i4>1</vt:i4>
      </vt:variant>
    </vt:vector>
  </HeadingPairs>
  <TitlesOfParts>
    <vt:vector size="1" baseType="lpstr">
      <vt:lpstr>Clarity Without Convergence: Commercial SATCOM and the Information Contest over Participation in the Russia–Ukraine War</vt:lpstr>
    </vt:vector>
  </TitlesOfParts>
  <Manager/>
  <Company/>
  <LinksUpToDate>false</LinksUpToDate>
  <CharactersWithSpaces>35478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Clarity Without Convergence: Commercial SATCOM and the Information Contest over Participation in the Russia–Ukraine War</dc:title>
  <dc:subject>ZEIT8115 Information Operations Assignment 3</dc:subject>
  <dc:creator>Santiago Verace</dc:creator>
  <cp:keywords>Information Operations, SATCOM, Starlink, KA-SAT, Russia-Ukraine, international humanitarian law, norms</cp:keywords>
  <dc:description/>
  <cp:lastModifiedBy>Santiago Kojic</cp:lastModifiedBy>
  <cp:revision>3</cp:revision>
  <dcterms:created xsi:type="dcterms:W3CDTF">2026-10-16T02:30:00Z</dcterms:created>
  <dcterms:modified xsi:type="dcterms:W3CDTF">2026-10-16T02:32:00Z</dcterms:modified>
  <cp:category/>
</cp:coreProperties>
</file>